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SCI-3862 Test Evidence — IT_VIP</w:t>
      </w:r>
    </w:p>
    <w:p>
      <w:r>
        <w:t>Case: 15856096 | Environment: sixt3--qa | Skills filter: Italy + English + VIP</w:t>
      </w:r>
    </w:p>
    <w:p>
      <w:pPr>
        <w:pStyle w:val="Heading1"/>
      </w:pPr>
      <w:r>
        <w:t>Step 4 — Change owner to IT_VIP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4_owner_IT_V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8 — Skills Backlog, Medium priority (expected 55)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8_skills_backlog_IT_VIP_medi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9 — Case priority Low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9_priority_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11 — Skills Backlog, Low priority (expected 57)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11_skills_backlog_low_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12 — Case priority High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12_priority_hi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14 — Skills Backlog, High priority (expected 51)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tep14_skills_backlog_high_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 — Skills filter (Italy, English, VIP)</w:t>
      </w:r>
    </w:p>
    <w:p>
      <w:r>
        <w:drawing>
          <wp:inline xmlns:a="http://schemas.openxmlformats.org/drawingml/2006/main" xmlns:pic="http://schemas.openxmlformats.org/drawingml/2006/picture">
            <wp:extent cx="5669280" cy="28051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62_skills_filter_italy_english_vip_case1585609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