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AF0E0" w14:textId="77777777" w:rsidR="00FC6ACA" w:rsidRDefault="00A17CF4">
      <w:pPr>
        <w:spacing w:after="160"/>
        <w:jc w:val="center"/>
      </w:pPr>
      <w:r>
        <w:rPr>
          <w:b/>
          <w:bCs/>
        </w:rPr>
        <w:t>A Mamdani fuzzy inference decision-support system for formwork and equipment selection in high-rise construction</w:t>
      </w:r>
    </w:p>
    <w:p>
      <w:pPr>
        <w:pBdr>
          <w:left w:val="single" w:sz="12" w:space="6" w:color="FF0000"/>
        </w:pBdr>
        <w:spacing w:before="40" w:after="80"/>
        <w:ind w:left="284"/>
        <w:jc w:val="left"/>
      </w:pPr>
      <w:r>
        <w:rPr>
          <w:b/>
          <w:color w:val="FF0000"/>
          <w:sz w:val="20"/>
        </w:rPr>
        <w:t xml:space="preserve">▶ [SHOULD FIX] Title: </w:t>
      </w:r>
      <w:r>
        <w:rPr>
          <w:color w:val="FF0000"/>
          <w:sz w:val="20"/>
        </w:rPr>
        <w:t xml:space="preserve">The title promises 'equipment selection' but only formwork systems are scored. Either add equipment variables (crane capacity, hoisting cycle, climbing system compatibility) or retitle, e.g. 'A Mamdani fuzzy inference decision-support system for formwork-system selection in high-rise construction: a proof-of-concept for Indian practice'. State the geographic context in the title or subtitle.</w:t>
      </w:r>
    </w:p>
    <w:p w14:paraId="03B78ACF" w14:textId="77777777" w:rsidR="00FC6ACA" w:rsidRPr="000D00AD" w:rsidRDefault="00A17CF4">
      <w:pPr>
        <w:spacing w:after="40"/>
        <w:jc w:val="center"/>
        <w:rPr>
          <w:lang w:val="sv-SE"/>
        </w:rPr>
      </w:pPr>
      <w:r>
        <w:rPr>
          <w:b/>
          <w:bCs/>
          <w:lang w:val="sv-SE"/>
        </w:rPr>
        <w:t>Pooja Mishra</w:t>
      </w:r>
      <w:r>
        <w:rPr>
          <w:vertAlign w:val="superscript"/>
          <w:lang w:val="sv-SE"/>
        </w:rPr>
        <w:t>1</w:t>
      </w:r>
      <w:r>
        <w:rPr>
          <w:b/>
          <w:bCs/>
          <w:lang w:val="sv-SE"/>
        </w:rPr>
        <w:t>, Fulena Rajak</w:t>
      </w:r>
      <w:r>
        <w:rPr>
          <w:vertAlign w:val="superscript"/>
          <w:lang w:val="sv-SE"/>
        </w:rPr>
        <w:t>2</w:t>
      </w:r>
      <w:r>
        <w:rPr>
          <w:b/>
          <w:bCs/>
          <w:lang w:val="sv-SE"/>
        </w:rPr>
        <w:t>, Ravish Kumar</w:t>
      </w:r>
      <w:r>
        <w:rPr>
          <w:vertAlign w:val="superscript"/>
          <w:lang w:val="sv-SE"/>
        </w:rPr>
        <w:t>3</w:t>
      </w:r>
    </w:p>
    <w:p>
      <w:pPr>
        <w:pBdr>
          <w:left w:val="single" w:sz="12" w:space="6" w:color="FF0000"/>
        </w:pBdr>
        <w:spacing w:before="40" w:after="80"/>
        <w:ind w:left="284"/>
        <w:jc w:val="left"/>
      </w:pPr>
      <w:r>
        <w:rPr>
          <w:b/>
          <w:color w:val="FF0000"/>
          <w:sz w:val="20"/>
        </w:rPr>
        <w:t xml:space="preserve">▶ [POLISH] Author block: </w:t>
      </w:r>
      <w:r>
        <w:rPr>
          <w:color w:val="FF0000"/>
          <w:sz w:val="20"/>
        </w:rPr>
        <w:t xml:space="preserve">Give each author's own department/affiliation line with city and country, add ORCID iDs (T&amp;F expects them for the corresponding author), and remove the non-standard 'Co-authors' line. If the journal uses double-anonymised review, prepare a separate anonymised main document and a title page (T&amp;F: 'Notes on contributors', ≤100 words each).</w:t>
      </w:r>
    </w:p>
    <w:p w14:paraId="3354DAFA" w14:textId="77777777" w:rsidR="00FC6ACA" w:rsidRDefault="00A17CF4">
      <w:pPr>
        <w:spacing w:after="40"/>
        <w:jc w:val="center"/>
      </w:pPr>
      <w:r>
        <w:rPr>
          <w:vertAlign w:val="superscript"/>
        </w:rPr>
        <w:t>1,2,3</w:t>
      </w:r>
      <w:r>
        <w:rPr>
          <w:i/>
          <w:iCs/>
        </w:rPr>
        <w:t xml:space="preserve"> Department of Architecture and Planning, National Institute of Technology Patna, Bihar 800005, India</w:t>
      </w:r>
    </w:p>
    <w:p w14:paraId="59617000" w14:textId="77777777" w:rsidR="00FC6ACA" w:rsidRDefault="00A17CF4">
      <w:pPr>
        <w:spacing w:after="40"/>
        <w:jc w:val="center"/>
      </w:pPr>
      <w:r>
        <w:t>Corresponding author: poojam.ph21@nitp.ac.in</w:t>
      </w:r>
    </w:p>
    <w:p w14:paraId="0A129F46" w14:textId="77777777" w:rsidR="00FC6ACA" w:rsidRDefault="00A17CF4">
      <w:pPr>
        <w:spacing w:after="40"/>
        <w:jc w:val="center"/>
      </w:pPr>
      <w:r>
        <w:t>Co-authors: fulena.rajak@nitp.ac.in (Fulena Rajak); ravish.kumar@nitp.ac.in (Ravish Kumar)</w:t>
      </w:r>
    </w:p>
    <w:p>
      <w:pPr>
        <w:pBdr>
          <w:left w:val="single" w:sz="12" w:space="6" w:color="FF0000"/>
        </w:pBdr>
        <w:spacing w:before="40" w:after="80"/>
        <w:ind w:left="284"/>
        <w:jc w:val="left"/>
      </w:pPr>
      <w:r>
        <w:rPr>
          <w:b/>
          <w:color w:val="FF0000"/>
          <w:sz w:val="20"/>
        </w:rPr>
        <w:t xml:space="preserve">▶ REVIEWER ANNOTATIONS — OVERALL ASSESSMENT: </w:t>
      </w:r>
      <w:r>
        <w:rPr>
          <w:color w:val="FF0000"/>
          <w:sz w:val="20"/>
        </w:rPr>
        <w:t xml:space="preserve">All red text is an editorial/peer-review style comment added for your consideration; none of the original text has been altered. Items are tagged [MUST FIX] (likely to cause rejection or desk-return), [SHOULD FIX] (will be raised by reviewers) or [POLISH].</w:t>
      </w:r>
    </w:p>
    <w:p>
      <w:pPr>
        <w:pBdr>
          <w:left w:val="single" w:sz="12" w:space="6" w:color="FF0000"/>
        </w:pBdr>
        <w:spacing w:before="40" w:after="80"/>
        <w:ind w:left="284"/>
        <w:jc w:val="left"/>
      </w:pPr>
      <w:r>
        <w:rPr>
          <w:b/>
          <w:color w:val="FF0000"/>
          <w:sz w:val="20"/>
        </w:rPr>
        <w:t xml:space="preserve">▶ Strengths: </w:t>
      </w:r>
      <w:r>
        <w:rPr>
          <w:color w:val="FF0000"/>
          <w:sz w:val="20"/>
        </w:rPr>
        <w:t xml:space="preserve">Relevant, practical topic; transparent rule-based approach; open code and data intent; candid statements that AHP/TOPSIS comparison and validation are still pending; clear structure.</w:t>
      </w:r>
    </w:p>
    <w:p>
      <w:pPr>
        <w:pBdr>
          <w:left w:val="single" w:sz="12" w:space="6" w:color="FF0000"/>
        </w:pBdr>
        <w:spacing w:before="40" w:after="80"/>
        <w:ind w:left="284"/>
        <w:jc w:val="left"/>
      </w:pPr>
      <w:r>
        <w:rPr>
          <w:b/>
          <w:color w:val="FF0000"/>
          <w:sz w:val="20"/>
        </w:rPr>
        <w:t xml:space="preserve">▶ [MUST FIX] Reported results cannot be reproduced from the released code: </w:t>
      </w:r>
      <w:r>
        <w:rPr>
          <w:color w:val="FF0000"/>
          <w:sz w:val="20"/>
        </w:rPr>
        <w:t xml:space="preserve">I ran the repository code (fdss.py, rule_base.py, membership_functions.py, case_studies.csv) unchanged. Results: Case A (10-storey) — all six systems score an identical 8.80; Case B (45-storey) — aluminium 70.0, steel 70.0, tunnel 49.5, fabric/timber/plastic 37.5; Case C (90-storey) — aluminium 70.0, steel 70.0, tunnel 57.2, plastic 37.5, fabric 33.8, timber 30.8. These differ materially from Figure 6 (e.g., fabric 80, timber 72, aluminium 82/90, steel 84, engineered 88) and from the README 'expected output'. Reviewers who run the code will find this immediately. Details in Sections 2.3, 3.2 and 3.3 below.</w:t>
      </w:r>
    </w:p>
    <w:p>
      <w:pPr>
        <w:pBdr>
          <w:left w:val="single" w:sz="12" w:space="6" w:color="FF0000"/>
        </w:pBdr>
        <w:spacing w:before="40" w:after="80"/>
        <w:ind w:left="284"/>
        <w:jc w:val="left"/>
      </w:pPr>
      <w:r>
        <w:rPr>
          <w:b/>
          <w:color w:val="FF0000"/>
          <w:sz w:val="20"/>
        </w:rPr>
        <w:t xml:space="preserve">▶ [MUST FIX] Rule weights and Table 4 are not computed anywhere: </w:t>
      </w:r>
      <w:r>
        <w:rPr>
          <w:color w:val="FF0000"/>
          <w:sz w:val="20"/>
        </w:rPr>
        <w:t xml:space="preserve">WEIGHTS in rule_base.py is never passed to the rules, and sensitivity.py hard-codes the Table 4 numbers ('Table 4 expected values') instead of perturbing weights. The sensitivity analysis and the 'rank order preserved in every trial' claim therefore have no computational basis in the package.</w:t>
      </w:r>
    </w:p>
    <w:p>
      <w:pPr>
        <w:pBdr>
          <w:left w:val="single" w:sz="12" w:space="6" w:color="FF0000"/>
        </w:pBdr>
        <w:spacing w:before="40" w:after="80"/>
        <w:ind w:left="284"/>
        <w:jc w:val="left"/>
      </w:pPr>
      <w:r>
        <w:rPr>
          <w:b/>
          <w:color w:val="FF0000"/>
          <w:sz w:val="20"/>
        </w:rPr>
        <w:t xml:space="preserve">▶ [MUST FIX] Validation is circular and the 'comparison' is not a comparison: </w:t>
      </w:r>
      <w:r>
        <w:rPr>
          <w:color w:val="FF0000"/>
          <w:sz w:val="20"/>
        </w:rPr>
        <w:t xml:space="preserve">Case inputs are author-constructed illustrative vectors (the repository says so; the manuscript does not), the rules were built to encode the expected pattern, and the same twelve experts calibrated MFs and rules. No independent evidence supports 'correctly identifies the most suitable systems'. Either add genuine external validation or reframe the paper explicitly as a methodological proof-of-concept (title, abstract, objectives, conclusions).</w:t>
      </w:r>
    </w:p>
    <w:p>
      <w:pPr>
        <w:pBdr>
          <w:left w:val="single" w:sz="12" w:space="6" w:color="FF0000"/>
        </w:pBdr>
        <w:spacing w:before="40" w:after="80"/>
        <w:ind w:left="284"/>
        <w:jc w:val="left"/>
      </w:pPr>
      <w:r>
        <w:rPr>
          <w:b/>
          <w:color w:val="FF0000"/>
          <w:sz w:val="20"/>
        </w:rPr>
        <w:t xml:space="preserve">▶ [MUST FIX] Title/abstract over-claim: </w:t>
      </w:r>
      <w:r>
        <w:rPr>
          <w:color w:val="FF0000"/>
          <w:sz w:val="20"/>
        </w:rPr>
        <w:t xml:space="preserve">'Equipment' selection is not modelled (no crane/hoist variables); 'carbon-aware' has no carbon variable; 'BIM-integrated' is not implemented or demonstrated; '&lt;50 ms' is not benchmarked (evaluate() rebuilds the control system on every call); 'tolerates missing inputs' is untested and, as coded, an absent input raises an error.</w:t>
      </w:r>
    </w:p>
    <w:p>
      <w:pPr>
        <w:pBdr>
          <w:left w:val="single" w:sz="12" w:space="6" w:color="FF0000"/>
        </w:pBdr>
        <w:spacing w:before="40" w:after="80"/>
        <w:ind w:left="284"/>
        <w:jc w:val="left"/>
      </w:pPr>
      <w:r>
        <w:rPr>
          <w:b/>
          <w:color w:val="FF0000"/>
          <w:sz w:val="20"/>
        </w:rPr>
        <w:t xml:space="preserve">▶ [MUST FIX] Internal contradictions: </w:t>
      </w:r>
      <w:r>
        <w:rPr>
          <w:color w:val="FF0000"/>
          <w:sz w:val="20"/>
        </w:rPr>
        <w:t xml:space="preserve">Introduction says AHP/TOPSIS are benchmarked 'quantitatively' and Objective 4 promises validation against expert review; Abstract/§3.4 say there is no quantitative benchmark and no validation. §4.1 refers to 'trapezoidal output sets' but all sets are triangular. Survey RII values in §2.1 differ from survey_top5.csv. Heights in §3.2 (35/160/350 m) differ from the CSV (40/160/320 m).</w:t>
      </w:r>
    </w:p>
    <w:p>
      <w:pPr>
        <w:pBdr>
          <w:left w:val="single" w:sz="12" w:space="6" w:color="FF0000"/>
        </w:pBdr>
        <w:spacing w:before="40" w:after="80"/>
        <w:ind w:left="284"/>
        <w:jc w:val="left"/>
      </w:pPr>
      <w:r>
        <w:rPr>
          <w:b/>
          <w:color w:val="FF0000"/>
          <w:sz w:val="20"/>
        </w:rPr>
        <w:t xml:space="preserve">▶ [SHOULD FIX] Journal fit and format: </w:t>
      </w:r>
      <w:r>
        <w:rPr>
          <w:color w:val="FF0000"/>
          <w:sz w:val="20"/>
        </w:rPr>
        <w:t xml:space="preserve">The README names Automation in Construction (Elsevier) as the target, whereas this review is for Taylor &amp; Francis. Choose the journal first, then adapt scope, length, reference style and declarations to its Instructions for Authors. Plausible T&amp;F fits (verify scope and current requirements): International Journal of Construction Management; Journal of Civil Engineering and Management; Construction Management and Economics; Architectural Engineering and Design Management; Building Research &amp; Information (if the carbon dimension is made real). A fuller T&amp;F checklist is at the end of this document.</w:t>
      </w:r>
    </w:p>
    <w:p>
      <w:pPr>
        <w:pBdr>
          <w:left w:val="single" w:sz="12" w:space="6" w:color="FF0000"/>
        </w:pBdr>
        <w:spacing w:before="40" w:after="80"/>
        <w:ind w:left="284"/>
        <w:jc w:val="left"/>
      </w:pPr>
      <w:r>
        <w:rPr>
          <w:b/>
          <w:color w:val="FF0000"/>
          <w:sz w:val="20"/>
        </w:rPr>
        <w:t xml:space="preserve">▶ Suggested priority order: </w:t>
      </w:r>
      <w:r>
        <w:rPr>
          <w:color w:val="FF0000"/>
          <w:sz w:val="20"/>
        </w:rPr>
        <w:t xml:space="preserve">1) Fix the model/code so that reported numbers are generated by the released code; 2) implement and report real weighting + global sensitivity analysis; 3) add independent validation (expert panel and/or completed projects) and a genuine quantitative benchmark; 4) add a literature review and sharpen novelty; 5) tone down claims; 6) update declarations, references and formatting to T&amp;F style.</w:t>
      </w:r>
    </w:p>
    <w:p w14:paraId="0774E9CB" w14:textId="77777777" w:rsidR="00FC6ACA" w:rsidRDefault="00A17CF4">
      <w:pPr>
        <w:pStyle w:val="Heading2"/>
      </w:pPr>
      <w:r>
        <w:t>Abstract</w:t>
      </w:r>
    </w:p>
    <w:p w14:paraId="2B39CE6A" w14:textId="77777777" w:rsidR="00FC6ACA" w:rsidRDefault="00A17CF4">
      <w:pPr>
        <w:spacing w:after="160" w:line="276" w:lineRule="auto"/>
        <w:jc w:val="both"/>
      </w:pPr>
      <w:r>
        <w:t>Formwork and equipment selection in high-rise construction is a multi-attribute decision dominated by linguistic, expert-judgment inputs, which classical optimization methods handle poorly. This paper develops a Mamdani fuzzy inference decision-support system (FDSS) that maps five top-ranked criteria from a 421-respondent industry survey of Indian construction professionals — safety, ease of installation, height capability, reusability, and operational cost — into a defuzzified suitability score on a 0–100 scale. Triangular membership functions and an eight-rule expert-weighted base are combined by max–min inference and centroid defuzzification, implemented in Python using the scikit-fuzzy library and running in under 50 milliseconds per evaluation, making the tool suitable for interactive, BIM-integrated early-stage design. Applied to three representative cases — a 10-storey residential block, a 45-storey mixed-use tower, and a 90-storey supertall — the FDSS reproduces qualitative patterns reported in the literature: lightweight fabric and timber dominate low-rise construction, aluminium leads at mid-rise, and aluminium and steel jointly dominate at supertall heights. A qualitative, illustrative comparison with the Analytic Hierarchy Process (AHP) and TOPSIS—not a quantitative benchmark—suggests the FDSS may offer greater tolerance to linguistic and missing inputs than either method, a claim that warrants formal empirical validation. Sensitivity analysis, in which each of the eight rule weights was independently perturbed by ±20%, preserves the rank order of the six formwork systems in every trial, with a maximum observed swing of 4.8 percentage points, confirming the expert-elicited rule weights are robust to modest elicitation noise. These results support deployment of the FDSS as a transparent, BIM-integrated, carbon-aware early-stage decision-support tool for high-rise construction planning.</w:t>
      </w:r>
    </w:p>
    <w:p>
      <w:pPr>
        <w:pBdr>
          <w:left w:val="single" w:sz="12" w:space="6" w:color="FF0000"/>
        </w:pBdr>
        <w:spacing w:before="40" w:after="80"/>
        <w:ind w:left="284"/>
        <w:jc w:val="left"/>
      </w:pPr>
      <w:r>
        <w:rPr>
          <w:b/>
          <w:color w:val="FF0000"/>
          <w:sz w:val="20"/>
        </w:rPr>
        <w:t xml:space="preserve">▶ [SHOULD FIX] Length and structure: </w:t>
      </w:r>
      <w:r>
        <w:rPr>
          <w:color w:val="FF0000"/>
          <w:sz w:val="20"/>
        </w:rPr>
        <w:t xml:space="preserve">The abstract is ≈257 words; many T&amp;F journals cap abstracts at 150–250 words — check the target journal. Use a Background–Method–Findings–Implications flow and include 2–3 concrete numbers.</w:t>
      </w:r>
    </w:p>
    <w:p>
      <w:pPr>
        <w:pBdr>
          <w:left w:val="single" w:sz="12" w:space="6" w:color="FF0000"/>
        </w:pBdr>
        <w:spacing w:before="40" w:after="80"/>
        <w:ind w:left="284"/>
        <w:jc w:val="left"/>
      </w:pPr>
      <w:r>
        <w:rPr>
          <w:b/>
          <w:color w:val="FF0000"/>
          <w:sz w:val="20"/>
        </w:rPr>
        <w:t xml:space="preserve">▶ [MUST FIX] Claims that are unsupported or self-contradicted: </w:t>
      </w:r>
      <w:r>
        <w:rPr>
          <w:color w:val="FF0000"/>
          <w:sz w:val="20"/>
        </w:rPr>
        <w:t xml:space="preserve">(a) 'reproduces qualitative patterns reported in the literature' — circular (rules and inputs were designed for it) and not reproducible from the code; (b) 'may offer greater tolerance to … missing inputs … a claim that warrants formal empirical validation' — do not put an untested claim in the abstract; delete or move to limitations; (c) 'confirming the expert-elicited rule weights are robust' — one-at-a-time ±20% weight perturbation cannot confirm robustness; use 'suggests' and report what was perturbed; (d) 'carbon-aware', 'BIM-integrated', 'equipment' — see Title and Section 2.4 comments; (e) '&lt;50 milliseconds' — report hardware and timing protocol or remove.</w:t>
      </w:r>
    </w:p>
    <w:p>
      <w:pPr>
        <w:pBdr>
          <w:left w:val="single" w:sz="12" w:space="6" w:color="FF0000"/>
        </w:pBdr>
        <w:spacing w:before="40" w:after="80"/>
        <w:ind w:left="284"/>
        <w:jc w:val="left"/>
      </w:pPr>
      <w:r>
        <w:rPr>
          <w:b/>
          <w:color w:val="FF0000"/>
          <w:sz w:val="20"/>
        </w:rPr>
        <w:t xml:space="preserve">▶ [SHOULD FIX] Missing information: </w:t>
      </w:r>
      <w:r>
        <w:rPr>
          <w:color w:val="FF0000"/>
          <w:sz w:val="20"/>
        </w:rPr>
        <w:t xml:space="preserve">State clearly that case inputs are illustrative; give the sample composition of the survey (who, where, how sampled), the size of the expert panel (12), and the headline scores. 'Indian construction professionals' is stated but the geographic limitation should be mirrored in the title/conclusion.</w:t>
      </w:r>
    </w:p>
    <w:p>
      <w:pPr>
        <w:pBdr>
          <w:left w:val="single" w:sz="12" w:space="6" w:color="FF0000"/>
        </w:pBdr>
        <w:spacing w:before="40" w:after="80"/>
        <w:ind w:left="284"/>
        <w:jc w:val="left"/>
      </w:pPr>
      <w:r>
        <w:rPr>
          <w:b/>
          <w:color w:val="FF0000"/>
          <w:sz w:val="20"/>
        </w:rPr>
        <w:t xml:space="preserve">▶ [POLISH] Language: </w:t>
      </w:r>
      <w:r>
        <w:rPr>
          <w:color w:val="FF0000"/>
          <w:sz w:val="20"/>
        </w:rPr>
        <w:t xml:space="preserve">Choose one spelling convention (the text mixes storey/story, aluminium/aluminum, optimisation/optimization, realised/realized). Avoid 'qualitative, illustrative comparison … not a quantitative benchmark' phrasing in an abstract — it reads as an admission of weakness; instead, state the contribution accurately.</w:t>
      </w:r>
    </w:p>
    <w:p w14:paraId="63B07ECA" w14:textId="77777777" w:rsidR="00FC6ACA" w:rsidRDefault="00A17CF4">
      <w:pPr>
        <w:spacing w:after="240"/>
      </w:pPr>
      <w:r>
        <w:rPr>
          <w:i/>
          <w:iCs/>
        </w:rPr>
        <w:t>Keywords: Fuzzy inference system; Mamdani; Formwork selection; Decision-support system; High-rise construction; BIM integration; Multi-attribute decision-making</w:t>
      </w:r>
    </w:p>
    <w:p>
      <w:pPr>
        <w:pBdr>
          <w:left w:val="single" w:sz="12" w:space="6" w:color="FF0000"/>
        </w:pBdr>
        <w:spacing w:before="40" w:after="80"/>
        <w:ind w:left="284"/>
        <w:jc w:val="left"/>
      </w:pPr>
      <w:r>
        <w:rPr>
          <w:b/>
          <w:color w:val="FF0000"/>
          <w:sz w:val="20"/>
        </w:rPr>
        <w:t xml:space="preserve">▶ [POLISH] Keywords: </w:t>
      </w:r>
      <w:r>
        <w:rPr>
          <w:color w:val="FF0000"/>
          <w:sz w:val="20"/>
        </w:rPr>
        <w:t xml:space="preserve">Use 5–6 keywords not duplicated in the title (T&amp;F guidance varies by journal). Consider: fuzzy logic; formwork selection; tall buildings; construction decision support; expert elicitation; India. 'Multi-attribute decision-making' and 'Decision-support system' repeat the title concept.</w:t>
      </w:r>
    </w:p>
    <w:p w14:paraId="04FCF3C3" w14:textId="77777777" w:rsidR="00FC6ACA" w:rsidRDefault="00A17CF4">
      <w:pPr>
        <w:pStyle w:val="Heading1"/>
      </w:pPr>
      <w:r>
        <w:t>1. Introduction</w:t>
      </w:r>
    </w:p>
    <w:p w14:paraId="77203449" w14:textId="77777777" w:rsidR="00FC6ACA" w:rsidRDefault="00A17CF4">
      <w:pPr>
        <w:spacing w:after="160" w:line="276" w:lineRule="auto"/>
        <w:jc w:val="both"/>
      </w:pPr>
      <w:r>
        <w:t>Formwork and lifting-equipment selection sits at the intersection of cost, schedule, safety, surface quality and environmental performance. In tall buildings — where formwork can account for up to 60% of structural cost and a substantial share of embodied carbon — the decision is consequential and irreversible once construction begins [1,2]. Practitioners typically rely on experience, supplier relationships and qualitative judgement rather than formal optimisation [3].</w:t>
      </w:r>
    </w:p>
    <w:p>
      <w:pPr>
        <w:pBdr>
          <w:left w:val="single" w:sz="12" w:space="6" w:color="FF0000"/>
        </w:pBdr>
        <w:spacing w:before="40" w:after="80"/>
        <w:ind w:left="284"/>
        <w:jc w:val="left"/>
      </w:pPr>
      <w:r>
        <w:rPr>
          <w:b/>
          <w:color w:val="FF0000"/>
          <w:sz w:val="20"/>
        </w:rPr>
        <w:t xml:space="preserve">▶ [SHOULD FIX] Evidence for the opening claims: </w:t>
      </w:r>
      <w:r>
        <w:rPr>
          <w:color w:val="FF0000"/>
          <w:sz w:val="20"/>
        </w:rPr>
        <w:t xml:space="preserve">'up to 60% of structural cost' and 'a substantial share of embodied carbon' need current, primary, and ideally Indian sources — [1,2] are textbooks from 1999–2011. 'Practitioners typically rely on experience… [3]' is a general claim that rests on one study from a different context (check [3]'s geography). Add 2–3 recent empirical sources (2018–2025) on formwork cost share and its carbon contribution.</w:t>
      </w:r>
    </w:p>
    <w:p>
      <w:pPr>
        <w:pBdr>
          <w:left w:val="single" w:sz="12" w:space="6" w:color="FF0000"/>
        </w:pBdr>
        <w:spacing w:before="40" w:after="80"/>
        <w:ind w:left="284"/>
        <w:jc w:val="left"/>
      </w:pPr>
      <w:r>
        <w:rPr>
          <w:b/>
          <w:color w:val="FF0000"/>
          <w:sz w:val="20"/>
        </w:rPr>
        <w:t xml:space="preserve">▶ [SHOULD FIX] Define scope: </w:t>
      </w:r>
      <w:r>
        <w:rPr>
          <w:color w:val="FF0000"/>
          <w:sz w:val="20"/>
        </w:rPr>
        <w:t xml:space="preserve">Define 'high-rise' with a reference (e.g., CTBUH or the Indian National Building Code) and 'supertall' (CTBUH: ≥300 m). A 10-storey/35 m block is below CTBUH's 50 m tall-building threshold, which weakens the claim that the cases span 'high-rise' construction. Also define 'equipment' (crane, hoist, climbing platform?) since the title uses it.</w:t>
      </w:r>
    </w:p>
    <w:p w14:paraId="2982DA6B" w14:textId="77777777" w:rsidR="00FC6ACA" w:rsidRDefault="00A17CF4">
      <w:pPr>
        <w:spacing w:after="160" w:line="276" w:lineRule="auto"/>
        <w:jc w:val="both"/>
      </w:pPr>
      <w:r>
        <w:t>Multi-criteria decision-making (MCDM) techniques such as the Analytic Hierarchy Process (AHP), TOPSIS and PROMETHEE have been applied to formwork selection with limited industry uptake [4,5]. Their main practical limitation is the requirement for deterministic numerical inputs in a domain where the relevant information is overwhelmingly linguistic ('the safety performance is good', 'the height capability is sufficient'). Fuzzy logic, introduced by Zadeh [6], offers a natural language for this kind of imprecise reasoning, and Mamdani's max–min inference scheme [7] has become the dominant fuzzy method in construction decision-support applications [8,9].</w:t>
      </w:r>
    </w:p>
    <w:p>
      <w:pPr>
        <w:pBdr>
          <w:left w:val="single" w:sz="12" w:space="6" w:color="FF0000"/>
        </w:pBdr>
        <w:spacing w:before="40" w:after="80"/>
        <w:ind w:left="284"/>
        <w:jc w:val="left"/>
      </w:pPr>
      <w:r>
        <w:rPr>
          <w:b/>
          <w:color w:val="FF0000"/>
          <w:sz w:val="20"/>
        </w:rPr>
        <w:t xml:space="preserve">▶ [SHOULD FIX] Citations: </w:t>
      </w:r>
      <w:r>
        <w:rPr>
          <w:color w:val="FF0000"/>
          <w:sz w:val="20"/>
        </w:rPr>
        <w:t xml:space="preserve">TOPSIS and PROMETHEE have no citations (add Hwang &amp; Yoon, 1981 for TOPSIS; Brans &amp; Vincke, 1985 for PROMETHEE). 'limited industry uptake [4,5]' — [4] is Saaty's 1980 book and cannot evidence industry uptake; cite surveys of practice. 'Mamdani's max–min scheme has become the dominant fuzzy method in construction decision-support [8,9]' — [8] is one comparative study and [9] a textbook; support with a review (bibliometric/systematic) or soften to 'widely used'.</w:t>
      </w:r>
    </w:p>
    <w:p>
      <w:pPr>
        <w:pBdr>
          <w:left w:val="single" w:sz="12" w:space="6" w:color="FF0000"/>
        </w:pBdr>
        <w:spacing w:before="40" w:after="80"/>
        <w:ind w:left="284"/>
        <w:jc w:val="left"/>
      </w:pPr>
      <w:r>
        <w:rPr>
          <w:b/>
          <w:color w:val="FF0000"/>
          <w:sz w:val="20"/>
        </w:rPr>
        <w:t xml:space="preserve">▶ [SHOULD FIX] Argument: </w:t>
      </w:r>
      <w:r>
        <w:rPr>
          <w:color w:val="FF0000"/>
          <w:sz w:val="20"/>
        </w:rPr>
        <w:t xml:space="preserve">The claim that classical MCDM methods require deterministic inputs ignores fuzzy AHP, fuzzy TOPSIS, grey/interval and Best–Worst variants, which are the appropriate comparators. Also note that FIS requires crisp 1–10 ratings in this implementation (the 'linguistic inputs' are converted to numbers before fuzzification, as Table 1 shows), so the 'linguistic input' advantage needs careful wording.</w:t>
      </w:r>
    </w:p>
    <w:p>
      <w:pPr>
        <w:pBdr>
          <w:left w:val="single" w:sz="12" w:space="6" w:color="FF0000"/>
        </w:pBdr>
        <w:spacing w:before="40" w:after="80"/>
        <w:ind w:left="284"/>
        <w:jc w:val="left"/>
      </w:pPr>
      <w:r>
        <w:rPr>
          <w:b/>
          <w:color w:val="FF0000"/>
          <w:sz w:val="20"/>
        </w:rPr>
        <w:t xml:space="preserve">▶ [MUST FIX] No literature review: </w:t>
      </w:r>
      <w:r>
        <w:rPr>
          <w:color w:val="FF0000"/>
          <w:sz w:val="20"/>
        </w:rPr>
        <w:t xml:space="preserve">Add a Section 2 'Related work' (500–900 words) plus a synthesis table: study, decision problem, criteria, method, inputs, validation, limitations. Include prior fuzzy/AI formwork selection work (e.g., Hanna &amp; Senouci, 1995 and Jarkas, 2012, which your own methodology.md cites but the manuscript omits), recent MCDM formwork studies, fuzzy AHP/TOPSIS, ANFIS/ML-based selection, and BIM-linked formwork planning. Aim for 40+ references, a majority from 2018–2025.</w:t>
      </w:r>
    </w:p>
    <w:p w14:paraId="1C020521" w14:textId="77777777" w:rsidR="00FC6ACA" w:rsidRDefault="00A17CF4">
      <w:pPr>
        <w:spacing w:after="160" w:line="276" w:lineRule="auto"/>
        <w:jc w:val="both"/>
      </w:pPr>
      <w:r>
        <w:t>Despite the theoretical fit, fuzzy decision-support tools for formwork selection remain rare in published literature, and almost none are calibrated against large-scale industry survey data. The present study addresses this gap by building a Mamdani fuzzy inference decision-support system (FDSS) on top of a validated factor hierarchy derived from a 421-respondent industry survey [10], applying it to representative project cases, benchmarking its outputs quantitatively against AHP and TOPSIS, and testing its sensitivity.</w:t>
      </w:r>
    </w:p>
    <w:p>
      <w:pPr>
        <w:pBdr>
          <w:left w:val="single" w:sz="12" w:space="6" w:color="FF0000"/>
        </w:pBdr>
        <w:spacing w:before="40" w:after="80"/>
        <w:ind w:left="284"/>
        <w:jc w:val="left"/>
      </w:pPr>
      <w:r>
        <w:rPr>
          <w:b/>
          <w:color w:val="FF0000"/>
          <w:sz w:val="20"/>
        </w:rPr>
        <w:t xml:space="preserve">▶ [MUST FIX] Novelty claim: </w:t>
      </w:r>
      <w:r>
        <w:rPr>
          <w:color w:val="FF0000"/>
          <w:sz w:val="20"/>
        </w:rPr>
        <w:t xml:space="preserve">'remain rare' and 'almost none are calibrated against large-scale survey data' are unsupported and conflict with Hanna &amp; Senouci (1995), which your own repository cites. Support the gap with a documented search (databases, strings, years, inclusion criteria) or rephrase to a specific, defensible gap (e.g., 'no published model links a survey-derived factor ranking to a transparent rule-based score for Indian high-rise formwork').</w:t>
      </w:r>
    </w:p>
    <w:p>
      <w:pPr>
        <w:pBdr>
          <w:left w:val="single" w:sz="12" w:space="6" w:color="FF0000"/>
        </w:pBdr>
        <w:spacing w:before="40" w:after="80"/>
        <w:ind w:left="284"/>
        <w:jc w:val="left"/>
      </w:pPr>
      <w:r>
        <w:rPr>
          <w:b/>
          <w:color w:val="FF0000"/>
          <w:sz w:val="20"/>
        </w:rPr>
        <w:t xml:space="preserve">▶ [MUST FIX] Contradiction: </w:t>
      </w:r>
      <w:r>
        <w:rPr>
          <w:color w:val="FF0000"/>
          <w:sz w:val="20"/>
        </w:rPr>
        <w:t xml:space="preserve">'benchmarking its outputs quantitatively against AHP and TOPSIS' contradicts the Abstract and §3.4 (no quantitative benchmark). Either perform the benchmark or delete this phrase.</w:t>
      </w:r>
    </w:p>
    <w:p>
      <w:pPr>
        <w:pBdr>
          <w:left w:val="single" w:sz="12" w:space="6" w:color="FF0000"/>
        </w:pBdr>
        <w:spacing w:before="40" w:after="80"/>
        <w:ind w:left="284"/>
        <w:jc w:val="left"/>
      </w:pPr>
      <w:r>
        <w:rPr>
          <w:b/>
          <w:color w:val="FF0000"/>
          <w:sz w:val="20"/>
        </w:rPr>
        <w:t xml:space="preserve">▶ [SHOULD FIX] 'validated factor hierarchy': </w:t>
      </w:r>
      <w:r>
        <w:rPr>
          <w:color w:val="FF0000"/>
          <w:sz w:val="20"/>
        </w:rPr>
        <w:t xml:space="preserve">The survey is cited to a doctoral thesis [10] and a companion paper that is still under review (README). Explain what 'validated' means (reliability, factor analysis, sample adequacy) and make the survey methodology available to reviewers (supplementary file). Disclose clearly the relationship between this paper, the thesis, the companion survey paper and [16] (overlap/duplicate-publication screening is routine at T&amp;F).</w:t>
      </w:r>
    </w:p>
    <w:p>
      <w:pPr>
        <w:pBdr>
          <w:left w:val="single" w:sz="12" w:space="6" w:color="FF0000"/>
        </w:pBdr>
        <w:spacing w:before="40" w:after="80"/>
        <w:ind w:left="284"/>
        <w:jc w:val="left"/>
      </w:pPr>
      <w:r>
        <w:rPr>
          <w:b/>
          <w:color w:val="FF0000"/>
          <w:sz w:val="20"/>
        </w:rPr>
        <w:t xml:space="preserve">▶ [SHOULD FIX] Missing elements of a good introduction: </w:t>
      </w:r>
      <w:r>
        <w:rPr>
          <w:color w:val="FF0000"/>
          <w:sz w:val="20"/>
        </w:rPr>
        <w:t xml:space="preserve">Add: explicit research questions/hypotheses; a contributions paragraph (theoretical + practical); and a short paper outline.</w:t>
      </w:r>
    </w:p>
    <w:p w14:paraId="148B76B1" w14:textId="77777777" w:rsidR="00FC6ACA" w:rsidRDefault="00A17CF4">
      <w:pPr>
        <w:pStyle w:val="Heading2"/>
      </w:pPr>
      <w:r>
        <w:t>1.1 Research Gap and Objectives</w:t>
      </w:r>
    </w:p>
    <w:p>
      <w:pPr>
        <w:pBdr>
          <w:left w:val="single" w:sz="12" w:space="6" w:color="FF0000"/>
        </w:pBdr>
        <w:spacing w:before="40" w:after="80"/>
        <w:ind w:left="284"/>
        <w:jc w:val="left"/>
      </w:pPr>
      <w:r>
        <w:rPr>
          <w:b/>
          <w:color w:val="FF0000"/>
          <w:sz w:val="20"/>
        </w:rPr>
        <w:t xml:space="preserve">▶ [SHOULD FIX] Heading vs content: </w:t>
      </w:r>
      <w:r>
        <w:rPr>
          <w:color w:val="FF0000"/>
          <w:sz w:val="20"/>
        </w:rPr>
        <w:t xml:space="preserve">The section is titled 'Research Gap' but contains only objectives. Add the gap statement here (what is known, what is missing, why it matters) and then the objectives.</w:t>
      </w:r>
    </w:p>
    <w:p w14:paraId="45552484" w14:textId="77777777" w:rsidR="00FC6ACA" w:rsidRDefault="00A17CF4">
      <w:pPr>
        <w:spacing w:after="160" w:line="276" w:lineRule="auto"/>
        <w:jc w:val="both"/>
      </w:pPr>
      <w:r>
        <w:t>The study has four objectives:</w:t>
      </w:r>
    </w:p>
    <w:p w14:paraId="6E66A8FA" w14:textId="77777777" w:rsidR="00FC6ACA" w:rsidRDefault="00A17CF4">
      <w:pPr>
        <w:spacing w:after="100"/>
        <w:ind w:left="360"/>
      </w:pPr>
      <w:r>
        <w:t>1. Build a Mamdani fuzzy inference decision-support system around the five top-ranked formwork- and equipment-selection factors established by industry survey.</w:t>
      </w:r>
    </w:p>
    <w:p w14:paraId="736D7488" w14:textId="77777777" w:rsidR="00FC6ACA" w:rsidRDefault="00A17CF4">
      <w:pPr>
        <w:spacing w:after="100"/>
        <w:ind w:left="360"/>
      </w:pPr>
      <w:r>
        <w:t>2. Define triangular membership functions and an expert-weighted rule base for the five inputs and the output variable.</w:t>
      </w:r>
    </w:p>
    <w:p w14:paraId="491C6D08" w14:textId="77777777" w:rsidR="00FC6ACA" w:rsidRDefault="00A17CF4">
      <w:pPr>
        <w:spacing w:after="100"/>
        <w:ind w:left="360"/>
      </w:pPr>
      <w:r>
        <w:t>3. Implement the FDSS in Python and apply it to three project cases spanning low-rise, mid-rise, and supertall construction.</w:t>
      </w:r>
    </w:p>
    <w:p w14:paraId="628FADD6" w14:textId="77777777" w:rsidR="00FC6ACA" w:rsidRDefault="00A17CF4">
      <w:pPr>
        <w:spacing w:after="200"/>
        <w:ind w:left="360"/>
      </w:pPr>
      <w:r>
        <w:t>4. Test the robustness of the rule weights through sensitivity analysis and validate the output against industry expert review.</w:t>
      </w:r>
    </w:p>
    <w:p>
      <w:pPr>
        <w:pBdr>
          <w:left w:val="single" w:sz="12" w:space="6" w:color="FF0000"/>
        </w:pBdr>
        <w:spacing w:before="40" w:after="80"/>
        <w:ind w:left="284"/>
        <w:jc w:val="left"/>
      </w:pPr>
      <w:r>
        <w:rPr>
          <w:b/>
          <w:color w:val="FF0000"/>
          <w:sz w:val="20"/>
        </w:rPr>
        <w:t xml:space="preserve">▶ [MUST FIX] Objectives not delivered: </w:t>
      </w:r>
      <w:r>
        <w:rPr>
          <w:color w:val="FF0000"/>
          <w:sz w:val="20"/>
        </w:rPr>
        <w:t xml:space="preserve">Objective 4 promises validation 'against industry expert review' — the manuscript contains none. Objective 1 and 2 are outputs/tasks rather than research objectives; rephrase as research questions (RQ1: …, RQ2: …) and map each RQ to a Results subsection. Add an objective on the (missing) validation if you add it.</w:t>
      </w:r>
    </w:p>
    <w:p w14:paraId="3D0CD418" w14:textId="77777777" w:rsidR="00FC6ACA" w:rsidRDefault="00A17CF4">
      <w:pPr>
        <w:pStyle w:val="Heading1"/>
      </w:pPr>
      <w:r>
        <w:t>2. Methodology</w:t>
      </w:r>
    </w:p>
    <w:p w14:paraId="30315F08" w14:textId="77777777" w:rsidR="00FC6ACA" w:rsidRDefault="00A17CF4">
      <w:pPr>
        <w:pStyle w:val="Heading2"/>
      </w:pPr>
      <w:r>
        <w:t>2.1 Selection of Input Variables</w:t>
      </w:r>
    </w:p>
    <w:p w14:paraId="7117863A" w14:textId="77777777" w:rsidR="00FC6ACA" w:rsidRDefault="00A17CF4">
      <w:pPr>
        <w:spacing w:after="160" w:line="276" w:lineRule="auto"/>
        <w:jc w:val="both"/>
      </w:pPr>
      <w:r>
        <w:t>Five input variables were selected from the top of the Relative Importance Index (RII) ranking established by a prior industry survey of 421 Indian construction professionals: safety performance (RII = 0.880), ease of installation and removal (0.850), capability to operate at the required height (0.850), reusability of the formwork (0.844), and operational cost per hour (0.839). These five variables jointly capture the four dimensions identified by factor analysis as the dominant explanatory constructs—safety, technical feasibility, lifecycle performance, and economic feasibility—while keeping the rule base tractable.</w:t>
      </w:r>
    </w:p>
    <w:p>
      <w:pPr>
        <w:pBdr>
          <w:left w:val="single" w:sz="12" w:space="6" w:color="FF0000"/>
        </w:pBdr>
        <w:spacing w:before="40" w:after="80"/>
        <w:ind w:left="284"/>
        <w:jc w:val="left"/>
      </w:pPr>
      <w:r>
        <w:rPr>
          <w:b/>
          <w:color w:val="FF0000"/>
          <w:sz w:val="20"/>
        </w:rPr>
        <w:t xml:space="preserve">▶ [MUST FIX] Data inconsistency: </w:t>
      </w:r>
      <w:r>
        <w:rPr>
          <w:color w:val="FF0000"/>
          <w:sz w:val="20"/>
        </w:rPr>
        <w:t xml:space="preserve">The RII values here for reusability (0.844) and operational cost (0.839) differ from survey_top5.csv in the repository (0.830 and 0.815). Reconcile and ensure the ranking is the same in thesis, companion paper and this manuscript.</w:t>
      </w:r>
    </w:p>
    <w:p>
      <w:pPr>
        <w:pBdr>
          <w:left w:val="single" w:sz="12" w:space="6" w:color="FF0000"/>
        </w:pBdr>
        <w:spacing w:before="40" w:after="80"/>
        <w:ind w:left="284"/>
        <w:jc w:val="left"/>
      </w:pPr>
      <w:r>
        <w:rPr>
          <w:b/>
          <w:color w:val="FF0000"/>
          <w:sz w:val="20"/>
        </w:rPr>
        <w:t xml:space="preserve">▶ [SHOULD FIX] Selection logic: </w:t>
      </w:r>
      <w:r>
        <w:rPr>
          <w:color w:val="FF0000"/>
          <w:sz w:val="20"/>
        </w:rPr>
        <w:t xml:space="preserve">Top-5 by RII is a convenience cut-off. Provide the full 20-factor ranking (table or supplement), the RII gap between rank 5 and 6, and a justification. Note that ease (0.850) and height (0.850) tie. Explain why carbon/embodied-emission and equipment-related factors are excluded when the abstract and conclusions emphasise carbon-aware selection and equipment.</w:t>
      </w:r>
    </w:p>
    <w:p>
      <w:pPr>
        <w:pBdr>
          <w:left w:val="single" w:sz="12" w:space="6" w:color="FF0000"/>
        </w:pBdr>
        <w:spacing w:before="40" w:after="80"/>
        <w:ind w:left="284"/>
        <w:jc w:val="left"/>
      </w:pPr>
      <w:r>
        <w:rPr>
          <w:b/>
          <w:color w:val="FF0000"/>
          <w:sz w:val="20"/>
        </w:rPr>
        <w:t xml:space="preserve">▶ [SHOULD FIX] Survey reporting: </w:t>
      </w:r>
      <w:r>
        <w:rPr>
          <w:color w:val="FF0000"/>
          <w:sz w:val="20"/>
        </w:rPr>
        <w:t xml:space="preserve">Report N=421 properly: sampling frame and method, response rate, respondent roles/experience/region, instrument design, Likert scale, reliability (Cronbach's α), and the factor analysis (KMO, Bartlett, extraction/rotation, loadings, variance explained). The text says four dimensions but only five variables are used and the CSV lists three components — clarify how five inputs 'jointly capture four dimensions'. Importance rankings (RII) measure importance, not performance of alternatives; explain how importance enters the FIS (currently it does not — all inputs are treated through rules, not weights).</w:t>
      </w:r>
    </w:p>
    <w:p>
      <w:pPr>
        <w:pBdr>
          <w:left w:val="single" w:sz="12" w:space="6" w:color="FF0000"/>
        </w:pBdr>
        <w:spacing w:before="40" w:after="80"/>
        <w:ind w:left="284"/>
        <w:jc w:val="left"/>
      </w:pPr>
      <w:r>
        <w:rPr>
          <w:b/>
          <w:color w:val="FF0000"/>
          <w:sz w:val="20"/>
        </w:rPr>
        <w:t xml:space="preserve">▶ [SHOULD FIX] Add a problem-definition subsection: </w:t>
      </w:r>
      <w:r>
        <w:rPr>
          <w:color w:val="FF0000"/>
          <w:sz w:val="20"/>
        </w:rPr>
        <w:t xml:space="preserve">Define the decision problem formally: alternatives (six systems), who the decision-maker is, when in the project it is made, and what each input means (e.g., 'height capability' = the system's maximum height capability, or the project's required height?). See §3.2.</w:t>
      </w:r>
    </w:p>
    <w:p w14:paraId="2E85547C" w14:textId="77777777" w:rsidR="00FC6ACA" w:rsidRDefault="00A17CF4">
      <w:pPr>
        <w:pStyle w:val="Heading2"/>
      </w:pPr>
      <w:r>
        <w:t>2.2 Fuzzification: Membership Functions</w:t>
      </w:r>
    </w:p>
    <w:p w14:paraId="4C06E4CD" w14:textId="77777777" w:rsidR="00FC6ACA" w:rsidRDefault="00A17CF4">
      <w:pPr>
        <w:spacing w:after="160" w:line="276" w:lineRule="auto"/>
        <w:jc w:val="both"/>
      </w:pPr>
      <w:r>
        <w:t>Each input variable is described by three triangular fuzzy sets, and the output (suitability) by four triangular sets. The linguistic terms are listed in Table 1 and the (a, b, c) parameter triplets in Table 2. Triangular shapes were chosen for their interpretability, computational efficiency and the established convention in construction-domain fuzzy systems [7,8,9]. Membership-function parameters were calibrated through expert consultation with the twelve practitioners who participated in the survey’s pilot round; ranges were anchored at the 10th, 50th and 90th percentiles of industry practice in India.</w:t>
      </w:r>
      <w:r>
        <w:rPr>
          <w:highlight w:val="yellow"/>
        </w:rPr>
        <w:t xml:space="preserve"> Figure 1 shows the resulting triangular membership functions for the five input linguistic variables, and Figure 2 shows the corresponding output (suitability) membership functions.</w:t>
      </w:r>
    </w:p>
    <w:p>
      <w:pPr>
        <w:pBdr>
          <w:left w:val="single" w:sz="12" w:space="6" w:color="FF0000"/>
        </w:pBdr>
        <w:spacing w:before="40" w:after="80"/>
        <w:ind w:left="284"/>
        <w:jc w:val="left"/>
      </w:pPr>
      <w:r>
        <w:rPr>
          <w:b/>
          <w:color w:val="FF0000"/>
          <w:sz w:val="20"/>
        </w:rPr>
        <w:t xml:space="preserve">▶ [SHOULD FIX] Design choices: </w:t>
      </w:r>
      <w:r>
        <w:rPr>
          <w:color w:val="FF0000"/>
          <w:sz w:val="20"/>
        </w:rPr>
        <w:t xml:space="preserve">Justify three input sets and four output sets (granularity), triangular vs trapezoidal/Gaussian shapes (currently deferred to Limitations — test it instead as a sensitivity run), and the width of overlaps. Shoulder sets ('Poor', 'Good', 'Insufficient', 'Optimal') are right-angle triangles; trapezoids are the conventional shoulder shape. 'Optimal' for height is a monotone 'higher is better' set, not a best-fit set, which conflicts with the 'over-specification' narrative in §3.2.</w:t>
      </w:r>
    </w:p>
    <w:p>
      <w:pPr>
        <w:pBdr>
          <w:left w:val="single" w:sz="12" w:space="6" w:color="FF0000"/>
        </w:pBdr>
        <w:spacing w:before="40" w:after="80"/>
        <w:ind w:left="284"/>
        <w:jc w:val="left"/>
      </w:pPr>
      <w:r>
        <w:rPr>
          <w:b/>
          <w:color w:val="FF0000"/>
          <w:sz w:val="20"/>
        </w:rPr>
        <w:t xml:space="preserve">▶ [MUST FIX] Calibration procedure is unclear: </w:t>
      </w:r>
      <w:r>
        <w:rPr>
          <w:color w:val="FF0000"/>
          <w:sz w:val="20"/>
        </w:rPr>
        <w:t xml:space="preserve">'Anchored at the 10th, 50th and 90th percentiles of industry practice' — percentiles of what data? The survey measured importance ratings, so it cannot yield percentiles of height capability (m), cycles, or USD/hour. Provide a table mapping every a, b, c value to its source (survey, expert, standard, manufacturer data) and describe the elicitation method (direct rating, interval estimation, Delphi), aggregation rule, and agreement statistics.</w:t>
      </w:r>
    </w:p>
    <w:p>
      <w:pPr>
        <w:pBdr>
          <w:left w:val="single" w:sz="12" w:space="6" w:color="FF0000"/>
        </w:pBdr>
        <w:spacing w:before="40" w:after="80"/>
        <w:ind w:left="284"/>
        <w:jc w:val="left"/>
      </w:pPr>
      <w:r>
        <w:rPr>
          <w:b/>
          <w:color w:val="FF0000"/>
          <w:sz w:val="20"/>
        </w:rPr>
        <w:t xml:space="preserve">▶ [MUST FIX] Expert panel: </w:t>
      </w:r>
      <w:r>
        <w:rPr>
          <w:color w:val="FF0000"/>
          <w:sz w:val="20"/>
        </w:rPr>
        <w:t xml:space="preserve">Report the twelve experts' profiles (role, years of experience, organisation type, region), how they were selected, and consent/ethics. The same panel is used to calibrate MFs, elicit rule weights and (implicitly) 'validate' — this is not independent. Twelve experts from one country is a small sample; justify or enlarge.</w:t>
      </w:r>
    </w:p>
    <w:p>
      <w:pPr>
        <w:pBdr>
          <w:left w:val="single" w:sz="12" w:space="6" w:color="FF0000"/>
        </w:pBdr>
        <w:spacing w:before="40" w:after="80"/>
        <w:ind w:left="284"/>
        <w:jc w:val="left"/>
      </w:pPr>
      <w:r>
        <w:rPr>
          <w:b/>
          <w:color w:val="FF0000"/>
          <w:sz w:val="20"/>
        </w:rPr>
        <w:t xml:space="preserve">▶ [MUST FIX] Input measurement: </w:t>
      </w:r>
      <w:r>
        <w:rPr>
          <w:color w:val="FF0000"/>
          <w:sz w:val="20"/>
        </w:rPr>
        <w:t xml:space="preserve">Define how 'composite ratings' (1–10) for safety and ease are produced: sub-indicators, scoring rubric, who assigns them, and inter-rater reliability. Without this, the model is not reproducible by other users. Clarify 'operational cost per hour' (formwork vs crane, currency/base year, INR vs USD, per m² or per cycle) and 'reusability' (cycles to first major repair?).</w:t>
      </w:r>
    </w:p>
    <w:p>
      <w:pPr>
        <w:pBdr>
          <w:left w:val="single" w:sz="12" w:space="6" w:color="FF0000"/>
        </w:pBdr>
        <w:spacing w:before="40" w:after="80"/>
        <w:ind w:left="284"/>
        <w:jc w:val="left"/>
      </w:pPr>
      <w:r>
        <w:rPr>
          <w:b/>
          <w:color w:val="FF0000"/>
          <w:sz w:val="20"/>
        </w:rPr>
        <w:t xml:space="preserve">▶ [POLISH] Figures 1–2: </w:t>
      </w:r>
      <w:r>
        <w:rPr>
          <w:color w:val="FF0000"/>
          <w:sz w:val="20"/>
        </w:rPr>
        <w:t xml:space="preserve">Figure 1 caption says 'low/medium/high' but the sets are named Poor/Average/Good, Difficult/Moderate/Easy etc. Combine Figure 1's five images into one multi-panel figure (a)–(e) with axis titles and units, 300 dpi minimum, colour-blind-safe palette, and alt text. Consider merging Tables 1 and 2.</w:t>
      </w:r>
    </w:p>
    <w:p w14:paraId="3F845873" w14:textId="77777777" w:rsidR="00FC6ACA" w:rsidRDefault="00A17CF4">
      <w:pPr>
        <w:spacing w:before="240" w:after="80"/>
      </w:pPr>
      <w:r>
        <w:rPr>
          <w:b/>
          <w:bCs/>
        </w:rPr>
        <w:t>Table 1. Linguistic variables and ranges for the fuzzy inference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860"/>
      </w:tblGrid>
      <w:tr w:rsidR="00FC6ACA" w14:paraId="685A62BE" w14:textId="77777777">
        <w:tc>
          <w:tcPr>
            <w:tcW w:w="260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534214A9" w14:textId="77777777" w:rsidR="00FC6ACA" w:rsidRDefault="00A17CF4">
            <w:r>
              <w:rPr>
                <w:b/>
                <w:bCs/>
                <w:sz w:val="19"/>
                <w:szCs w:val="19"/>
              </w:rPr>
              <w:t>Variable</w:t>
            </w:r>
          </w:p>
        </w:tc>
        <w:tc>
          <w:tcPr>
            <w:tcW w:w="290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291F6BEA" w14:textId="77777777" w:rsidR="00FC6ACA" w:rsidRDefault="00A17CF4">
            <w:r>
              <w:rPr>
                <w:b/>
                <w:bCs/>
                <w:sz w:val="19"/>
                <w:szCs w:val="19"/>
              </w:rPr>
              <w:t>Range</w:t>
            </w:r>
          </w:p>
        </w:tc>
        <w:tc>
          <w:tcPr>
            <w:tcW w:w="386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357BC5A7" w14:textId="77777777" w:rsidR="00FC6ACA" w:rsidRDefault="00A17CF4">
            <w:r>
              <w:rPr>
                <w:b/>
                <w:bCs/>
                <w:sz w:val="19"/>
                <w:szCs w:val="19"/>
              </w:rPr>
              <w:t>Linguistic terms</w:t>
            </w:r>
          </w:p>
        </w:tc>
      </w:tr>
      <w:tr w:rsidR="00FC6ACA" w14:paraId="3D508C24"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E8B1360" w14:textId="77777777" w:rsidR="00FC6ACA" w:rsidRDefault="00A17CF4">
            <w:r>
              <w:rPr>
                <w:sz w:val="19"/>
                <w:szCs w:val="19"/>
              </w:rPr>
              <w:t>Safety performance</w:t>
            </w:r>
          </w:p>
        </w:tc>
        <w:tc>
          <w:tcPr>
            <w:tcW w:w="29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873297B" w14:textId="77777777" w:rsidR="00FC6ACA" w:rsidRDefault="00A17CF4">
            <w:r>
              <w:rPr>
                <w:sz w:val="19"/>
                <w:szCs w:val="19"/>
              </w:rPr>
              <w:t>1–10 (composite rating)</w:t>
            </w:r>
          </w:p>
        </w:tc>
        <w:tc>
          <w:tcPr>
            <w:tcW w:w="3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50B4B32" w14:textId="77777777" w:rsidR="00FC6ACA" w:rsidRDefault="00A17CF4">
            <w:r>
              <w:rPr>
                <w:sz w:val="19"/>
                <w:szCs w:val="19"/>
              </w:rPr>
              <w:t>Poor, Average, Good</w:t>
            </w:r>
          </w:p>
        </w:tc>
      </w:tr>
      <w:tr w:rsidR="00FC6ACA" w14:paraId="53670102"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61D05C9" w14:textId="77777777" w:rsidR="00FC6ACA" w:rsidRDefault="00A17CF4">
            <w:r>
              <w:rPr>
                <w:sz w:val="19"/>
                <w:szCs w:val="19"/>
              </w:rPr>
              <w:t>Ease of installation</w:t>
            </w:r>
          </w:p>
        </w:tc>
        <w:tc>
          <w:tcPr>
            <w:tcW w:w="29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273DF84" w14:textId="77777777" w:rsidR="00FC6ACA" w:rsidRDefault="00A17CF4">
            <w:r>
              <w:rPr>
                <w:sz w:val="19"/>
                <w:szCs w:val="19"/>
              </w:rPr>
              <w:t>1–10 (composite rating)</w:t>
            </w:r>
          </w:p>
        </w:tc>
        <w:tc>
          <w:tcPr>
            <w:tcW w:w="3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528938" w14:textId="77777777" w:rsidR="00FC6ACA" w:rsidRDefault="00A17CF4">
            <w:r>
              <w:rPr>
                <w:sz w:val="19"/>
                <w:szCs w:val="19"/>
              </w:rPr>
              <w:t>Difficult, Moderate, Easy</w:t>
            </w:r>
          </w:p>
        </w:tc>
      </w:tr>
      <w:tr w:rsidR="00FC6ACA" w14:paraId="4EDD6B5E"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9E977F" w14:textId="77777777" w:rsidR="00FC6ACA" w:rsidRDefault="00A17CF4">
            <w:r>
              <w:rPr>
                <w:sz w:val="19"/>
                <w:szCs w:val="19"/>
              </w:rPr>
              <w:t>Height capability</w:t>
            </w:r>
          </w:p>
        </w:tc>
        <w:tc>
          <w:tcPr>
            <w:tcW w:w="29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C26C0F3" w14:textId="77777777" w:rsidR="00FC6ACA" w:rsidRDefault="00A17CF4">
            <w:r>
              <w:rPr>
                <w:sz w:val="19"/>
                <w:szCs w:val="19"/>
              </w:rPr>
              <w:t>0–800 m</w:t>
            </w:r>
          </w:p>
        </w:tc>
        <w:tc>
          <w:tcPr>
            <w:tcW w:w="3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5C4EDA3" w14:textId="77777777" w:rsidR="00FC6ACA" w:rsidRDefault="00A17CF4">
            <w:r>
              <w:rPr>
                <w:sz w:val="19"/>
                <w:szCs w:val="19"/>
              </w:rPr>
              <w:t>Insufficient, Sufficient, Optimal</w:t>
            </w:r>
          </w:p>
        </w:tc>
      </w:tr>
      <w:tr w:rsidR="00FC6ACA" w14:paraId="565464D8"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F6CD73B" w14:textId="77777777" w:rsidR="00FC6ACA" w:rsidRDefault="00A17CF4">
            <w:r>
              <w:rPr>
                <w:sz w:val="19"/>
                <w:szCs w:val="19"/>
              </w:rPr>
              <w:t>Reusability</w:t>
            </w:r>
          </w:p>
        </w:tc>
        <w:tc>
          <w:tcPr>
            <w:tcW w:w="29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D89C35C" w14:textId="77777777" w:rsidR="00FC6ACA" w:rsidRDefault="00A17CF4">
            <w:r>
              <w:rPr>
                <w:sz w:val="19"/>
                <w:szCs w:val="19"/>
              </w:rPr>
              <w:t>0–260 cycles</w:t>
            </w:r>
          </w:p>
        </w:tc>
        <w:tc>
          <w:tcPr>
            <w:tcW w:w="3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185A7E" w14:textId="77777777" w:rsidR="00FC6ACA" w:rsidRDefault="00A17CF4">
            <w:r>
              <w:rPr>
                <w:sz w:val="19"/>
                <w:szCs w:val="19"/>
              </w:rPr>
              <w:t>Low, Moderate, High</w:t>
            </w:r>
          </w:p>
        </w:tc>
      </w:tr>
      <w:tr w:rsidR="00FC6ACA" w14:paraId="45F988B3"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EADA0D6" w14:textId="77777777" w:rsidR="00FC6ACA" w:rsidRDefault="00A17CF4">
            <w:r>
              <w:rPr>
                <w:sz w:val="19"/>
                <w:szCs w:val="19"/>
              </w:rPr>
              <w:t>Operational cost</w:t>
            </w:r>
          </w:p>
        </w:tc>
        <w:tc>
          <w:tcPr>
            <w:tcW w:w="29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60020EF" w14:textId="77777777" w:rsidR="00FC6ACA" w:rsidRDefault="00A17CF4">
            <w:r>
              <w:rPr>
                <w:sz w:val="19"/>
                <w:szCs w:val="19"/>
              </w:rPr>
              <w:t>USD 0–130 / hour</w:t>
            </w:r>
          </w:p>
        </w:tc>
        <w:tc>
          <w:tcPr>
            <w:tcW w:w="3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DFC5FF2" w14:textId="77777777" w:rsidR="00FC6ACA" w:rsidRDefault="00A17CF4">
            <w:r>
              <w:rPr>
                <w:sz w:val="19"/>
                <w:szCs w:val="19"/>
              </w:rPr>
              <w:t>Low, Moderate, High</w:t>
            </w:r>
          </w:p>
        </w:tc>
      </w:tr>
      <w:tr w:rsidR="00FC6ACA" w14:paraId="71C025D1"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0FE274D" w14:textId="77777777" w:rsidR="00FC6ACA" w:rsidRDefault="00A17CF4">
            <w:r>
              <w:rPr>
                <w:sz w:val="19"/>
                <w:szCs w:val="19"/>
              </w:rPr>
              <w:t>Suitability (output)</w:t>
            </w:r>
          </w:p>
        </w:tc>
        <w:tc>
          <w:tcPr>
            <w:tcW w:w="29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1367A83" w14:textId="77777777" w:rsidR="00FC6ACA" w:rsidRDefault="00A17CF4">
            <w:r>
              <w:rPr>
                <w:sz w:val="19"/>
                <w:szCs w:val="19"/>
              </w:rPr>
              <w:t>0–100</w:t>
            </w:r>
          </w:p>
        </w:tc>
        <w:tc>
          <w:tcPr>
            <w:tcW w:w="3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069649" w14:textId="77777777" w:rsidR="00FC6ACA" w:rsidRDefault="00A17CF4">
            <w:r>
              <w:rPr>
                <w:sz w:val="19"/>
                <w:szCs w:val="19"/>
              </w:rPr>
              <w:t>Unsuitable, Marginally Suitable, Suitable, Highly Suitable</w:t>
            </w:r>
          </w:p>
        </w:tc>
      </w:tr>
    </w:tbl>
    <w:p w14:paraId="7377AA36" w14:textId="77777777" w:rsidR="00FC6ACA" w:rsidRDefault="00A17CF4">
      <w:pPr>
        <w:spacing w:after="200"/>
      </w:pPr>
      <w:r>
        <w:rPr>
          <w:i/>
          <w:iCs/>
          <w:sz w:val="19"/>
          <w:szCs w:val="19"/>
        </w:rPr>
        <w:t>(Source: Authors' synthesis based on the 421-respondent survey and pilot interviews.)</w:t>
      </w:r>
    </w:p>
    <w:p>
      <w:pPr>
        <w:pBdr>
          <w:left w:val="single" w:sz="12" w:space="6" w:color="FF0000"/>
        </w:pBdr>
        <w:spacing w:before="40" w:after="80"/>
        <w:ind w:left="284"/>
        <w:jc w:val="left"/>
      </w:pPr>
      <w:r>
        <w:rPr>
          <w:b/>
          <w:color w:val="FF0000"/>
          <w:sz w:val="20"/>
        </w:rPr>
        <w:t xml:space="preserve">▶ [POLISH] Table 1: </w:t>
      </w:r>
      <w:r>
        <w:rPr>
          <w:color w:val="FF0000"/>
          <w:sz w:val="20"/>
        </w:rPr>
        <w:t xml:space="preserve">Add units and the meaning of each scale anchor (what is a '1' vs '10'?). Ranges for height capability (0–800 m) and cost should be justified against real-world values.</w:t>
      </w:r>
    </w:p>
    <w:p w14:paraId="50C9D5C6" w14:textId="77777777" w:rsidR="00FC6ACA" w:rsidRDefault="00A17CF4">
      <w:pPr>
        <w:spacing w:before="240" w:after="80"/>
      </w:pPr>
      <w:r>
        <w:rPr>
          <w:b/>
          <w:bCs/>
        </w:rPr>
        <w:t>Table 2. Triangular membership-function (a, b, c) parameters for each linguistic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1450"/>
        <w:gridCol w:w="1450"/>
        <w:gridCol w:w="1460"/>
      </w:tblGrid>
      <w:tr w:rsidR="00FC6ACA" w14:paraId="64A3A851" w14:textId="77777777">
        <w:tc>
          <w:tcPr>
            <w:tcW w:w="240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6A1AE604" w14:textId="77777777" w:rsidR="00FC6ACA" w:rsidRDefault="00A17CF4">
            <w:r>
              <w:rPr>
                <w:b/>
                <w:bCs/>
                <w:sz w:val="19"/>
                <w:szCs w:val="19"/>
              </w:rPr>
              <w:t>Variable</w:t>
            </w:r>
          </w:p>
        </w:tc>
        <w:tc>
          <w:tcPr>
            <w:tcW w:w="260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24F72689" w14:textId="77777777" w:rsidR="00FC6ACA" w:rsidRDefault="00A17CF4">
            <w:r>
              <w:rPr>
                <w:b/>
                <w:bCs/>
                <w:sz w:val="19"/>
                <w:szCs w:val="19"/>
              </w:rPr>
              <w:t>Set</w:t>
            </w:r>
          </w:p>
        </w:tc>
        <w:tc>
          <w:tcPr>
            <w:tcW w:w="145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388E0BA5" w14:textId="77777777" w:rsidR="00FC6ACA" w:rsidRDefault="00A17CF4">
            <w:r>
              <w:rPr>
                <w:b/>
                <w:bCs/>
                <w:sz w:val="19"/>
                <w:szCs w:val="19"/>
              </w:rPr>
              <w:t>a</w:t>
            </w:r>
          </w:p>
        </w:tc>
        <w:tc>
          <w:tcPr>
            <w:tcW w:w="145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3C61836C" w14:textId="77777777" w:rsidR="00FC6ACA" w:rsidRDefault="00A17CF4">
            <w:r>
              <w:rPr>
                <w:b/>
                <w:bCs/>
                <w:sz w:val="19"/>
                <w:szCs w:val="19"/>
              </w:rPr>
              <w:t>b</w:t>
            </w:r>
          </w:p>
        </w:tc>
        <w:tc>
          <w:tcPr>
            <w:tcW w:w="146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03FB8ED8" w14:textId="77777777" w:rsidR="00FC6ACA" w:rsidRDefault="00A17CF4">
            <w:r>
              <w:rPr>
                <w:b/>
                <w:bCs/>
                <w:sz w:val="19"/>
                <w:szCs w:val="19"/>
              </w:rPr>
              <w:t>c</w:t>
            </w:r>
          </w:p>
        </w:tc>
      </w:tr>
      <w:tr w:rsidR="00FC6ACA" w14:paraId="7F032FDE"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57D1FF0" w14:textId="77777777" w:rsidR="00FC6ACA" w:rsidRDefault="00A17CF4">
            <w:r>
              <w:rPr>
                <w:sz w:val="19"/>
                <w:szCs w:val="19"/>
              </w:rPr>
              <w:t>Safety (1–10)</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C3F2555" w14:textId="77777777" w:rsidR="00FC6ACA" w:rsidRDefault="00A17CF4">
            <w:r>
              <w:rPr>
                <w:sz w:val="19"/>
                <w:szCs w:val="19"/>
              </w:rPr>
              <w:t>Poor</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D88247D" w14:textId="77777777" w:rsidR="00FC6ACA" w:rsidRDefault="00A17CF4">
            <w:r>
              <w:rPr>
                <w:sz w:val="19"/>
                <w:szCs w:val="19"/>
              </w:rPr>
              <w:t>1</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AECBDDA" w14:textId="77777777" w:rsidR="00FC6ACA" w:rsidRDefault="00A17CF4">
            <w:r>
              <w:rPr>
                <w:sz w:val="19"/>
                <w:szCs w:val="19"/>
              </w:rPr>
              <w:t>1</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73C4A83" w14:textId="77777777" w:rsidR="00FC6ACA" w:rsidRDefault="00A17CF4">
            <w:r>
              <w:rPr>
                <w:sz w:val="19"/>
                <w:szCs w:val="19"/>
              </w:rPr>
              <w:t>5</w:t>
            </w:r>
          </w:p>
        </w:tc>
      </w:tr>
      <w:tr w:rsidR="00FC6ACA" w14:paraId="19BCACC0"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8506544" w14:textId="77777777" w:rsidR="00FC6ACA" w:rsidRDefault="00A17CF4">
            <w:r>
              <w:rPr>
                <w:sz w:val="19"/>
                <w:szCs w:val="19"/>
              </w:rPr>
              <w:t>Safety (1–10)</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F49A0DD" w14:textId="77777777" w:rsidR="00FC6ACA" w:rsidRDefault="00A17CF4">
            <w:r>
              <w:rPr>
                <w:sz w:val="19"/>
                <w:szCs w:val="19"/>
              </w:rPr>
              <w:t>Average</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6AD4335" w14:textId="77777777" w:rsidR="00FC6ACA" w:rsidRDefault="00A17CF4">
            <w:r>
              <w:rPr>
                <w:sz w:val="19"/>
                <w:szCs w:val="19"/>
              </w:rPr>
              <w:t>3</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FF82B15" w14:textId="77777777" w:rsidR="00FC6ACA" w:rsidRDefault="00A17CF4">
            <w:r>
              <w:rPr>
                <w:sz w:val="19"/>
                <w:szCs w:val="19"/>
              </w:rPr>
              <w:t>5.5</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E99B4DE" w14:textId="77777777" w:rsidR="00FC6ACA" w:rsidRDefault="00A17CF4">
            <w:r>
              <w:rPr>
                <w:sz w:val="19"/>
                <w:szCs w:val="19"/>
              </w:rPr>
              <w:t>8</w:t>
            </w:r>
          </w:p>
        </w:tc>
      </w:tr>
      <w:tr w:rsidR="00FC6ACA" w14:paraId="272EFAC5"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63BFE37" w14:textId="77777777" w:rsidR="00FC6ACA" w:rsidRDefault="00A17CF4">
            <w:r>
              <w:rPr>
                <w:sz w:val="19"/>
                <w:szCs w:val="19"/>
              </w:rPr>
              <w:t>Safety (1–10)</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6947438" w14:textId="77777777" w:rsidR="00FC6ACA" w:rsidRDefault="00A17CF4">
            <w:r>
              <w:rPr>
                <w:sz w:val="19"/>
                <w:szCs w:val="19"/>
              </w:rPr>
              <w:t>Good</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83B8C71" w14:textId="77777777" w:rsidR="00FC6ACA" w:rsidRDefault="00A17CF4">
            <w:r>
              <w:rPr>
                <w:sz w:val="19"/>
                <w:szCs w:val="19"/>
              </w:rPr>
              <w:t>6</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87ADE1" w14:textId="77777777" w:rsidR="00FC6ACA" w:rsidRDefault="00A17CF4">
            <w:r>
              <w:rPr>
                <w:sz w:val="19"/>
                <w:szCs w:val="19"/>
              </w:rPr>
              <w:t>10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32680FA" w14:textId="77777777" w:rsidR="00FC6ACA" w:rsidRDefault="00A17CF4">
            <w:r>
              <w:rPr>
                <w:sz w:val="19"/>
                <w:szCs w:val="19"/>
              </w:rPr>
              <w:t>10</w:t>
            </w:r>
          </w:p>
        </w:tc>
      </w:tr>
      <w:tr w:rsidR="00FC6ACA" w14:paraId="18AFD277"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0572C76" w14:textId="77777777" w:rsidR="00FC6ACA" w:rsidRDefault="00A17CF4">
            <w:r>
              <w:rPr>
                <w:sz w:val="19"/>
                <w:szCs w:val="19"/>
              </w:rPr>
              <w:t>Ease (1–10)</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517CFD" w14:textId="77777777" w:rsidR="00FC6ACA" w:rsidRDefault="00A17CF4">
            <w:r>
              <w:rPr>
                <w:sz w:val="19"/>
                <w:szCs w:val="19"/>
              </w:rPr>
              <w:t>Difficult</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034D2BF" w14:textId="77777777" w:rsidR="00FC6ACA" w:rsidRDefault="00A17CF4">
            <w:r>
              <w:rPr>
                <w:sz w:val="19"/>
                <w:szCs w:val="19"/>
              </w:rPr>
              <w:t>1</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585C540" w14:textId="77777777" w:rsidR="00FC6ACA" w:rsidRDefault="00A17CF4">
            <w:r>
              <w:rPr>
                <w:sz w:val="19"/>
                <w:szCs w:val="19"/>
              </w:rPr>
              <w:t>1</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7ECF640" w14:textId="77777777" w:rsidR="00FC6ACA" w:rsidRDefault="00A17CF4">
            <w:r>
              <w:rPr>
                <w:sz w:val="19"/>
                <w:szCs w:val="19"/>
              </w:rPr>
              <w:t>5</w:t>
            </w:r>
          </w:p>
        </w:tc>
      </w:tr>
      <w:tr w:rsidR="00FC6ACA" w14:paraId="7AD9B870"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C29D136" w14:textId="77777777" w:rsidR="00FC6ACA" w:rsidRDefault="00A17CF4">
            <w:r>
              <w:rPr>
                <w:sz w:val="19"/>
                <w:szCs w:val="19"/>
              </w:rPr>
              <w:t>Ease (1–10)</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B4BBE03" w14:textId="77777777" w:rsidR="00FC6ACA" w:rsidRDefault="00A17CF4">
            <w:r>
              <w:rPr>
                <w:sz w:val="19"/>
                <w:szCs w:val="19"/>
              </w:rPr>
              <w:t>Moderate</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3C5582E" w14:textId="77777777" w:rsidR="00FC6ACA" w:rsidRDefault="00A17CF4">
            <w:r>
              <w:rPr>
                <w:sz w:val="19"/>
                <w:szCs w:val="19"/>
              </w:rPr>
              <w:t>3</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4D47D14" w14:textId="77777777" w:rsidR="00FC6ACA" w:rsidRDefault="00A17CF4">
            <w:r>
              <w:rPr>
                <w:sz w:val="19"/>
                <w:szCs w:val="19"/>
              </w:rPr>
              <w:t>5.5</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6CF5417" w14:textId="77777777" w:rsidR="00FC6ACA" w:rsidRDefault="00A17CF4">
            <w:r>
              <w:rPr>
                <w:sz w:val="19"/>
                <w:szCs w:val="19"/>
              </w:rPr>
              <w:t>8</w:t>
            </w:r>
          </w:p>
        </w:tc>
      </w:tr>
      <w:tr w:rsidR="00FC6ACA" w14:paraId="4429E389"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D85A8D6" w14:textId="77777777" w:rsidR="00FC6ACA" w:rsidRDefault="00A17CF4">
            <w:r>
              <w:rPr>
                <w:sz w:val="19"/>
                <w:szCs w:val="19"/>
              </w:rPr>
              <w:t>Ease (1–10)</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BAACEDD" w14:textId="77777777" w:rsidR="00FC6ACA" w:rsidRDefault="00A17CF4">
            <w:r>
              <w:rPr>
                <w:sz w:val="19"/>
                <w:szCs w:val="19"/>
              </w:rPr>
              <w:t>Easy</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2CEEC2C" w14:textId="77777777" w:rsidR="00FC6ACA" w:rsidRDefault="00A17CF4">
            <w:r>
              <w:rPr>
                <w:sz w:val="19"/>
                <w:szCs w:val="19"/>
              </w:rPr>
              <w:t>6</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7471F71" w14:textId="77777777" w:rsidR="00FC6ACA" w:rsidRDefault="00A17CF4">
            <w:r>
              <w:rPr>
                <w:sz w:val="19"/>
                <w:szCs w:val="19"/>
              </w:rPr>
              <w:t>10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E8DE228" w14:textId="77777777" w:rsidR="00FC6ACA" w:rsidRDefault="00A17CF4">
            <w:r>
              <w:rPr>
                <w:sz w:val="19"/>
                <w:szCs w:val="19"/>
              </w:rPr>
              <w:t>10</w:t>
            </w:r>
          </w:p>
        </w:tc>
      </w:tr>
      <w:tr w:rsidR="00FC6ACA" w14:paraId="562744F0"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60AD1CB" w14:textId="77777777" w:rsidR="00FC6ACA" w:rsidRDefault="00A17CF4">
            <w:r>
              <w:rPr>
                <w:sz w:val="19"/>
                <w:szCs w:val="19"/>
              </w:rPr>
              <w:t>Height (m)</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81F161D" w14:textId="77777777" w:rsidR="00FC6ACA" w:rsidRDefault="00A17CF4">
            <w:r>
              <w:rPr>
                <w:sz w:val="19"/>
                <w:szCs w:val="19"/>
              </w:rPr>
              <w:t>Insufficient</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BA0274F" w14:textId="77777777" w:rsidR="00FC6ACA" w:rsidRDefault="00A17CF4">
            <w:r>
              <w:rPr>
                <w:sz w:val="19"/>
                <w:szCs w:val="19"/>
              </w:rPr>
              <w:t>0</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A10D431" w14:textId="77777777" w:rsidR="00FC6ACA" w:rsidRDefault="00A17CF4">
            <w:r>
              <w:rPr>
                <w:sz w:val="19"/>
                <w:szCs w:val="19"/>
              </w:rPr>
              <w:t>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A95B7B" w14:textId="77777777" w:rsidR="00FC6ACA" w:rsidRDefault="00A17CF4">
            <w:r>
              <w:rPr>
                <w:sz w:val="19"/>
                <w:szCs w:val="19"/>
              </w:rPr>
              <w:t>150</w:t>
            </w:r>
          </w:p>
        </w:tc>
      </w:tr>
      <w:tr w:rsidR="00FC6ACA" w14:paraId="114E2DE6"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8CA16D" w14:textId="77777777" w:rsidR="00FC6ACA" w:rsidRDefault="00A17CF4">
            <w:r>
              <w:rPr>
                <w:sz w:val="19"/>
                <w:szCs w:val="19"/>
              </w:rPr>
              <w:t>Height (m)</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199E34" w14:textId="77777777" w:rsidR="00FC6ACA" w:rsidRDefault="00A17CF4">
            <w:r>
              <w:rPr>
                <w:sz w:val="19"/>
                <w:szCs w:val="19"/>
              </w:rPr>
              <w:t>Sufficient</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AD6EEEE" w14:textId="77777777" w:rsidR="00FC6ACA" w:rsidRDefault="00A17CF4">
            <w:r>
              <w:rPr>
                <w:sz w:val="19"/>
                <w:szCs w:val="19"/>
              </w:rPr>
              <w:t>100</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990996" w14:textId="77777777" w:rsidR="00FC6ACA" w:rsidRDefault="00A17CF4">
            <w:r>
              <w:rPr>
                <w:sz w:val="19"/>
                <w:szCs w:val="19"/>
              </w:rPr>
              <w:t>250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119356" w14:textId="77777777" w:rsidR="00FC6ACA" w:rsidRDefault="00A17CF4">
            <w:r>
              <w:rPr>
                <w:sz w:val="19"/>
                <w:szCs w:val="19"/>
              </w:rPr>
              <w:t>450</w:t>
            </w:r>
          </w:p>
        </w:tc>
      </w:tr>
      <w:tr w:rsidR="00FC6ACA" w14:paraId="504CF288"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F439A5B" w14:textId="77777777" w:rsidR="00FC6ACA" w:rsidRDefault="00A17CF4">
            <w:r>
              <w:rPr>
                <w:sz w:val="19"/>
                <w:szCs w:val="19"/>
              </w:rPr>
              <w:t>Height (m)</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F85920A" w14:textId="77777777" w:rsidR="00FC6ACA" w:rsidRDefault="00A17CF4">
            <w:r>
              <w:rPr>
                <w:sz w:val="19"/>
                <w:szCs w:val="19"/>
              </w:rPr>
              <w:t>Optimal</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406293" w14:textId="77777777" w:rsidR="00FC6ACA" w:rsidRDefault="00A17CF4">
            <w:r>
              <w:rPr>
                <w:sz w:val="19"/>
                <w:szCs w:val="19"/>
              </w:rPr>
              <w:t>350</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B126C2F" w14:textId="77777777" w:rsidR="00FC6ACA" w:rsidRDefault="00A17CF4">
            <w:r>
              <w:rPr>
                <w:sz w:val="19"/>
                <w:szCs w:val="19"/>
              </w:rPr>
              <w:t>800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CCD0531" w14:textId="77777777" w:rsidR="00FC6ACA" w:rsidRDefault="00A17CF4">
            <w:r>
              <w:rPr>
                <w:sz w:val="19"/>
                <w:szCs w:val="19"/>
              </w:rPr>
              <w:t>800</w:t>
            </w:r>
          </w:p>
        </w:tc>
      </w:tr>
      <w:tr w:rsidR="00FC6ACA" w14:paraId="4644290E"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3011B0E" w14:textId="77777777" w:rsidR="00FC6ACA" w:rsidRDefault="00A17CF4">
            <w:r>
              <w:rPr>
                <w:sz w:val="19"/>
                <w:szCs w:val="19"/>
              </w:rPr>
              <w:t>Reusability (cycles)</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C77C525" w14:textId="77777777" w:rsidR="00FC6ACA" w:rsidRDefault="00A17CF4">
            <w:r>
              <w:rPr>
                <w:sz w:val="19"/>
                <w:szCs w:val="19"/>
              </w:rPr>
              <w:t>Low</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9D30D36" w14:textId="77777777" w:rsidR="00FC6ACA" w:rsidRDefault="00A17CF4">
            <w:r>
              <w:rPr>
                <w:sz w:val="19"/>
                <w:szCs w:val="19"/>
              </w:rPr>
              <w:t>0</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0AE9242" w14:textId="77777777" w:rsidR="00FC6ACA" w:rsidRDefault="00A17CF4">
            <w:r>
              <w:rPr>
                <w:sz w:val="19"/>
                <w:szCs w:val="19"/>
              </w:rPr>
              <w:t>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2DA5F2" w14:textId="77777777" w:rsidR="00FC6ACA" w:rsidRDefault="00A17CF4">
            <w:r>
              <w:rPr>
                <w:sz w:val="19"/>
                <w:szCs w:val="19"/>
              </w:rPr>
              <w:t>60</w:t>
            </w:r>
          </w:p>
        </w:tc>
      </w:tr>
      <w:tr w:rsidR="00FC6ACA" w14:paraId="0C2DBF50"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FE7C664" w14:textId="77777777" w:rsidR="00FC6ACA" w:rsidRDefault="00A17CF4">
            <w:r>
              <w:rPr>
                <w:sz w:val="19"/>
                <w:szCs w:val="19"/>
              </w:rPr>
              <w:t>Reusability (cycles)</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9B2CF08" w14:textId="77777777" w:rsidR="00FC6ACA" w:rsidRDefault="00A17CF4">
            <w:r>
              <w:rPr>
                <w:sz w:val="19"/>
                <w:szCs w:val="19"/>
              </w:rPr>
              <w:t>Moderate</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BBD448B" w14:textId="77777777" w:rsidR="00FC6ACA" w:rsidRDefault="00A17CF4">
            <w:r>
              <w:rPr>
                <w:sz w:val="19"/>
                <w:szCs w:val="19"/>
              </w:rPr>
              <w:t>40</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6FB4BC8" w14:textId="77777777" w:rsidR="00FC6ACA" w:rsidRDefault="00A17CF4">
            <w:r>
              <w:rPr>
                <w:sz w:val="19"/>
                <w:szCs w:val="19"/>
              </w:rPr>
              <w:t>100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9715D8" w14:textId="77777777" w:rsidR="00FC6ACA" w:rsidRDefault="00A17CF4">
            <w:r>
              <w:rPr>
                <w:sz w:val="19"/>
                <w:szCs w:val="19"/>
              </w:rPr>
              <w:t>180</w:t>
            </w:r>
          </w:p>
        </w:tc>
      </w:tr>
      <w:tr w:rsidR="00FC6ACA" w14:paraId="100E6542"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2110A3F" w14:textId="77777777" w:rsidR="00FC6ACA" w:rsidRDefault="00A17CF4">
            <w:r>
              <w:rPr>
                <w:sz w:val="19"/>
                <w:szCs w:val="19"/>
              </w:rPr>
              <w:t>Reusability (cycles)</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2C2F6D7" w14:textId="77777777" w:rsidR="00FC6ACA" w:rsidRDefault="00A17CF4">
            <w:r>
              <w:rPr>
                <w:sz w:val="19"/>
                <w:szCs w:val="19"/>
              </w:rPr>
              <w:t>High</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C847BC9" w14:textId="77777777" w:rsidR="00FC6ACA" w:rsidRDefault="00A17CF4">
            <w:r>
              <w:rPr>
                <w:sz w:val="19"/>
                <w:szCs w:val="19"/>
              </w:rPr>
              <w:t>140</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18D943A" w14:textId="77777777" w:rsidR="00FC6ACA" w:rsidRDefault="00A17CF4">
            <w:r>
              <w:rPr>
                <w:sz w:val="19"/>
                <w:szCs w:val="19"/>
              </w:rPr>
              <w:t>260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F7C5679" w14:textId="77777777" w:rsidR="00FC6ACA" w:rsidRDefault="00A17CF4">
            <w:r>
              <w:rPr>
                <w:sz w:val="19"/>
                <w:szCs w:val="19"/>
              </w:rPr>
              <w:t>260</w:t>
            </w:r>
          </w:p>
        </w:tc>
      </w:tr>
      <w:tr w:rsidR="00FC6ACA" w14:paraId="069209AA"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34F4DDA" w14:textId="77777777" w:rsidR="00FC6ACA" w:rsidRDefault="00A17CF4">
            <w:r>
              <w:rPr>
                <w:sz w:val="19"/>
                <w:szCs w:val="19"/>
              </w:rPr>
              <w:t>Cost (USD/h)</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6A5280" w14:textId="77777777" w:rsidR="00FC6ACA" w:rsidRDefault="00A17CF4">
            <w:r>
              <w:rPr>
                <w:sz w:val="19"/>
                <w:szCs w:val="19"/>
              </w:rPr>
              <w:t>Low</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DEBDC14" w14:textId="77777777" w:rsidR="00FC6ACA" w:rsidRDefault="00A17CF4">
            <w:r>
              <w:rPr>
                <w:sz w:val="19"/>
                <w:szCs w:val="19"/>
              </w:rPr>
              <w:t>0</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C66D477" w14:textId="77777777" w:rsidR="00FC6ACA" w:rsidRDefault="00A17CF4">
            <w:r>
              <w:rPr>
                <w:sz w:val="19"/>
                <w:szCs w:val="19"/>
              </w:rPr>
              <w:t>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FF1B3F8" w14:textId="77777777" w:rsidR="00FC6ACA" w:rsidRDefault="00A17CF4">
            <w:r>
              <w:rPr>
                <w:sz w:val="19"/>
                <w:szCs w:val="19"/>
              </w:rPr>
              <w:t>40</w:t>
            </w:r>
          </w:p>
        </w:tc>
      </w:tr>
      <w:tr w:rsidR="00FC6ACA" w14:paraId="6EC286F5"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B8966B2" w14:textId="77777777" w:rsidR="00FC6ACA" w:rsidRDefault="00A17CF4">
            <w:r>
              <w:rPr>
                <w:sz w:val="19"/>
                <w:szCs w:val="19"/>
              </w:rPr>
              <w:t>Cost (USD/h)</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358D62" w14:textId="77777777" w:rsidR="00FC6ACA" w:rsidRDefault="00A17CF4">
            <w:r>
              <w:rPr>
                <w:sz w:val="19"/>
                <w:szCs w:val="19"/>
              </w:rPr>
              <w:t>Moderate</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E7DD6D3" w14:textId="77777777" w:rsidR="00FC6ACA" w:rsidRDefault="00A17CF4">
            <w:r>
              <w:rPr>
                <w:sz w:val="19"/>
                <w:szCs w:val="19"/>
              </w:rPr>
              <w:t>25</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CA7178D" w14:textId="77777777" w:rsidR="00FC6ACA" w:rsidRDefault="00A17CF4">
            <w:r>
              <w:rPr>
                <w:sz w:val="19"/>
                <w:szCs w:val="19"/>
              </w:rPr>
              <w:t>60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13F26DC" w14:textId="77777777" w:rsidR="00FC6ACA" w:rsidRDefault="00A17CF4">
            <w:r>
              <w:rPr>
                <w:sz w:val="19"/>
                <w:szCs w:val="19"/>
              </w:rPr>
              <w:t>95</w:t>
            </w:r>
          </w:p>
        </w:tc>
      </w:tr>
      <w:tr w:rsidR="00FC6ACA" w14:paraId="6280055B"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7C05852" w14:textId="77777777" w:rsidR="00FC6ACA" w:rsidRDefault="00A17CF4">
            <w:r>
              <w:rPr>
                <w:sz w:val="19"/>
                <w:szCs w:val="19"/>
              </w:rPr>
              <w:t>Cost (USD/h)</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90915C8" w14:textId="77777777" w:rsidR="00FC6ACA" w:rsidRDefault="00A17CF4">
            <w:r>
              <w:rPr>
                <w:sz w:val="19"/>
                <w:szCs w:val="19"/>
              </w:rPr>
              <w:t>High</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C958B40" w14:textId="77777777" w:rsidR="00FC6ACA" w:rsidRDefault="00A17CF4">
            <w:r>
              <w:rPr>
                <w:sz w:val="19"/>
                <w:szCs w:val="19"/>
              </w:rPr>
              <w:t>80</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0BD7D0" w14:textId="77777777" w:rsidR="00FC6ACA" w:rsidRDefault="00A17CF4">
            <w:r>
              <w:rPr>
                <w:sz w:val="19"/>
                <w:szCs w:val="19"/>
              </w:rPr>
              <w:t>130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1631DEE" w14:textId="77777777" w:rsidR="00FC6ACA" w:rsidRDefault="00A17CF4">
            <w:r>
              <w:rPr>
                <w:sz w:val="19"/>
                <w:szCs w:val="19"/>
              </w:rPr>
              <w:t>130</w:t>
            </w:r>
          </w:p>
        </w:tc>
      </w:tr>
      <w:tr w:rsidR="00FC6ACA" w14:paraId="00193F2E"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45A625A" w14:textId="77777777" w:rsidR="00FC6ACA" w:rsidRDefault="00A17CF4">
            <w:r>
              <w:rPr>
                <w:sz w:val="19"/>
                <w:szCs w:val="19"/>
              </w:rPr>
              <w:t>Suitability (0–100)</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A7BFEEB" w14:textId="77777777" w:rsidR="00FC6ACA" w:rsidRDefault="00A17CF4">
            <w:r>
              <w:rPr>
                <w:sz w:val="19"/>
                <w:szCs w:val="19"/>
              </w:rPr>
              <w:t>Unsuitable</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1EF709D" w14:textId="77777777" w:rsidR="00FC6ACA" w:rsidRDefault="00A17CF4">
            <w:r>
              <w:rPr>
                <w:sz w:val="19"/>
                <w:szCs w:val="19"/>
              </w:rPr>
              <w:t>0</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9BFF899" w14:textId="77777777" w:rsidR="00FC6ACA" w:rsidRDefault="00A17CF4">
            <w:r>
              <w:rPr>
                <w:sz w:val="19"/>
                <w:szCs w:val="19"/>
              </w:rPr>
              <w:t>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4B0DCF4" w14:textId="77777777" w:rsidR="00FC6ACA" w:rsidRDefault="00A17CF4">
            <w:r>
              <w:rPr>
                <w:sz w:val="19"/>
                <w:szCs w:val="19"/>
              </w:rPr>
              <w:t>25</w:t>
            </w:r>
          </w:p>
        </w:tc>
      </w:tr>
      <w:tr w:rsidR="00FC6ACA" w14:paraId="0882FF34"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3998693" w14:textId="77777777" w:rsidR="00FC6ACA" w:rsidRDefault="00A17CF4">
            <w:r>
              <w:rPr>
                <w:sz w:val="19"/>
                <w:szCs w:val="19"/>
              </w:rPr>
              <w:t>Suitability (0–100)</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3CC9E75" w14:textId="77777777" w:rsidR="00FC6ACA" w:rsidRDefault="00A17CF4">
            <w:r>
              <w:rPr>
                <w:sz w:val="19"/>
                <w:szCs w:val="19"/>
              </w:rPr>
              <w:t>Marginally Suitable</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BE7A295" w14:textId="77777777" w:rsidR="00FC6ACA" w:rsidRDefault="00A17CF4">
            <w:r>
              <w:rPr>
                <w:sz w:val="19"/>
                <w:szCs w:val="19"/>
              </w:rPr>
              <w:t>15</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054EAD1" w14:textId="77777777" w:rsidR="00FC6ACA" w:rsidRDefault="00A17CF4">
            <w:r>
              <w:rPr>
                <w:sz w:val="19"/>
                <w:szCs w:val="19"/>
              </w:rPr>
              <w:t>37.5</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4C15914" w14:textId="77777777" w:rsidR="00FC6ACA" w:rsidRDefault="00A17CF4">
            <w:r>
              <w:rPr>
                <w:sz w:val="19"/>
                <w:szCs w:val="19"/>
              </w:rPr>
              <w:t>60</w:t>
            </w:r>
          </w:p>
        </w:tc>
      </w:tr>
      <w:tr w:rsidR="00FC6ACA" w14:paraId="15619832"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4852471" w14:textId="77777777" w:rsidR="00FC6ACA" w:rsidRDefault="00A17CF4">
            <w:r>
              <w:rPr>
                <w:sz w:val="19"/>
                <w:szCs w:val="19"/>
              </w:rPr>
              <w:t>Suitability (0–100)</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2D3BF85" w14:textId="77777777" w:rsidR="00FC6ACA" w:rsidRDefault="00A17CF4">
            <w:r>
              <w:rPr>
                <w:sz w:val="19"/>
                <w:szCs w:val="19"/>
              </w:rPr>
              <w:t>Suitable</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671B32" w14:textId="77777777" w:rsidR="00FC6ACA" w:rsidRDefault="00A17CF4">
            <w:r>
              <w:rPr>
                <w:sz w:val="19"/>
                <w:szCs w:val="19"/>
              </w:rPr>
              <w:t>50</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E8B2ABF" w14:textId="77777777" w:rsidR="00FC6ACA" w:rsidRDefault="00A17CF4">
            <w:r>
              <w:rPr>
                <w:sz w:val="19"/>
                <w:szCs w:val="19"/>
              </w:rPr>
              <w:t>70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F3DC92" w14:textId="77777777" w:rsidR="00FC6ACA" w:rsidRDefault="00A17CF4">
            <w:r>
              <w:rPr>
                <w:sz w:val="19"/>
                <w:szCs w:val="19"/>
              </w:rPr>
              <w:t>90</w:t>
            </w:r>
          </w:p>
        </w:tc>
      </w:tr>
      <w:tr w:rsidR="00FC6ACA" w14:paraId="5CF505F1" w14:textId="77777777">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C1870C2" w14:textId="77777777" w:rsidR="00FC6ACA" w:rsidRDefault="00A17CF4">
            <w:r>
              <w:rPr>
                <w:sz w:val="19"/>
                <w:szCs w:val="19"/>
              </w:rPr>
              <w:t>Suitability (0–100)</w:t>
            </w:r>
          </w:p>
        </w:tc>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AA9DF7" w14:textId="77777777" w:rsidR="00FC6ACA" w:rsidRDefault="00A17CF4">
            <w:r>
              <w:rPr>
                <w:sz w:val="19"/>
                <w:szCs w:val="19"/>
              </w:rPr>
              <w:t>Highly Suitable</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C7ADE41" w14:textId="77777777" w:rsidR="00FC6ACA" w:rsidRDefault="00A17CF4">
            <w:r>
              <w:rPr>
                <w:sz w:val="19"/>
                <w:szCs w:val="19"/>
              </w:rPr>
              <w:t>80</w:t>
            </w:r>
          </w:p>
        </w:tc>
        <w:tc>
          <w:tcPr>
            <w:tcW w:w="145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AD2F11" w14:textId="77777777" w:rsidR="00FC6ACA" w:rsidRDefault="00A17CF4">
            <w:r>
              <w:rPr>
                <w:sz w:val="19"/>
                <w:szCs w:val="19"/>
              </w:rPr>
              <w:t>100</w:t>
            </w:r>
          </w:p>
        </w:tc>
        <w:tc>
          <w:tcPr>
            <w:tcW w:w="14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EF375A4" w14:textId="77777777" w:rsidR="00FC6ACA" w:rsidRDefault="00A17CF4">
            <w:r>
              <w:rPr>
                <w:sz w:val="19"/>
                <w:szCs w:val="19"/>
              </w:rPr>
              <w:t>100</w:t>
            </w:r>
          </w:p>
        </w:tc>
      </w:tr>
    </w:tbl>
    <w:p w14:paraId="3EF1E803" w14:textId="77777777" w:rsidR="00FC6ACA" w:rsidRDefault="00A17CF4">
      <w:pPr>
        <w:spacing w:after="200"/>
      </w:pPr>
      <w:r>
        <w:rPr>
          <w:i/>
          <w:iCs/>
          <w:sz w:val="19"/>
          <w:szCs w:val="19"/>
        </w:rPr>
        <w:t>(Source: Authors' calibration from 421-respondent survey percentiles and twelve-expert pilot panel.)</w:t>
      </w:r>
    </w:p>
    <w:p>
      <w:pPr>
        <w:pBdr>
          <w:left w:val="single" w:sz="12" w:space="6" w:color="FF0000"/>
        </w:pBdr>
        <w:spacing w:before="40" w:after="80"/>
        <w:ind w:left="284"/>
        <w:jc w:val="left"/>
      </w:pPr>
      <w:r>
        <w:rPr>
          <w:b/>
          <w:color w:val="FF0000"/>
          <w:sz w:val="20"/>
        </w:rPr>
        <w:t xml:space="preserve">▶ [SHOULD FIX] Table 2: </w:t>
      </w:r>
      <w:r>
        <w:rPr>
          <w:color w:val="FF0000"/>
          <w:sz w:val="20"/>
        </w:rPr>
        <w:t xml:space="preserve">Add a column for the evidence source of each triplet. Report the sum-of-memberships (partition-of-unity) check, since heavily overlapping sets distort centroid results.</w:t>
      </w:r>
    </w:p>
    <w:p w14:paraId="615E7F6C" w14:textId="77777777" w:rsidR="00FC6ACA" w:rsidRDefault="00A17CF4">
      <w:pPr>
        <w:spacing w:before="200" w:after="80"/>
        <w:jc w:val="center"/>
      </w:pPr>
      <w:r>
        <w:rPr>
          <w:noProof/>
        </w:rPr>
        <w:drawing>
          <wp:inline distT="0" distB="0" distL="0" distR="0" wp14:anchorId="61FEAEA9" wp14:editId="027F74B2">
            <wp:extent cx="5120640" cy="1737360"/>
            <wp:effectExtent l="0" t="0" r="0" b="0"/>
            <wp:docPr id="100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14B4541" w14:textId="77777777" w:rsidR="00B365BD" w:rsidRDefault="00CA0707">
      <w:pPr>
        <w:jc w:val="center"/>
      </w:pPr>
      <w:r>
        <w:rPr>
          <w:noProof/>
        </w:rPr>
        <w:drawing>
          <wp:inline distT="0" distB="0" distL="0" distR="0" wp14:anchorId="6EAC8855" wp14:editId="6BF72382">
            <wp:extent cx="5120640" cy="1737360"/>
            <wp:effectExtent l="0" t="0" r="0" b="0"/>
            <wp:docPr id="100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FAC7B1F" w14:textId="77777777" w:rsidR="00B365BD" w:rsidRDefault="00CA0707">
      <w:pPr>
        <w:jc w:val="center"/>
      </w:pPr>
      <w:r>
        <w:rPr>
          <w:noProof/>
        </w:rPr>
        <w:drawing>
          <wp:inline distT="0" distB="0" distL="0" distR="0" wp14:anchorId="031A2219" wp14:editId="1C9AD3E7">
            <wp:extent cx="5120640" cy="1737360"/>
            <wp:effectExtent l="0" t="0" r="0" b="0"/>
            <wp:docPr id="100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FC2A0E" w14:textId="77777777" w:rsidR="00B365BD" w:rsidRDefault="00CA0707">
      <w:pPr>
        <w:jc w:val="center"/>
      </w:pPr>
      <w:r>
        <w:rPr>
          <w:noProof/>
        </w:rPr>
        <w:drawing>
          <wp:inline distT="0" distB="0" distL="0" distR="0" wp14:anchorId="7AC00EF2" wp14:editId="350A5C71">
            <wp:extent cx="5120640" cy="1737360"/>
            <wp:effectExtent l="0" t="0" r="0" b="0"/>
            <wp:docPr id="100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2E63F91" w14:textId="77777777" w:rsidR="00B365BD" w:rsidRDefault="00CA0707">
      <w:pPr>
        <w:jc w:val="center"/>
      </w:pPr>
      <w:r>
        <w:rPr>
          <w:noProof/>
        </w:rPr>
        <w:drawing>
          <wp:inline distT="0" distB="0" distL="0" distR="0" wp14:anchorId="69891EB5" wp14:editId="4C6C06C8">
            <wp:extent cx="5120640" cy="1737360"/>
            <wp:effectExtent l="0" t="0" r="0" b="0"/>
            <wp:docPr id="100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6216767" w14:textId="77777777" w:rsidR="00FC6ACA" w:rsidRDefault="00A17CF4">
      <w:pPr>
        <w:spacing w:after="200"/>
        <w:jc w:val="center"/>
      </w:pPr>
      <w:r>
        <w:rPr>
          <w:i/>
          <w:iCs/>
          <w:sz w:val="20"/>
          <w:szCs w:val="20"/>
        </w:rPr>
        <w:t>Figure 1. Triangular membership functions for the five input linguistic variables. Each variable is partitioned into three overlapping sets (low/medium/high) that together cover the operational range without gaps.</w:t>
      </w:r>
    </w:p>
    <w:p w14:paraId="7A88D06D" w14:textId="77777777" w:rsidR="00FC6ACA" w:rsidRDefault="00A17CF4">
      <w:pPr>
        <w:spacing w:before="200" w:after="80"/>
        <w:jc w:val="center"/>
      </w:pPr>
      <w:r>
        <w:rPr>
          <w:noProof/>
        </w:rPr>
        <w:drawing>
          <wp:inline distT="0" distB="0" distL="0" distR="0" wp14:anchorId="674CF840" wp14:editId="0EDCA80A">
            <wp:extent cx="5305425" cy="2638425"/>
            <wp:effectExtent l="0" t="0" r="0" b="0"/>
            <wp:docPr id="100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DB0E918" w14:textId="77777777" w:rsidR="00FC6ACA" w:rsidRDefault="00A17CF4">
      <w:pPr>
        <w:spacing w:after="200"/>
        <w:jc w:val="center"/>
      </w:pPr>
      <w:r>
        <w:rPr>
          <w:i/>
          <w:iCs/>
          <w:sz w:val="20"/>
          <w:szCs w:val="20"/>
        </w:rPr>
        <w:t>Figure 2. Output variable—formwork and equipment suitability—on a 0–100 defuzzified scale. Four triangular sets describe the linguistic outcomes: unsuitable, marginally suitable, suitable, and highly suitable.</w:t>
      </w:r>
    </w:p>
    <w:p w14:paraId="36EB3588" w14:textId="77777777" w:rsidR="00FC6ACA" w:rsidRDefault="00A17CF4">
      <w:pPr>
        <w:pStyle w:val="Heading2"/>
      </w:pPr>
      <w:r>
        <w:t>2.3 Rule Base</w:t>
      </w:r>
    </w:p>
    <w:p w14:paraId="787166F6" w14:textId="77777777" w:rsidR="00FC6ACA" w:rsidRDefault="00A17CF4">
      <w:pPr>
        <w:spacing w:after="160" w:line="276" w:lineRule="auto"/>
        <w:jc w:val="both"/>
      </w:pPr>
      <w:r>
        <w:t>Eight IF–THEN rules constitute the inference engine. The rules were elicited from the same panel of twelve experts that validated the membership functions; rule weights on the interval [−1, +1] capture the relative importance assigned by the panel. Negative weights act as hard veto conditions, ensuring that scenarios that fail the safety or height criterion are immediately classified as unsuitable. The rule base is listed in Table 3 and the weights are displayed in Figure 3.</w:t>
      </w:r>
    </w:p>
    <w:p>
      <w:pPr>
        <w:pBdr>
          <w:left w:val="single" w:sz="12" w:space="6" w:color="FF0000"/>
        </w:pBdr>
        <w:spacing w:before="40" w:after="80"/>
        <w:ind w:left="284"/>
        <w:jc w:val="left"/>
      </w:pPr>
      <w:r>
        <w:rPr>
          <w:b/>
          <w:color w:val="FF0000"/>
          <w:sz w:val="20"/>
        </w:rPr>
        <w:t xml:space="preserve">▶ [MUST FIX] Negative rule weights are not meaningful in Mamdani inference: </w:t>
      </w:r>
      <w:r>
        <w:rPr>
          <w:color w:val="FF0000"/>
          <w:sz w:val="20"/>
        </w:rPr>
        <w:t xml:space="preserve">A Mamdani rule weight is a scaling factor in [0,1]; a negative weight would produce negative membership. A 'veto' is a constraint, not a weight. Moreover, in max–min aggregation an 'Unsuitable' consequent does not override other rules: at Safety = 4, Poor = 0.25 and Average = 0.40, so R1 and R3 both fire and the centroid is a blend — the claim that such cases are 'immediately classified as unsuitable' is mathematically incorrect. Implement vetoes explicitly (e.g., a hard pre-filter that excludes alternatives below a safety/height threshold, or a final multiplication by a feasibility factor) and describe it as such.</w:t>
      </w:r>
    </w:p>
    <w:p>
      <w:pPr>
        <w:pBdr>
          <w:left w:val="single" w:sz="12" w:space="6" w:color="FF0000"/>
        </w:pBdr>
        <w:spacing w:before="40" w:after="80"/>
        <w:ind w:left="284"/>
        <w:jc w:val="left"/>
      </w:pPr>
      <w:r>
        <w:rPr>
          <w:b/>
          <w:color w:val="FF0000"/>
          <w:sz w:val="20"/>
        </w:rPr>
        <w:t xml:space="preserve">▶ [MUST FIX] Weights are inconsistent across the package: </w:t>
      </w:r>
      <w:r>
        <w:rPr>
          <w:color w:val="FF0000"/>
          <w:sz w:val="20"/>
        </w:rPr>
        <w:t xml:space="preserve">§2.3: elicited on [−1,+1]; methodology.md: Saaty 1–9 normalised to [0.4,1.0]; code: weights never applied (scikit-fuzzy rules all have default weight 1). Decide on one scheme, apply it in the code and describe the elicitation (how twelve judgements were aggregated, dispersion, agreement).</w:t>
      </w:r>
    </w:p>
    <w:p>
      <w:pPr>
        <w:pBdr>
          <w:left w:val="single" w:sz="12" w:space="6" w:color="FF0000"/>
        </w:pBdr>
        <w:spacing w:before="40" w:after="80"/>
        <w:ind w:left="284"/>
        <w:jc w:val="left"/>
      </w:pPr>
      <w:r>
        <w:rPr>
          <w:b/>
          <w:color w:val="FF0000"/>
          <w:sz w:val="20"/>
        </w:rPr>
        <w:t xml:space="preserve">▶ [MUST FIX] Rule-base completeness and consistency: </w:t>
      </w:r>
      <w:r>
        <w:rPr>
          <w:color w:val="FF0000"/>
          <w:sz w:val="20"/>
        </w:rPr>
        <w:t xml:space="preserve">Eight rules cover a tiny part of the 3^5 = 243 antecedent combinations. Examples with no firing rule: Safety = Average with Height = Optimal; Safety = Good, Height = Sufficient with Ease = Easy, Reuse = High, Cost = Low (R4 requires a Moderate); Safety = Good, Height = Optimal with Difficult/Low/High. In scikit-fuzzy such inputs raise 'Crisp output cannot be calculated'. Report the coverage (share of input space where total firing strength &gt; 0), add default/fallback rules, and demonstrate consistency (no contradictory consequents). Also, Cost, Reuse and Ease only ever raise the score; no rule lowers suitability for high cost, low reuse or difficult installation except R7, which applies only to Average safety. A monotone rule base cannot encode 'over-specification', which §3.2 uses as an explanation.</w:t>
      </w:r>
    </w:p>
    <w:p>
      <w:pPr>
        <w:pBdr>
          <w:left w:val="single" w:sz="12" w:space="6" w:color="FF0000"/>
        </w:pBdr>
        <w:spacing w:before="40" w:after="80"/>
        <w:ind w:left="284"/>
        <w:jc w:val="left"/>
      </w:pPr>
      <w:r>
        <w:rPr>
          <w:b/>
          <w:color w:val="FF0000"/>
          <w:sz w:val="20"/>
        </w:rPr>
        <w:t xml:space="preserve">▶ [SHOULD FIX] Rule notation and structure: </w:t>
      </w:r>
      <w:r>
        <w:rPr>
          <w:color w:val="FF0000"/>
          <w:sz w:val="20"/>
        </w:rPr>
        <w:t xml:space="preserve">'(Ease/Reuse/Cost = Moderate)' in R3/R4 is ambiguous — state it is an OR (code uses max) or expand to three rules. R5 is the only rule that yields 'Highly Suitable' and requires all five inputs at their extremes, so scores above ~80 are rarely attainable. Consider a hierarchical FIS (technical-feasibility sub-system + economic/lifecycle sub-system) to avoid rule explosion and to obtain a more complete rule base.</w:t>
      </w:r>
    </w:p>
    <w:p w14:paraId="3187F34A" w14:textId="77777777" w:rsidR="00FC6ACA" w:rsidRDefault="00A17CF4">
      <w:pPr>
        <w:spacing w:before="240" w:after="80"/>
      </w:pPr>
      <w:r>
        <w:rPr>
          <w:b/>
          <w:bCs/>
        </w:rPr>
        <w:t>Table 3. The eight-rule weighted Mamdani inference base. Rules R1 and R2 act as hard veto conditions (negative weight).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800"/>
        <w:gridCol w:w="860"/>
      </w:tblGrid>
      <w:tr w:rsidR="00FC6ACA" w14:paraId="5CA2A64E" w14:textId="77777777">
        <w:tc>
          <w:tcPr>
            <w:tcW w:w="70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478D248A" w14:textId="77777777" w:rsidR="00FC6ACA" w:rsidRDefault="00A17CF4">
            <w:r>
              <w:rPr>
                <w:b/>
                <w:bCs/>
                <w:sz w:val="19"/>
                <w:szCs w:val="19"/>
              </w:rPr>
              <w:t>#</w:t>
            </w:r>
          </w:p>
        </w:tc>
        <w:tc>
          <w:tcPr>
            <w:tcW w:w="780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0CBFA6FD" w14:textId="77777777" w:rsidR="00FC6ACA" w:rsidRDefault="00A17CF4">
            <w:r>
              <w:rPr>
                <w:b/>
                <w:bCs/>
                <w:sz w:val="19"/>
                <w:szCs w:val="19"/>
              </w:rPr>
              <w:t>Rule</w:t>
            </w:r>
          </w:p>
        </w:tc>
        <w:tc>
          <w:tcPr>
            <w:tcW w:w="86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2F75FE1F" w14:textId="77777777" w:rsidR="00FC6ACA" w:rsidRDefault="00A17CF4">
            <w:r>
              <w:rPr>
                <w:b/>
                <w:bCs/>
                <w:sz w:val="19"/>
                <w:szCs w:val="19"/>
              </w:rPr>
              <w:t>Weight</w:t>
            </w:r>
          </w:p>
        </w:tc>
      </w:tr>
      <w:tr w:rsidR="00FC6ACA" w14:paraId="3A8AEA45"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6D2DD45" w14:textId="77777777" w:rsidR="00FC6ACA" w:rsidRDefault="00A17CF4">
            <w:r>
              <w:rPr>
                <w:sz w:val="19"/>
                <w:szCs w:val="19"/>
              </w:rPr>
              <w:t>R1</w:t>
            </w:r>
          </w:p>
        </w:tc>
        <w:tc>
          <w:tcPr>
            <w:tcW w:w="7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27F7F3A" w14:textId="77777777" w:rsidR="00FC6ACA" w:rsidRDefault="00A17CF4">
            <w:r>
              <w:rPr>
                <w:sz w:val="19"/>
                <w:szCs w:val="19"/>
              </w:rPr>
              <w:t>IF Safety = Poor THEN Suitability = Unsuitable</w:t>
            </w:r>
          </w:p>
        </w:tc>
        <w:tc>
          <w:tcPr>
            <w:tcW w:w="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40A1C6" w14:textId="77777777" w:rsidR="00FC6ACA" w:rsidRDefault="00A17CF4">
            <w:r>
              <w:rPr>
                <w:sz w:val="19"/>
                <w:szCs w:val="19"/>
              </w:rPr>
              <w:t>−1.0</w:t>
            </w:r>
          </w:p>
        </w:tc>
      </w:tr>
      <w:tr w:rsidR="00FC6ACA" w14:paraId="15A17AB0"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E4A1B86" w14:textId="77777777" w:rsidR="00FC6ACA" w:rsidRDefault="00A17CF4">
            <w:r>
              <w:rPr>
                <w:sz w:val="19"/>
                <w:szCs w:val="19"/>
              </w:rPr>
              <w:t>R2</w:t>
            </w:r>
          </w:p>
        </w:tc>
        <w:tc>
          <w:tcPr>
            <w:tcW w:w="7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C0EE84D" w14:textId="77777777" w:rsidR="00FC6ACA" w:rsidRDefault="00A17CF4">
            <w:r>
              <w:rPr>
                <w:sz w:val="19"/>
                <w:szCs w:val="19"/>
              </w:rPr>
              <w:t>IF Height = Insufficient THEN Suitability = Unsuitable</w:t>
            </w:r>
          </w:p>
        </w:tc>
        <w:tc>
          <w:tcPr>
            <w:tcW w:w="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2F2BF4B" w14:textId="77777777" w:rsidR="00FC6ACA" w:rsidRDefault="00A17CF4">
            <w:r>
              <w:rPr>
                <w:sz w:val="19"/>
                <w:szCs w:val="19"/>
              </w:rPr>
              <w:t>−1.0</w:t>
            </w:r>
          </w:p>
        </w:tc>
      </w:tr>
      <w:tr w:rsidR="00FC6ACA" w14:paraId="54116F8E"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EEC6EA0" w14:textId="77777777" w:rsidR="00FC6ACA" w:rsidRDefault="00A17CF4">
            <w:r>
              <w:rPr>
                <w:sz w:val="19"/>
                <w:szCs w:val="19"/>
              </w:rPr>
              <w:t>R3</w:t>
            </w:r>
          </w:p>
        </w:tc>
        <w:tc>
          <w:tcPr>
            <w:tcW w:w="7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F5CF545" w14:textId="77777777" w:rsidR="00FC6ACA" w:rsidRDefault="00A17CF4">
            <w:r>
              <w:rPr>
                <w:sz w:val="19"/>
                <w:szCs w:val="19"/>
              </w:rPr>
              <w:t>IF Safety = Average AND Height = Sufficient AND (Ease/Reuse/Cost = Moderate) THEN Suitability = Marginally Suitable</w:t>
            </w:r>
          </w:p>
        </w:tc>
        <w:tc>
          <w:tcPr>
            <w:tcW w:w="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C3A4FBA" w14:textId="77777777" w:rsidR="00FC6ACA" w:rsidRDefault="00A17CF4">
            <w:r>
              <w:rPr>
                <w:sz w:val="19"/>
                <w:szCs w:val="19"/>
              </w:rPr>
              <w:t>+0.6</w:t>
            </w:r>
          </w:p>
        </w:tc>
      </w:tr>
      <w:tr w:rsidR="00FC6ACA" w14:paraId="752F64EA"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F18463" w14:textId="77777777" w:rsidR="00FC6ACA" w:rsidRDefault="00A17CF4">
            <w:r>
              <w:rPr>
                <w:sz w:val="19"/>
                <w:szCs w:val="19"/>
              </w:rPr>
              <w:t>R4</w:t>
            </w:r>
          </w:p>
        </w:tc>
        <w:tc>
          <w:tcPr>
            <w:tcW w:w="7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708FB9" w14:textId="77777777" w:rsidR="00FC6ACA" w:rsidRDefault="00A17CF4">
            <w:r>
              <w:rPr>
                <w:sz w:val="19"/>
                <w:szCs w:val="19"/>
              </w:rPr>
              <w:t>IF Safety = Good AND Height = Sufficient AND (Ease/Reuse/Cost = Moderate) THEN Suitability = Suitable</w:t>
            </w:r>
          </w:p>
        </w:tc>
        <w:tc>
          <w:tcPr>
            <w:tcW w:w="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8468A2A" w14:textId="77777777" w:rsidR="00FC6ACA" w:rsidRDefault="00A17CF4">
            <w:r>
              <w:rPr>
                <w:sz w:val="19"/>
                <w:szCs w:val="19"/>
              </w:rPr>
              <w:t>+0.8</w:t>
            </w:r>
          </w:p>
        </w:tc>
      </w:tr>
      <w:tr w:rsidR="00FC6ACA" w14:paraId="67373DF7"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63F6848" w14:textId="77777777" w:rsidR="00FC6ACA" w:rsidRDefault="00A17CF4">
            <w:r>
              <w:rPr>
                <w:sz w:val="19"/>
                <w:szCs w:val="19"/>
              </w:rPr>
              <w:t>R5</w:t>
            </w:r>
          </w:p>
        </w:tc>
        <w:tc>
          <w:tcPr>
            <w:tcW w:w="7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99074FD" w14:textId="77777777" w:rsidR="00FC6ACA" w:rsidRDefault="00A17CF4">
            <w:r>
              <w:rPr>
                <w:sz w:val="19"/>
                <w:szCs w:val="19"/>
              </w:rPr>
              <w:t>IF Safety = Good AND Height = Optimal AND Ease = Easy AND Reuse = High AND Cost = Low THEN Suitability = Highly Suitable</w:t>
            </w:r>
          </w:p>
        </w:tc>
        <w:tc>
          <w:tcPr>
            <w:tcW w:w="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5E4D7C9" w14:textId="77777777" w:rsidR="00FC6ACA" w:rsidRDefault="00A17CF4">
            <w:r>
              <w:rPr>
                <w:sz w:val="19"/>
                <w:szCs w:val="19"/>
              </w:rPr>
              <w:t>+1.0</w:t>
            </w:r>
          </w:p>
        </w:tc>
      </w:tr>
      <w:tr w:rsidR="00FC6ACA" w14:paraId="272E26E3"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D5127FD" w14:textId="77777777" w:rsidR="00FC6ACA" w:rsidRDefault="00A17CF4">
            <w:r>
              <w:rPr>
                <w:sz w:val="19"/>
                <w:szCs w:val="19"/>
              </w:rPr>
              <w:t>R6</w:t>
            </w:r>
          </w:p>
        </w:tc>
        <w:tc>
          <w:tcPr>
            <w:tcW w:w="7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D77E708" w14:textId="77777777" w:rsidR="00FC6ACA" w:rsidRDefault="00A17CF4">
            <w:r>
              <w:rPr>
                <w:sz w:val="19"/>
                <w:szCs w:val="19"/>
              </w:rPr>
              <w:t>IF Safety = Good AND Height = Optimal AND (Ease = Easy OR Reuse = High OR Cost = Low) THEN Suitability = Suitable</w:t>
            </w:r>
          </w:p>
        </w:tc>
        <w:tc>
          <w:tcPr>
            <w:tcW w:w="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E6FABE" w14:textId="77777777" w:rsidR="00FC6ACA" w:rsidRDefault="00A17CF4">
            <w:r>
              <w:rPr>
                <w:sz w:val="19"/>
                <w:szCs w:val="19"/>
              </w:rPr>
              <w:t>+0.9</w:t>
            </w:r>
          </w:p>
        </w:tc>
      </w:tr>
      <w:tr w:rsidR="00FC6ACA" w14:paraId="22EC0917"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96A077" w14:textId="77777777" w:rsidR="00FC6ACA" w:rsidRDefault="00A17CF4">
            <w:r>
              <w:rPr>
                <w:sz w:val="19"/>
                <w:szCs w:val="19"/>
              </w:rPr>
              <w:t>R7</w:t>
            </w:r>
          </w:p>
        </w:tc>
        <w:tc>
          <w:tcPr>
            <w:tcW w:w="7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D96D272" w14:textId="77777777" w:rsidR="00FC6ACA" w:rsidRDefault="00A17CF4">
            <w:r>
              <w:rPr>
                <w:sz w:val="19"/>
                <w:szCs w:val="19"/>
              </w:rPr>
              <w:t>IF Safety = Average AND Height = Sufficient AND Ease = Difficult AND Reuse = Low AND Cost = High THEN Suitability = Marginally Suitable</w:t>
            </w:r>
          </w:p>
        </w:tc>
        <w:tc>
          <w:tcPr>
            <w:tcW w:w="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E141164" w14:textId="77777777" w:rsidR="00FC6ACA" w:rsidRDefault="00A17CF4">
            <w:r>
              <w:rPr>
                <w:sz w:val="19"/>
                <w:szCs w:val="19"/>
              </w:rPr>
              <w:t>+0.4</w:t>
            </w:r>
          </w:p>
        </w:tc>
      </w:tr>
      <w:tr w:rsidR="00FC6ACA" w14:paraId="26CBA7F5" w14:textId="77777777">
        <w:tc>
          <w:tcPr>
            <w:tcW w:w="7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4257013" w14:textId="77777777" w:rsidR="00FC6ACA" w:rsidRDefault="00A17CF4">
            <w:r>
              <w:rPr>
                <w:sz w:val="19"/>
                <w:szCs w:val="19"/>
              </w:rPr>
              <w:t>R8</w:t>
            </w:r>
          </w:p>
        </w:tc>
        <w:tc>
          <w:tcPr>
            <w:tcW w:w="78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B497600" w14:textId="77777777" w:rsidR="00FC6ACA" w:rsidRDefault="00A17CF4">
            <w:r>
              <w:rPr>
                <w:sz w:val="19"/>
                <w:szCs w:val="19"/>
              </w:rPr>
              <w:t>IF Safety = Good AND Height = Optimal AND Ease = Moderate AND Reuse = Moderate AND Cost = Moderate THEN Suitability = Suitable</w:t>
            </w:r>
          </w:p>
        </w:tc>
        <w:tc>
          <w:tcPr>
            <w:tcW w:w="8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C40A376" w14:textId="77777777" w:rsidR="00FC6ACA" w:rsidRDefault="00A17CF4">
            <w:r>
              <w:rPr>
                <w:sz w:val="19"/>
                <w:szCs w:val="19"/>
              </w:rPr>
              <w:t>+0.8</w:t>
            </w:r>
          </w:p>
        </w:tc>
      </w:tr>
    </w:tbl>
    <w:p w14:paraId="6DF71D6B" w14:textId="77777777" w:rsidR="00FC6ACA" w:rsidRDefault="00A17CF4">
      <w:pPr>
        <w:spacing w:after="200"/>
      </w:pPr>
      <w:r>
        <w:rPr>
          <w:i/>
          <w:iCs/>
          <w:sz w:val="19"/>
          <w:szCs w:val="19"/>
        </w:rPr>
        <w:t>(Source: Authors' compilation based on expert elicitation.)</w:t>
      </w:r>
    </w:p>
    <w:p>
      <w:pPr>
        <w:pBdr>
          <w:left w:val="single" w:sz="12" w:space="6" w:color="FF0000"/>
        </w:pBdr>
        <w:spacing w:before="40" w:after="80"/>
        <w:ind w:left="284"/>
        <w:jc w:val="left"/>
      </w:pPr>
      <w:r>
        <w:rPr>
          <w:b/>
          <w:color w:val="FF0000"/>
          <w:sz w:val="20"/>
        </w:rPr>
        <w:t xml:space="preserve">▶ [POLISH] Table 3: </w:t>
      </w:r>
      <w:r>
        <w:rPr>
          <w:color w:val="FF0000"/>
          <w:sz w:val="20"/>
        </w:rPr>
        <w:t xml:space="preserve">Add a column with the rule's expert-agreement statistic (mean ± SD of weight across the 12 experts) and a column with the number of experts proposing it. Unlabelled cells such as 'Ease/Reuse/Cost' should be spelled out.</w:t>
      </w:r>
    </w:p>
    <w:p w14:paraId="3C3093A6" w14:textId="77777777" w:rsidR="00FC6ACA" w:rsidRDefault="00A17CF4">
      <w:pPr>
        <w:spacing w:before="200" w:after="80"/>
        <w:jc w:val="center"/>
      </w:pPr>
      <w:r>
        <w:rPr>
          <w:noProof/>
        </w:rPr>
        <w:drawing>
          <wp:inline distT="0" distB="0" distL="0" distR="0" wp14:anchorId="4227339E" wp14:editId="74F3FFC6">
            <wp:extent cx="5305425" cy="3528536"/>
            <wp:effectExtent l="0" t="0" r="0" b="0"/>
            <wp:docPr id="100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E9D11DC" w14:textId="77777777" w:rsidR="00FC6ACA" w:rsidRDefault="00A17CF4">
      <w:pPr>
        <w:spacing w:after="200"/>
        <w:jc w:val="center"/>
      </w:pPr>
      <w:r>
        <w:rPr>
          <w:i/>
          <w:iCs/>
          <w:sz w:val="20"/>
          <w:szCs w:val="20"/>
        </w:rPr>
        <w:t>Figure 3. Rule weights of the Mamdani inference engine. Rules R1 (safety veto) and R2 (height veto) act as hard constraints; rules R3–R8 are graded according to expert consensus.</w:t>
      </w:r>
    </w:p>
    <w:p>
      <w:pPr>
        <w:pBdr>
          <w:left w:val="single" w:sz="12" w:space="6" w:color="FF0000"/>
        </w:pBdr>
        <w:spacing w:before="40" w:after="80"/>
        <w:ind w:left="284"/>
        <w:jc w:val="left"/>
      </w:pPr>
      <w:r>
        <w:rPr>
          <w:b/>
          <w:color w:val="FF0000"/>
          <w:sz w:val="20"/>
        </w:rPr>
        <w:t xml:space="preserve">▶ [POLISH] Figure 3: </w:t>
      </w:r>
      <w:r>
        <w:rPr>
          <w:color w:val="FF0000"/>
          <w:sz w:val="20"/>
        </w:rPr>
        <w:t xml:space="preserve">A bar chart of eight numbers duplicates Table 3; remove it or replace with something new (e.g., a rule-firing heat-map per case study, which would support the 'transparency' claim).</w:t>
      </w:r>
    </w:p>
    <w:p w14:paraId="5AC2F47F" w14:textId="77777777" w:rsidR="00FC6ACA" w:rsidRDefault="00A17CF4">
      <w:pPr>
        <w:pStyle w:val="Heading2"/>
      </w:pPr>
      <w:r>
        <w:t>2.4 Inference and Defuzzification</w:t>
      </w:r>
    </w:p>
    <w:p w14:paraId="042A823C" w14:textId="60B7B0B6" w:rsidR="00FC6ACA" w:rsidRDefault="00A17CF4">
      <w:pPr>
        <w:spacing w:after="160" w:line="276" w:lineRule="auto"/>
        <w:jc w:val="both"/>
      </w:pPr>
      <w:r>
        <w:t xml:space="preserve">Max–min compositional inference is used to combine input memberships with rule consequents. For each fired rule, the consequent membership function is truncated at the minimum </w:t>
      </w:r>
      <w:r w:rsidR="00331B31">
        <w:t>antecedent membership (the firing strength),</w:t>
      </w:r>
      <w:r>
        <w:t xml:space="preserve"> multiplied by the rule weight, and the aggregated output is the maximum of the truncated consequents. The aggregated fuzzy output is converted to a crisp suitability score by centroid defuzzification, computed as the area-weighted x-coordinate of the aggregated membership function:</w:t>
      </w:r>
    </w:p>
    <w:p>
      <w:pPr>
        <w:pBdr>
          <w:left w:val="single" w:sz="12" w:space="6" w:color="FF0000"/>
        </w:pBdr>
        <w:spacing w:before="40" w:after="80"/>
        <w:ind w:left="284"/>
        <w:jc w:val="left"/>
      </w:pPr>
      <w:r>
        <w:rPr>
          <w:b/>
          <w:color w:val="FF0000"/>
          <w:sz w:val="20"/>
        </w:rPr>
        <w:t xml:space="preserve">▶ [MUST FIX] Formalise the method: </w:t>
      </w:r>
      <w:r>
        <w:rPr>
          <w:color w:val="FF0000"/>
          <w:sz w:val="20"/>
        </w:rPr>
        <w:t xml:space="preserve">Write out, with equation numbers and Word-native equations: the fuzzification mapping; AND = min, OR = max; rule firing strength α_k; weighted implication μ'_k(z) = w_k · min(α_k, μ_Ck(z)); aggregation μ_C(z) = max_k μ'_k(z); and the discrete centroid actually used (0.5-unit grid in the code). Note that scaling a single clipped consequent by a constant does not change its centroid, so the weights influence the output only when several rules with different consequents fire together — which also bears on the sensitivity results.</w:t>
      </w:r>
    </w:p>
    <w:p>
      <w:pPr>
        <w:pBdr>
          <w:left w:val="single" w:sz="12" w:space="6" w:color="FF0000"/>
        </w:pBdr>
        <w:spacing w:before="40" w:after="80"/>
        <w:ind w:left="284"/>
        <w:jc w:val="left"/>
      </w:pPr>
      <w:r>
        <w:rPr>
          <w:b/>
          <w:color w:val="FF0000"/>
          <w:sz w:val="20"/>
        </w:rPr>
        <w:t xml:space="preserve">▶ [SHOULD FIX] Output range: </w:t>
      </w:r>
      <w:r>
        <w:rPr>
          <w:color w:val="FF0000"/>
          <w:sz w:val="20"/>
        </w:rPr>
        <w:t xml:space="preserve">Centroid defuzzification cannot reach the ends of the scale: the centroid of the Unsuitable set alone is 8.3 and of Highly Suitable alone is at most ≈93.3 (triangle 80–100–100 clipped at 1). Scores of '90' (and 'plateau &gt; 80' in §3.1) must be demonstrated, not asserted. Justify centroid against alternatives (bisector, MOM), or test the sensitivity to the defuzzification method. Explain the choice of Mamdani over Sugeno/TSK, which is more computationally efficient and easier to tune.</w:t>
      </w:r>
    </w:p>
    <w:p>
      <w:pPr>
        <w:pBdr>
          <w:left w:val="single" w:sz="12" w:space="6" w:color="FF0000"/>
        </w:pBdr>
        <w:spacing w:before="40" w:after="80"/>
        <w:ind w:left="284"/>
        <w:jc w:val="left"/>
      </w:pPr>
      <w:r>
        <w:rPr>
          <w:b/>
          <w:color w:val="FF0000"/>
          <w:sz w:val="20"/>
        </w:rPr>
        <w:t xml:space="preserve">▶ [SHOULD FIX] Software and performance claims: </w:t>
      </w:r>
      <w:r>
        <w:rPr>
          <w:color w:val="FF0000"/>
          <w:sz w:val="20"/>
        </w:rPr>
        <w:t xml:space="preserve">Specify exact versions (text says scikit-fuzzy 0.4; methodology.md says 0.4.2; current release is 0.5.0), operating system, CPU, and the timing protocol (mean ± SD over n runs; with/without constructing the control system). In the code evaluate() rebuilds ControlSystem on every call, which is far slower than the claimed &lt;50 ms. 'Suitable for interactive BIM integration' is not demonstrated: either show a prototype (Revit/Dynamo API, IFC property-set exchange) or call it future work.</w:t>
      </w:r>
    </w:p>
    <w:p w14:paraId="6DD2DFF5" w14:textId="77777777" w:rsidR="00FC6ACA" w:rsidRDefault="00A17CF4">
      <w:pPr>
        <w:spacing w:after="160"/>
        <w:jc w:val="center"/>
      </w:pPr>
      <w:r>
        <w:rPr>
          <w:i/>
          <w:iCs/>
        </w:rPr>
        <w:t>z* = ∫ μ_C(z) · z dz / ∫ μ_C(z) dz</w:t>
      </w:r>
    </w:p>
    <w:p w14:paraId="4DE6A1A1" w14:textId="53A05652" w:rsidR="00FC6ACA" w:rsidRDefault="00331B31">
      <w:pPr>
        <w:spacing w:after="160" w:line="276" w:lineRule="auto"/>
        <w:jc w:val="both"/>
      </w:pPr>
      <w:r>
        <w:t xml:space="preserve">Figure 4 </w:t>
      </w:r>
      <w:proofErr w:type="spellStart"/>
      <w:r>
        <w:t>summarises</w:t>
      </w:r>
      <w:proofErr w:type="spellEnd"/>
      <w:r>
        <w:t xml:space="preserve"> the complete computational pipeline</w:t>
      </w:r>
      <w:r w:rsidR="00A17CF4">
        <w:t>. The FDSS is implemented in Python 3.10 using the scikit-fuzzy 0.4 library and runs in under 50 milliseconds per evaluation on a standard laptop, making it suitable for interactive integration with BIM design tools.</w:t>
      </w:r>
    </w:p>
    <w:p w14:paraId="23D37F6C" w14:textId="77777777" w:rsidR="00FC6ACA" w:rsidRDefault="00CA0707">
      <w:pPr>
        <w:spacing w:before="200" w:after="80"/>
        <w:jc w:val="center"/>
      </w:pPr>
      <w:r>
        <w:pict w14:anchorId="0563EEF3">
          <v:group id="fig4group" o:spid="_x0000_s1026" style="width:424.2pt;height:134.95pt;mso-position-horizontal-relative:char;mso-position-vertical-relative:line" coordsize="8360,2660">
            <v:roundrect id="in0" o:spid="_x0000_s1045" style="position:absolute;top:60;width:1150;height:380" arcsize="7864f" fillcolor="#bce2e7" strokecolor="#1b474d" strokeweight="1.4pt">
              <v:textbox inset="3pt,2pt,3pt,2pt">
                <w:txbxContent>
                  <w:p w14:paraId="45300A7E" w14:textId="77777777" w:rsidR="00B365BD" w:rsidRDefault="00CA0707">
                    <w:pPr>
                      <w:jc w:val="center"/>
                    </w:pPr>
                    <w:r>
                      <w:rPr>
                        <w:rFonts w:ascii="Calibri" w:hAnsi="Calibri"/>
                        <w:b/>
                        <w:sz w:val="18"/>
                      </w:rPr>
                      <w:t>Safety</w:t>
                    </w:r>
                  </w:p>
                </w:txbxContent>
              </v:textbox>
            </v:roundrect>
            <v:roundrect id="in1" o:spid="_x0000_s1044" style="position:absolute;top:560;width:1150;height:380" arcsize="7864f" fillcolor="#bce2e7" strokecolor="#1b474d" strokeweight="1.4pt">
              <v:textbox inset="3pt,2pt,3pt,2pt">
                <w:txbxContent>
                  <w:p w14:paraId="6936FC59" w14:textId="77777777" w:rsidR="00B365BD" w:rsidRDefault="00CA0707">
                    <w:pPr>
                      <w:jc w:val="center"/>
                    </w:pPr>
                    <w:r>
                      <w:rPr>
                        <w:rFonts w:ascii="Calibri" w:hAnsi="Calibri"/>
                        <w:b/>
                        <w:sz w:val="18"/>
                      </w:rPr>
                      <w:t>Ease of Install.</w:t>
                    </w:r>
                  </w:p>
                </w:txbxContent>
              </v:textbox>
            </v:roundrect>
            <v:roundrect id="in2" o:spid="_x0000_s1043" style="position:absolute;top:1060;width:1150;height:380" arcsize="7864f" fillcolor="#bce2e7" strokecolor="#1b474d" strokeweight="1.4pt">
              <v:textbox inset="3pt,2pt,3pt,2pt">
                <w:txbxContent>
                  <w:p w14:paraId="0F9B2DE6" w14:textId="77777777" w:rsidR="00B365BD" w:rsidRDefault="00CA0707">
                    <w:pPr>
                      <w:jc w:val="center"/>
                    </w:pPr>
                    <w:r>
                      <w:rPr>
                        <w:rFonts w:ascii="Calibri" w:hAnsi="Calibri"/>
                        <w:b/>
                        <w:sz w:val="18"/>
                      </w:rPr>
                      <w:t>Height Capability</w:t>
                    </w:r>
                  </w:p>
                </w:txbxContent>
              </v:textbox>
            </v:roundrect>
            <v:roundrect id="in3" o:spid="_x0000_s1042" style="position:absolute;top:1560;width:1150;height:380" arcsize="7864f" fillcolor="#bce2e7" strokecolor="#1b474d" strokeweight="1.4pt">
              <v:textbox inset="3pt,2pt,3pt,2pt">
                <w:txbxContent>
                  <w:p w14:paraId="62C6D45D" w14:textId="77777777" w:rsidR="00B365BD" w:rsidRDefault="00CA0707">
                    <w:pPr>
                      <w:jc w:val="center"/>
                    </w:pPr>
                    <w:r>
                      <w:rPr>
                        <w:rFonts w:ascii="Calibri" w:hAnsi="Calibri"/>
                        <w:b/>
                        <w:sz w:val="18"/>
                      </w:rPr>
                      <w:t>Reusability</w:t>
                    </w:r>
                  </w:p>
                </w:txbxContent>
              </v:textbox>
            </v:roundrect>
            <v:roundrect id="in4" o:spid="_x0000_s1041" style="position:absolute;top:2060;width:1150;height:380" arcsize="7864f" fillcolor="#bce2e7" strokecolor="#1b474d" strokeweight="1.4pt">
              <v:textbox inset="3pt,2pt,3pt,2pt">
                <w:txbxContent>
                  <w:p w14:paraId="7791C887" w14:textId="77777777" w:rsidR="00B365BD" w:rsidRDefault="00CA0707">
                    <w:pPr>
                      <w:jc w:val="center"/>
                    </w:pPr>
                    <w:r>
                      <w:rPr>
                        <w:rFonts w:ascii="Calibri" w:hAnsi="Calibri"/>
                        <w:b/>
                        <w:sz w:val="18"/>
                      </w:rPr>
                      <w:t>Op. Cost</w:t>
                    </w:r>
                  </w:p>
                </w:txbxContent>
              </v:textbox>
            </v:roundrect>
            <v:roundrect id="fuzz" o:spid="_x0000_s1040" style="position:absolute;left:1650;top:1000;width:1050;height:750" arcsize="7864f" fillcolor="#bce2e7" strokecolor="#1b474d" strokeweight="1.4pt">
              <v:textbox inset="3pt,2pt,3pt,2pt">
                <w:txbxContent>
                  <w:p w14:paraId="1EA149D5" w14:textId="77777777" w:rsidR="00B365BD" w:rsidRDefault="00CA0707">
                    <w:pPr>
                      <w:jc w:val="center"/>
                    </w:pPr>
                    <w:r>
                      <w:rPr>
                        <w:rFonts w:ascii="Calibri" w:hAnsi="Calibri"/>
                        <w:b/>
                        <w:sz w:val="18"/>
                      </w:rPr>
                      <w:t>Fuzzification</w:t>
                    </w:r>
                  </w:p>
                  <w:p w14:paraId="2C9A243B" w14:textId="77777777" w:rsidR="00B365BD" w:rsidRDefault="00CA0707">
                    <w:pPr>
                      <w:jc w:val="center"/>
                    </w:pPr>
                    <w:r>
                      <w:rPr>
                        <w:rFonts w:ascii="Calibri" w:hAnsi="Calibri"/>
                        <w:sz w:val="16"/>
                      </w:rPr>
                      <w:t>(Triangular MFs)</w:t>
                    </w:r>
                  </w:p>
                </w:txbxContent>
              </v:textbox>
            </v:roundrect>
            <v:line id="lin_in250" o:spid="_x0000_s1039" style="position:absolute" from="1150,250" to="1650,1375" strokecolor="#1b474d" strokeweight="1.1pt"/>
            <v:line id="lin_in750" o:spid="_x0000_s1038" style="position:absolute" from="1150,750" to="1650,1375" strokecolor="#1b474d" strokeweight="1.1pt"/>
            <v:line id="lin_in1250" o:spid="_x0000_s1037" style="position:absolute" from="1150,1250" to="1650,1375" strokecolor="#1b474d" strokeweight="1.1pt"/>
            <v:line id="lin_in1750" o:spid="_x0000_s1036" style="position:absolute" from="1150,1750" to="1650,1375" strokecolor="#1b474d" strokeweight="1.1pt"/>
            <v:line id="lin_in2250" o:spid="_x0000_s1035" style="position:absolute" from="1150,2250" to="1650,1375" strokecolor="#1b474d" strokeweight="1.1pt"/>
            <v:roundrect id="rule" o:spid="_x0000_s1034" style="position:absolute;left:3020;top:1000;width:1350;height:750" arcsize="7864f" fillcolor="#ffc553" strokecolor="#8a6b00" strokeweight="1.4pt">
              <v:textbox inset="3pt,2pt,3pt,2pt">
                <w:txbxContent>
                  <w:p w14:paraId="56187446" w14:textId="77777777" w:rsidR="00B365BD" w:rsidRDefault="00CA0707">
                    <w:pPr>
                      <w:jc w:val="center"/>
                    </w:pPr>
                    <w:r>
                      <w:rPr>
                        <w:rFonts w:ascii="Calibri" w:hAnsi="Calibri"/>
                        <w:b/>
                        <w:sz w:val="18"/>
                      </w:rPr>
                      <w:t>Mamdani Rule Base</w:t>
                    </w:r>
                  </w:p>
                  <w:p w14:paraId="033197E5" w14:textId="77777777" w:rsidR="00B365BD" w:rsidRDefault="00CA0707">
                    <w:pPr>
                      <w:jc w:val="center"/>
                    </w:pPr>
                    <w:r>
                      <w:rPr>
                        <w:rFonts w:ascii="Calibri" w:hAnsi="Calibri"/>
                        <w:sz w:val="16"/>
                      </w:rPr>
                      <w:t>(8 weighted rules)</w:t>
                    </w:r>
                  </w:p>
                </w:txbxContent>
              </v:textbox>
            </v:roundrect>
            <v:line id="lin_fr" o:spid="_x0000_s1033" style="position:absolute" from="2700,1375" to="3020,1375" strokecolor="#555" strokeweight="1.4pt">
              <v:stroke endarrow="block"/>
            </v:line>
            <v:roundrect id="infer" o:spid="_x0000_s1032" style="position:absolute;left:4690;top:1000;width:1250;height:750" arcsize="7864f" fillcolor="#f6cbb7" strokecolor="#a84b2f" strokeweight="1.4pt">
              <v:textbox inset="3pt,2pt,3pt,2pt">
                <w:txbxContent>
                  <w:p w14:paraId="3E3D4949" w14:textId="77777777" w:rsidR="00B365BD" w:rsidRDefault="00CA0707">
                    <w:pPr>
                      <w:jc w:val="center"/>
                    </w:pPr>
                    <w:r>
                      <w:rPr>
                        <w:rFonts w:ascii="Calibri" w:hAnsi="Calibri"/>
                        <w:b/>
                        <w:sz w:val="18"/>
                      </w:rPr>
                      <w:t>Max–Min Inference</w:t>
                    </w:r>
                  </w:p>
                  <w:p w14:paraId="50315068" w14:textId="77777777" w:rsidR="00B365BD" w:rsidRDefault="00CA0707">
                    <w:pPr>
                      <w:jc w:val="center"/>
                    </w:pPr>
                    <w:r>
                      <w:rPr>
                        <w:rFonts w:ascii="Calibri" w:hAnsi="Calibri"/>
                        <w:sz w:val="16"/>
                      </w:rPr>
                      <w:t>Aggregation</w:t>
                    </w:r>
                  </w:p>
                </w:txbxContent>
              </v:textbox>
            </v:roundrect>
            <v:line id="lin_ri" o:spid="_x0000_s1031" style="position:absolute" from="4370,1375" to="4690,1375" strokecolor="#555" strokeweight="1.4pt">
              <v:stroke endarrow="block"/>
            </v:line>
            <v:rect id="centroid" o:spid="_x0000_s1030" style="position:absolute;left:6260;top:1000;width:1150;height:750" fillcolor="#d9e8c9" strokecolor="#437a22" strokeweight="1.4pt">
              <v:textbox inset="3pt,2pt,3pt,2pt">
                <w:txbxContent>
                  <w:p w14:paraId="3DA09294" w14:textId="77777777" w:rsidR="00B365BD" w:rsidRDefault="00CA0707">
                    <w:pPr>
                      <w:jc w:val="center"/>
                    </w:pPr>
                    <w:r>
                      <w:rPr>
                        <w:rFonts w:ascii="Calibri" w:hAnsi="Calibri"/>
                        <w:b/>
                        <w:sz w:val="18"/>
                      </w:rPr>
                      <w:t>Centroid</w:t>
                    </w:r>
                  </w:p>
                  <w:p w14:paraId="54240B3C" w14:textId="77777777" w:rsidR="00B365BD" w:rsidRDefault="00CA0707">
                    <w:pPr>
                      <w:jc w:val="center"/>
                    </w:pPr>
                    <w:r>
                      <w:rPr>
                        <w:rFonts w:ascii="Calibri" w:hAnsi="Calibri"/>
                        <w:sz w:val="16"/>
                      </w:rPr>
                      <w:t>Defuzzification</w:t>
                    </w:r>
                  </w:p>
                </w:txbxContent>
              </v:textbox>
            </v:rect>
            <v:line id="lin_ic" o:spid="_x0000_s1029" style="position:absolute" from="5940,1375" to="6260,1375" strokecolor="#555" strokeweight="1.4pt">
              <v:stroke endarrow="block"/>
            </v:line>
            <v:roundrect id="outbox" o:spid="_x0000_s1028" style="position:absolute;left:6710;top:60;width:1550;height:420" arcsize="7864f" fillcolor="#f6cbb7" strokecolor="#a84b2f" strokeweight="1.4pt">
              <v:textbox inset="3pt,2pt,3pt,2pt">
                <w:txbxContent>
                  <w:p w14:paraId="1369A5DF" w14:textId="77777777" w:rsidR="00B365BD" w:rsidRDefault="00CA0707">
                    <w:pPr>
                      <w:jc w:val="center"/>
                    </w:pPr>
                    <w:r>
                      <w:rPr>
                        <w:rFonts w:ascii="Calibri" w:hAnsi="Calibri"/>
                        <w:b/>
                        <w:sz w:val="18"/>
                      </w:rPr>
                      <w:t>Suitability Score (0–100)</w:t>
                    </w:r>
                  </w:p>
                </w:txbxContent>
              </v:textbox>
            </v:roundrect>
            <v:line id="lin_co" o:spid="_x0000_s1027" style="position:absolute" from="6835,1000" to="7485,480" strokecolor="#a84b2f" strokeweight="1.4pt">
              <v:stroke endarrow="block"/>
            </v:line>
            <w10:wrap type="none"/>
            <w10:anchorlock/>
          </v:group>
        </w:pict>
      </w:r>
    </w:p>
    <w:p w14:paraId="03CC1539" w14:textId="77777777" w:rsidR="00FC6ACA" w:rsidRDefault="00A17CF4">
      <w:pPr>
        <w:spacing w:after="200"/>
        <w:jc w:val="center"/>
      </w:pPr>
      <w:r>
        <w:rPr>
          <w:i/>
          <w:iCs/>
          <w:sz w:val="20"/>
          <w:szCs w:val="20"/>
        </w:rPr>
        <w:t>Figure 4. Architecture of the Mamdani fuzzy inference decision-support system. Five linguistic inputs are fuzzified, combined through an eight-rule weighted base, aggregated by max–min inference, and converted to a crisp suitability score via centroid defuzzification.</w:t>
      </w:r>
    </w:p>
    <w:p>
      <w:pPr>
        <w:pBdr>
          <w:left w:val="single" w:sz="12" w:space="6" w:color="FF0000"/>
        </w:pBdr>
        <w:spacing w:before="40" w:after="80"/>
        <w:ind w:left="284"/>
        <w:jc w:val="left"/>
      </w:pPr>
      <w:r>
        <w:rPr>
          <w:b/>
          <w:color w:val="FF0000"/>
          <w:sz w:val="20"/>
        </w:rPr>
        <w:t xml:space="preserve">▶ [SHOULD FIX] Figure 4: </w:t>
      </w:r>
      <w:r>
        <w:rPr>
          <w:color w:val="FF0000"/>
          <w:sz w:val="20"/>
        </w:rPr>
        <w:t xml:space="preserve">The pipeline lists 'Max–Min Inference' and 'Aggregation' as separate steps but omits the weighting and veto steps described in §2.3, the six-alternative loop, and any BIM/data input. Redraw as a vector figure (not text boxes) showing: data sources → ratings → fuzzification → rules/weights → aggregation → defuzzification → ranking. Add user/BIM interface if you keep the claim.</w:t>
      </w:r>
    </w:p>
    <w:p w14:paraId="4756EE05" w14:textId="77777777" w:rsidR="00FC6ACA" w:rsidRDefault="00A17CF4">
      <w:pPr>
        <w:pStyle w:val="Heading1"/>
      </w:pPr>
      <w:r>
        <w:t>3. Results</w:t>
      </w:r>
    </w:p>
    <w:p w14:paraId="6CF60623" w14:textId="77777777" w:rsidR="00FC6ACA" w:rsidRDefault="00A17CF4">
      <w:pPr>
        <w:pStyle w:val="Heading2"/>
      </w:pPr>
      <w:r>
        <w:t>3.1 Decision Surface</w:t>
      </w:r>
    </w:p>
    <w:p w14:paraId="35566221" w14:textId="77777777" w:rsidR="00FC6ACA" w:rsidRDefault="00A17CF4">
      <w:pPr>
        <w:spacing w:after="160" w:line="276" w:lineRule="auto"/>
        <w:jc w:val="both"/>
      </w:pPr>
      <w:r>
        <w:t>Figure 5 plots the defuzzified suitability score as a function of the two dominant input variables, safety performance and height capability, with the remaining three inputs held at moderate values. The surface reveals two distinct regions: a low plateau in the bottom-left corner (poor safety, insufficient height) where suitability is uniformly below 25, and a high plateau in the upper-right (good safety, optimal height) where suitability exceeds 80. The transition between the two plateaus is sharp but smooth, demonstrating that the rule base avoids both runaway oscillation and over-aggressive smoothing.</w:t>
      </w:r>
    </w:p>
    <w:p w14:paraId="4DFF57BE" w14:textId="77777777" w:rsidR="00FC6ACA" w:rsidRDefault="00A17CF4">
      <w:pPr>
        <w:spacing w:before="200" w:after="80"/>
        <w:jc w:val="center"/>
      </w:pPr>
      <w:r>
        <w:rPr>
          <w:noProof/>
        </w:rPr>
        <w:drawing>
          <wp:inline distT="0" distB="0" distL="0" distR="0" wp14:anchorId="4489D69D" wp14:editId="76FB234B">
            <wp:extent cx="5305425" cy="4410075"/>
            <wp:effectExtent l="0" t="0" r="0" b="0"/>
            <wp:docPr id="486286943" name="Picture 48628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4410075"/>
                    </a:xfrm>
                    <a:prstGeom prst="rect">
                      <a:avLst/>
                    </a:prstGeom>
                  </pic:spPr>
                </pic:pic>
              </a:graphicData>
            </a:graphic>
          </wp:inline>
        </w:drawing>
      </w:r>
    </w:p>
    <w:p w14:paraId="57D5E000" w14:textId="77777777" w:rsidR="00FC6ACA" w:rsidRDefault="00A17CF4">
      <w:pPr>
        <w:spacing w:after="200"/>
        <w:jc w:val="center"/>
      </w:pPr>
      <w:r>
        <w:rPr>
          <w:i/>
          <w:iCs/>
          <w:sz w:val="20"/>
          <w:szCs w:val="20"/>
        </w:rPr>
        <w:t>Figure 5. Defuzzified suitability surface as a function of safety performance and height capability, with the remaining three inputs held at their moderate values. The surface shows a low plateau in the safety/height-insufficient corner and a high plateau in the safety/height-optimal corner, with a smooth but well-defined transition.</w:t>
      </w:r>
    </w:p>
    <w:p>
      <w:pPr>
        <w:pBdr>
          <w:left w:val="single" w:sz="12" w:space="6" w:color="FF0000"/>
        </w:pBdr>
        <w:spacing w:before="40" w:after="80"/>
        <w:ind w:left="284"/>
        <w:jc w:val="left"/>
      </w:pPr>
      <w:r>
        <w:rPr>
          <w:b/>
          <w:color w:val="FF0000"/>
          <w:sz w:val="20"/>
        </w:rPr>
        <w:t xml:space="preserve">▶ [MUST FIX] Verify Figure 5 against the code: </w:t>
      </w:r>
      <w:r>
        <w:rPr>
          <w:color w:val="FF0000"/>
          <w:sz w:val="20"/>
        </w:rPr>
        <w:t xml:space="preserve">Specify the fixed 'moderate' values (e.g., Ease 5.5, Reuse 100, Cost 60). With those values the released code gives 70.0 at Safety = 10, Height = 800 (only R8 fires, 'Suitable' centroid), not &gt;80 as stated, and a 'low plateau below 25' only where R1/R2 alone fire. Add contour/heat-map versions and 1–2 extra surfaces (e.g., Cost × Reusability).</w:t>
      </w:r>
    </w:p>
    <w:p>
      <w:pPr>
        <w:pBdr>
          <w:left w:val="single" w:sz="12" w:space="6" w:color="FF0000"/>
        </w:pBdr>
        <w:spacing w:before="40" w:after="80"/>
        <w:ind w:left="284"/>
        <w:jc w:val="left"/>
      </w:pPr>
      <w:r>
        <w:rPr>
          <w:b/>
          <w:color w:val="FF0000"/>
          <w:sz w:val="20"/>
        </w:rPr>
        <w:t xml:space="preserve">▶ [POLISH] Wording in §3.1: </w:t>
      </w:r>
      <w:r>
        <w:rPr>
          <w:color w:val="FF0000"/>
          <w:sz w:val="20"/>
        </w:rPr>
        <w:t xml:space="preserve">'avoids both runaway oscillation and over-aggressive smoothing' — a static FIS has no oscillation; describe the surface in terms of gradients, plateaus and rule transitions instead. 'sharp but smooth' is contradictory.</w:t>
      </w:r>
    </w:p>
    <w:p w14:paraId="42FF40E2" w14:textId="77777777" w:rsidR="00FC6ACA" w:rsidRDefault="00A17CF4">
      <w:pPr>
        <w:pStyle w:val="Heading2"/>
      </w:pPr>
      <w:r>
        <w:t>3.2 Application to Three Project Cases</w:t>
      </w:r>
    </w:p>
    <w:p w14:paraId="5568F29F" w14:textId="77777777" w:rsidR="00FC6ACA" w:rsidRDefault="00A17CF4">
      <w:pPr>
        <w:spacing w:after="160" w:line="276" w:lineRule="auto"/>
        <w:jc w:val="both"/>
      </w:pPr>
      <w:r>
        <w:t>Three representative project cases were constructed to test the FDSS across the full range of high-rise heights: a 10-storey residential block (≈35 m, 1,500 m² floor plate), a 45-storey mixed-use tower (≈160 m, 5,000 m² floor plate), and a 90-storey supertall (≈350 m, 3,200 m² floor plate). For each case, the six formwork systems documented in the source thesis [10]—timber/plywood, steel, aluminium, plastic, fabric, and engineered systems—were evaluated by the FDSS with case-specific inputs.</w:t>
      </w:r>
    </w:p>
    <w:p>
      <w:pPr>
        <w:pBdr>
          <w:left w:val="single" w:sz="12" w:space="6" w:color="FF0000"/>
        </w:pBdr>
        <w:spacing w:before="40" w:after="80"/>
        <w:ind w:left="284"/>
        <w:jc w:val="left"/>
      </w:pPr>
      <w:r>
        <w:rPr>
          <w:b/>
          <w:color w:val="FF0000"/>
          <w:sz w:val="20"/>
        </w:rPr>
        <w:t xml:space="preserve">▶ [MUST FIX] Disclose that inputs are hypothetical: </w:t>
      </w:r>
      <w:r>
        <w:rPr>
          <w:color w:val="FF0000"/>
          <w:sz w:val="20"/>
        </w:rPr>
        <w:t xml:space="preserve">The text says 'representative' and 'case-specific inputs' but the 18 input vectors (case_studies.csv) are author-defined illustrative values (the repository states they are 'not field-measured project data'). Say so explicitly in the manuscript, call them 'illustrative scenarios', and tabulate all 18 vectors in a Table (or appendix) with the rationale/source for each rating.</w:t>
      </w:r>
    </w:p>
    <w:p>
      <w:pPr>
        <w:pBdr>
          <w:left w:val="single" w:sz="12" w:space="6" w:color="FF0000"/>
        </w:pBdr>
        <w:spacing w:before="40" w:after="80"/>
        <w:ind w:left="284"/>
        <w:jc w:val="left"/>
      </w:pPr>
      <w:r>
        <w:rPr>
          <w:b/>
          <w:color w:val="FF0000"/>
          <w:sz w:val="20"/>
        </w:rPr>
        <w:t xml:space="preserve">▶ [MUST FIX] Height input is defined inconsistently: </w:t>
      </w:r>
      <w:r>
        <w:rPr>
          <w:color w:val="FF0000"/>
          <w:sz w:val="20"/>
        </w:rPr>
        <w:t xml:space="preserve">Case heights in the text (≈35, 160, 350 m) differ from the CSV (40, 160, 320 m). More importantly, every system within a case receives the same height value, so 'height capability' behaves as the project's required height, not each system's capability (Table 1 defines it as capability). The §3.2 explanation that timber 'becomes insufficient' at 90 storeys is therefore not generated by the height input. Redefine the variable (e.g., capability margin = system capability − required height) or use a pre-filter for technical feasibility.</w:t>
      </w:r>
    </w:p>
    <w:p>
      <w:pPr>
        <w:pBdr>
          <w:left w:val="single" w:sz="12" w:space="6" w:color="FF0000"/>
        </w:pBdr>
        <w:spacing w:before="40" w:after="80"/>
        <w:ind w:left="284"/>
        <w:jc w:val="left"/>
      </w:pPr>
      <w:r>
        <w:rPr>
          <w:b/>
          <w:color w:val="FF0000"/>
          <w:sz w:val="20"/>
        </w:rPr>
        <w:t xml:space="preserve">▶ [MUST FIX] System naming: </w:t>
      </w:r>
      <w:r>
        <w:rPr>
          <w:color w:val="FF0000"/>
          <w:sz w:val="20"/>
        </w:rPr>
        <w:t xml:space="preserve">The text lists 'engineered systems'; the code/CSV and TOPSIS script use 'Tunnel'. Define the six systems (what is an 'engineered system'?), and explain why tunnel forms are applicable to a 90-storey tower.</w:t>
      </w:r>
    </w:p>
    <w:p>
      <w:pPr>
        <w:pBdr>
          <w:left w:val="single" w:sz="12" w:space="6" w:color="FF0000"/>
        </w:pBdr>
        <w:spacing w:before="40" w:after="80"/>
        <w:ind w:left="284"/>
        <w:jc w:val="left"/>
      </w:pPr>
      <w:r>
        <w:rPr>
          <w:b/>
          <w:color w:val="FF0000"/>
          <w:sz w:val="20"/>
        </w:rPr>
        <w:t xml:space="preserve">▶ [MUST FIX] Reproducibility of the reported scores: </w:t>
      </w:r>
      <w:r>
        <w:rPr>
          <w:color w:val="FF0000"/>
          <w:sz w:val="20"/>
        </w:rPr>
        <w:t xml:space="preserve">At 40 m, Insufficient = 0.73 and Sufficient/Optimal = 0, so only R2 fires and all six systems in Case A score 8.80 in the released code (not 80/72/38). At 160 m only R3/R4 fire (Sufficient = 0.40); at 320 m, Optimal = 0 so R5/R6/R8 cannot fire. Hence no case can yield 80–90 with the stated membership functions. Fix the MFs/rules/inputs or correct the results, and publish the exact generated numbers.</w:t>
      </w:r>
    </w:p>
    <w:p>
      <w:pPr>
        <w:pBdr>
          <w:left w:val="single" w:sz="12" w:space="6" w:color="FF0000"/>
        </w:pBdr>
        <w:spacing w:before="40" w:after="80"/>
        <w:ind w:left="284"/>
        <w:jc w:val="left"/>
      </w:pPr>
      <w:r>
        <w:rPr>
          <w:b/>
          <w:color w:val="FF0000"/>
          <w:sz w:val="20"/>
        </w:rPr>
        <w:t xml:space="preserve">▶ [SHOULD FIX] Unused data: </w:t>
      </w:r>
      <w:r>
        <w:rPr>
          <w:color w:val="FF0000"/>
          <w:sz w:val="20"/>
        </w:rPr>
        <w:t xml:space="preserve">Floor-plate areas (1,500/5,000/3,200 m²) are given but the FIS does not use them. Delete or add them as an input.</w:t>
      </w:r>
    </w:p>
    <w:p>
      <w:pPr>
        <w:pBdr>
          <w:left w:val="single" w:sz="12" w:space="6" w:color="FF0000"/>
        </w:pBdr>
        <w:spacing w:before="40" w:after="80"/>
        <w:ind w:left="284"/>
        <w:jc w:val="left"/>
      </w:pPr>
      <w:r>
        <w:rPr>
          <w:b/>
          <w:color w:val="FF0000"/>
          <w:sz w:val="20"/>
        </w:rPr>
        <w:t xml:space="preserve">▶ [SHOULD FIX] External validity: </w:t>
      </w:r>
      <w:r>
        <w:rPr>
          <w:color w:val="FF0000"/>
          <w:sz w:val="20"/>
        </w:rPr>
        <w:t xml:space="preserve">Three synthetic cases cannot support 'across the full range of high-rise heights'. Add ≥2–3 real, documented projects (even retrospective) with input ratings obtained from site professionals and the formwork system actually used. Note also that very few Indian projects reach 320–350 m, so 'representative' is questionable.</w:t>
      </w:r>
    </w:p>
    <w:p w14:paraId="36309368" w14:textId="77777777" w:rsidR="00FC6ACA" w:rsidRDefault="00A17CF4">
      <w:pPr>
        <w:spacing w:after="160" w:line="276" w:lineRule="auto"/>
        <w:jc w:val="both"/>
      </w:pPr>
      <w:r>
        <w:t>Figure 6 summarises the resulting suitability scores. In the 10-storey case, fabric (80) and timber (72) lead, with engineered systems unsuitable (38) due to over-specification relative to the low height. In the 45-storey case, aluminium dominates (82), followed by steel (76), and the score gap between aluminium and the conventional timber baseline widens substantially. In the 90-storey case, aluminium (90) and steel (84) and engineered systems (88) form a clearly suitable trio, while timber drops below the marginally-suitable threshold (12) because its height capability becomes insufficient.</w:t>
      </w:r>
    </w:p>
    <w:p>
      <w:pPr>
        <w:pBdr>
          <w:left w:val="single" w:sz="12" w:space="6" w:color="FF0000"/>
        </w:pBdr>
        <w:spacing w:before="40" w:after="80"/>
        <w:ind w:left="284"/>
        <w:jc w:val="left"/>
      </w:pPr>
      <w:r>
        <w:rPr>
          <w:b/>
          <w:color w:val="FF0000"/>
          <w:sz w:val="20"/>
        </w:rPr>
        <w:t xml:space="preserve">▶ [MUST FIX] Consistency of thresholds and labels: </w:t>
      </w:r>
      <w:r>
        <w:rPr>
          <w:color w:val="FF0000"/>
          <w:sz w:val="20"/>
        </w:rPr>
        <w:t xml:space="preserve">'Marginally-suitable threshold (12)' — 12 lies in the Unsuitable range (&lt;25); 'engineered systems unsuitable (38)' — 38 is Marginally Suitable under the code's label() (25–50) and under the MFs; Figure 6 uses a 'suitable' threshold of 75 while the code uses 50 and 80. Define one set of crisp cut-offs, derived from the output MFs, and use it consistently in text, figure and code.</w:t>
      </w:r>
    </w:p>
    <w:p>
      <w:pPr>
        <w:pBdr>
          <w:left w:val="single" w:sz="12" w:space="6" w:color="FF0000"/>
        </w:pBdr>
        <w:spacing w:before="40" w:after="80"/>
        <w:ind w:left="284"/>
        <w:jc w:val="left"/>
      </w:pPr>
      <w:r>
        <w:rPr>
          <w:b/>
          <w:color w:val="FF0000"/>
          <w:sz w:val="20"/>
        </w:rPr>
        <w:t xml:space="preserve">▶ [SHOULD FIX] Present all results: </w:t>
      </w:r>
      <w:r>
        <w:rPr>
          <w:color w:val="FF0000"/>
          <w:sz w:val="20"/>
        </w:rPr>
        <w:t xml:space="preserve">Only some values are reported in the text. Give a results table: 6 systems × 3 cases with score, linguistic label, rank and the dominant fired rules (with firing strengths). This 'explanation trace' is what supports the transparency claim and lets readers check §3.4's statement that R5/R6 drive the transitions (see comment there).</w:t>
      </w:r>
    </w:p>
    <w:p>
      <w:pPr>
        <w:pBdr>
          <w:left w:val="single" w:sz="12" w:space="6" w:color="FF0000"/>
        </w:pBdr>
        <w:spacing w:before="40" w:after="80"/>
        <w:ind w:left="284"/>
        <w:jc w:val="left"/>
      </w:pPr>
      <w:r>
        <w:rPr>
          <w:b/>
          <w:color w:val="FF0000"/>
          <w:sz w:val="20"/>
        </w:rPr>
        <w:t xml:space="preserve">▶ [SHOULD FIX] Statistical presentation: </w:t>
      </w:r>
      <w:r>
        <w:rPr>
          <w:color w:val="FF0000"/>
          <w:sz w:val="20"/>
        </w:rPr>
        <w:t xml:space="preserve">Scores are shown as exact integers; report one decimal and, where inputs are uncertain, show intervals (e.g., ±1 on each rating) to indicate which rank differences are meaningful (aluminium 90 vs engineered 88).</w:t>
      </w:r>
    </w:p>
    <w:p w14:paraId="0093C7DD" w14:textId="77777777" w:rsidR="00FC6ACA" w:rsidRDefault="00A17CF4">
      <w:pPr>
        <w:spacing w:before="200" w:after="80"/>
        <w:jc w:val="center"/>
      </w:pPr>
      <w:r>
        <w:rPr>
          <w:noProof/>
        </w:rPr>
        <w:drawing>
          <wp:inline distT="0" distB="0" distL="0" distR="0" wp14:anchorId="65D29387" wp14:editId="5A72852C">
            <wp:extent cx="5305425" cy="3248025"/>
            <wp:effectExtent l="0" t="0" r="0" b="0"/>
            <wp:docPr id="100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0671CE9" w14:textId="77777777" w:rsidR="00FC6ACA" w:rsidRDefault="00A17CF4">
      <w:pPr>
        <w:spacing w:after="200"/>
        <w:jc w:val="center"/>
      </w:pPr>
      <w:r>
        <w:rPr>
          <w:i/>
          <w:iCs/>
          <w:sz w:val="20"/>
          <w:szCs w:val="20"/>
        </w:rPr>
        <w:t>Figure 6. Defuzzified suitability scores produced by the FDSS for the six formwork systems across three representative project cases. The dashed line indicates the 'suitable' threshold of 75. The system shifts from lightweight options at low rise to durable aluminium/steel systems at high rise.</w:t>
      </w:r>
    </w:p>
    <w:p>
      <w:pPr>
        <w:pBdr>
          <w:left w:val="single" w:sz="12" w:space="6" w:color="FF0000"/>
        </w:pBdr>
        <w:spacing w:before="40" w:after="80"/>
        <w:ind w:left="284"/>
        <w:jc w:val="left"/>
      </w:pPr>
      <w:r>
        <w:rPr>
          <w:b/>
          <w:color w:val="FF0000"/>
          <w:sz w:val="20"/>
        </w:rPr>
        <w:t xml:space="preserve">▶ [POLISH] Figure 6: </w:t>
      </w:r>
      <w:r>
        <w:rPr>
          <w:color w:val="FF0000"/>
          <w:sz w:val="20"/>
        </w:rPr>
        <w:t xml:space="preserve">Use labelled bars or a heat-map table, accessible colours, and a threshold line consistent with the cut-offs above. Ensure the caption states that inputs are illustrative.</w:t>
      </w:r>
    </w:p>
    <w:p w14:paraId="4ECCF641" w14:textId="77777777" w:rsidR="00FC6ACA" w:rsidRDefault="00A17CF4">
      <w:pPr>
        <w:pStyle w:val="Heading2"/>
      </w:pPr>
      <w:r>
        <w:t>3.3 Sensitivity Analysis</w:t>
      </w:r>
    </w:p>
    <w:p w14:paraId="280FF83A" w14:textId="77777777" w:rsidR="00FC6ACA" w:rsidRDefault="00A17CF4">
      <w:pPr>
        <w:spacing w:after="160" w:line="276" w:lineRule="auto"/>
        <w:jc w:val="both"/>
      </w:pPr>
      <w:r>
        <w:t>Each of the eight rule weights was varied independently by ±20% while holding the others at their baseline values; the resulting change in the defuzzified suitability score was recorded for the three project cases (Table 4). The maximum observed swing is 4.8 percentage points (rule R5 in the 90-storey case), and the median swing across all 16 recorded values in Table 4 is 1.95 percentage points. The rank ordering of the six formwork systems is preserved in every perturbation, confirming that the weights derived from industry consensus are robust to modest elicitation noise.</w:t>
      </w:r>
    </w:p>
    <w:p>
      <w:pPr>
        <w:pBdr>
          <w:left w:val="single" w:sz="12" w:space="6" w:color="FF0000"/>
        </w:pBdr>
        <w:spacing w:before="40" w:after="80"/>
        <w:ind w:left="284"/>
        <w:jc w:val="left"/>
      </w:pPr>
      <w:r>
        <w:rPr>
          <w:b/>
          <w:color w:val="FF0000"/>
          <w:sz w:val="20"/>
        </w:rPr>
        <w:t xml:space="preserve">▶ [MUST FIX] Sensitivity analysis is not computed: </w:t>
      </w:r>
      <w:r>
        <w:rPr>
          <w:color w:val="FF0000"/>
          <w:sz w:val="20"/>
        </w:rPr>
        <w:t xml:space="preserve">sensitivity.py hard-codes Table 4 (swings dictionary 'Table 4 expected values') and never perturbs rule weights; the rules themselves ignore the weights. Re-implement: apply the weights, perturb them, recompute all 18 scores, and report per-case, per-system results.</w:t>
      </w:r>
    </w:p>
    <w:p>
      <w:pPr>
        <w:pBdr>
          <w:left w:val="single" w:sz="12" w:space="6" w:color="FF0000"/>
        </w:pBdr>
        <w:spacing w:before="40" w:after="80"/>
        <w:ind w:left="284"/>
        <w:jc w:val="left"/>
      </w:pPr>
      <w:r>
        <w:rPr>
          <w:b/>
          <w:color w:val="FF0000"/>
          <w:sz w:val="20"/>
        </w:rPr>
        <w:t xml:space="preserve">▶ [MUST FIX] Inconsistent descriptions: </w:t>
      </w:r>
      <w:r>
        <w:rPr>
          <w:color w:val="FF0000"/>
          <w:sz w:val="20"/>
        </w:rPr>
        <w:t xml:space="preserve">Text: swing recorded 'for the three cases' with the maximum 'in the 90-storey case'; Table 4: 'mean across three project cases'. 'Swing' is undefined (max absolute change over six systems? change in a given system?). Source line says 'Monte-Carlo' but the analysis is one-at-a-time; methodology.md mentions OAT plus a Sobol' analysis; the README says 1,000 Monte-Carlo iterations. State exactly what was done. ±20% on R5 (weight 1.0) gives 1.2, outside the stated [−1,+1] range; ±20% on veto rules is conceptually unclear.</w:t>
      </w:r>
    </w:p>
    <w:p>
      <w:pPr>
        <w:pBdr>
          <w:left w:val="single" w:sz="12" w:space="6" w:color="FF0000"/>
        </w:pBdr>
        <w:spacing w:before="40" w:after="80"/>
        <w:ind w:left="284"/>
        <w:jc w:val="left"/>
      </w:pPr>
      <w:r>
        <w:rPr>
          <w:b/>
          <w:color w:val="FF0000"/>
          <w:sz w:val="20"/>
        </w:rPr>
        <w:t xml:space="preserve">▶ [MUST FIX] Rank-preservation claim: </w:t>
      </w:r>
      <w:r>
        <w:rPr>
          <w:color w:val="FF0000"/>
          <w:sz w:val="20"/>
        </w:rPr>
        <w:t xml:space="preserve">A mean swing of up to 4.8 pp is larger than the 2-pp gap between aluminium (90) and engineered systems (88), and the 4-pp gap between engineered systems (88) and steel (84), in Figure 6, so rank preservation 'in every trial' needs the actual per-trial evidence. Report rank margins, Kendall's τ or Spearman's ρ between baseline and perturbed rankings, and frequency of top-1 changes.</w:t>
      </w:r>
    </w:p>
    <w:p>
      <w:pPr>
        <w:pBdr>
          <w:left w:val="single" w:sz="12" w:space="6" w:color="FF0000"/>
        </w:pBdr>
        <w:spacing w:before="40" w:after="80"/>
        <w:ind w:left="284"/>
        <w:jc w:val="left"/>
      </w:pPr>
      <w:r>
        <w:rPr>
          <w:b/>
          <w:color w:val="FF0000"/>
          <w:sz w:val="20"/>
        </w:rPr>
        <w:t xml:space="preserve">▶ [SHOULD FIX] Broaden the analysis: </w:t>
      </w:r>
      <w:r>
        <w:rPr>
          <w:color w:val="FF0000"/>
          <w:sz w:val="20"/>
        </w:rPr>
        <w:t xml:space="preserve">Weights are the least influential part of a Mamdani model (see §2.4). Add sensitivity to MF parameters (shift a, b, c by ±10–20%), input uncertainty (±1 rating point), number/shape of sets, AND/OR operators and defuzzification, using a global method (Sobol' or Morris; Saltelli et al., 2008) with distributions for inputs. 'Confirming … robust' should read 'suggests'. Replace the always-'Yes' column with a more informative metric (minimum rank margin).</w:t>
      </w:r>
    </w:p>
    <w:p w14:paraId="07B29008" w14:textId="77777777" w:rsidR="00FC6ACA" w:rsidRDefault="00A17CF4">
      <w:pPr>
        <w:spacing w:before="240" w:after="80"/>
      </w:pPr>
      <w:r>
        <w:rPr>
          <w:b/>
          <w:bCs/>
        </w:rPr>
        <w:t>Table 4. Sensitivity of the defuzzified suitability score to ±20% rule-weight perturbation (mean across three project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400"/>
        <w:gridCol w:w="1960"/>
      </w:tblGrid>
      <w:tr w:rsidR="00FC6ACA" w14:paraId="4C14065D" w14:textId="77777777">
        <w:tc>
          <w:tcPr>
            <w:tcW w:w="260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684C36E8" w14:textId="77777777" w:rsidR="00FC6ACA" w:rsidRDefault="00A17CF4">
            <w:r>
              <w:rPr>
                <w:b/>
                <w:bCs/>
                <w:sz w:val="19"/>
                <w:szCs w:val="19"/>
              </w:rPr>
              <w:t>Rule</w:t>
            </w:r>
          </w:p>
        </w:tc>
        <w:tc>
          <w:tcPr>
            <w:tcW w:w="240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4EE33E5E" w14:textId="77777777" w:rsidR="00FC6ACA" w:rsidRDefault="00A17CF4">
            <w:r>
              <w:rPr>
                <w:b/>
                <w:bCs/>
                <w:sz w:val="19"/>
                <w:szCs w:val="19"/>
              </w:rPr>
              <w:t>−20% swing (pp)</w:t>
            </w:r>
          </w:p>
        </w:tc>
        <w:tc>
          <w:tcPr>
            <w:tcW w:w="240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7EDC7F0D" w14:textId="77777777" w:rsidR="00FC6ACA" w:rsidRDefault="00A17CF4">
            <w:r>
              <w:rPr>
                <w:b/>
                <w:bCs/>
                <w:sz w:val="19"/>
                <w:szCs w:val="19"/>
              </w:rPr>
              <w:t>+20% swing (pp)</w:t>
            </w:r>
          </w:p>
        </w:tc>
        <w:tc>
          <w:tcPr>
            <w:tcW w:w="1960" w:type="dxa"/>
            <w:tcBorders>
              <w:top w:val="single" w:sz="2" w:space="0" w:color="B0B0B0"/>
              <w:left w:val="single" w:sz="2" w:space="0" w:color="B0B0B0"/>
              <w:bottom w:val="single" w:sz="2" w:space="0" w:color="B0B0B0"/>
              <w:right w:val="single" w:sz="2" w:space="0" w:color="B0B0B0"/>
            </w:tcBorders>
            <w:shd w:val="clear" w:color="auto" w:fill="EDF2F7"/>
            <w:tcMar>
              <w:top w:w="60" w:type="dxa"/>
              <w:left w:w="100" w:type="dxa"/>
              <w:bottom w:w="60" w:type="dxa"/>
              <w:right w:w="100" w:type="dxa"/>
            </w:tcMar>
            <w:vAlign w:val="center"/>
          </w:tcPr>
          <w:p w14:paraId="6C030CEE" w14:textId="77777777" w:rsidR="00FC6ACA" w:rsidRDefault="00A17CF4">
            <w:r>
              <w:rPr>
                <w:b/>
                <w:bCs/>
                <w:sz w:val="19"/>
                <w:szCs w:val="19"/>
              </w:rPr>
              <w:t>Rank preserved</w:t>
            </w:r>
          </w:p>
        </w:tc>
      </w:tr>
      <w:tr w:rsidR="00FC6ACA" w14:paraId="1761A401"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744FA06" w14:textId="77777777" w:rsidR="00FC6ACA" w:rsidRDefault="00A17CF4">
            <w:r>
              <w:rPr>
                <w:sz w:val="19"/>
                <w:szCs w:val="19"/>
              </w:rPr>
              <w:t>R1 (safety veto)</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3882A8" w14:textId="77777777" w:rsidR="00FC6ACA" w:rsidRDefault="00A17CF4">
            <w:r>
              <w:rPr>
                <w:sz w:val="19"/>
                <w:szCs w:val="19"/>
              </w:rPr>
              <w:t>3.1</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EF95600" w14:textId="77777777" w:rsidR="00FC6ACA" w:rsidRDefault="00A17CF4">
            <w:r>
              <w:rPr>
                <w:sz w:val="19"/>
                <w:szCs w:val="19"/>
              </w:rPr>
              <w:t>3.4</w:t>
            </w:r>
          </w:p>
        </w:tc>
        <w:tc>
          <w:tcPr>
            <w:tcW w:w="19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E65184A" w14:textId="77777777" w:rsidR="00FC6ACA" w:rsidRDefault="00A17CF4">
            <w:r>
              <w:rPr>
                <w:sz w:val="19"/>
                <w:szCs w:val="19"/>
              </w:rPr>
              <w:t>Yes</w:t>
            </w:r>
          </w:p>
        </w:tc>
      </w:tr>
      <w:tr w:rsidR="00FC6ACA" w14:paraId="10408D2C"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7DD7B07" w14:textId="77777777" w:rsidR="00FC6ACA" w:rsidRDefault="00A17CF4">
            <w:r>
              <w:rPr>
                <w:sz w:val="19"/>
                <w:szCs w:val="19"/>
              </w:rPr>
              <w:t>R2 (height veto)</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6C58C05" w14:textId="77777777" w:rsidR="00FC6ACA" w:rsidRDefault="00A17CF4">
            <w:r>
              <w:rPr>
                <w:sz w:val="19"/>
                <w:szCs w:val="19"/>
              </w:rPr>
              <w:t>2.8</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3995271" w14:textId="77777777" w:rsidR="00FC6ACA" w:rsidRDefault="00A17CF4">
            <w:r>
              <w:rPr>
                <w:sz w:val="19"/>
                <w:szCs w:val="19"/>
              </w:rPr>
              <w:t>3.0</w:t>
            </w:r>
          </w:p>
        </w:tc>
        <w:tc>
          <w:tcPr>
            <w:tcW w:w="19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BFC7C7D" w14:textId="77777777" w:rsidR="00FC6ACA" w:rsidRDefault="00A17CF4">
            <w:r>
              <w:rPr>
                <w:sz w:val="19"/>
                <w:szCs w:val="19"/>
              </w:rPr>
              <w:t>Yes</w:t>
            </w:r>
          </w:p>
        </w:tc>
      </w:tr>
      <w:tr w:rsidR="00FC6ACA" w14:paraId="6E0E3253"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7748895" w14:textId="77777777" w:rsidR="00FC6ACA" w:rsidRDefault="00A17CF4">
            <w:r>
              <w:rPr>
                <w:sz w:val="19"/>
                <w:szCs w:val="19"/>
              </w:rPr>
              <w:t>R3</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A88D6C" w14:textId="77777777" w:rsidR="00FC6ACA" w:rsidRDefault="00A17CF4">
            <w:r>
              <w:rPr>
                <w:sz w:val="19"/>
                <w:szCs w:val="19"/>
              </w:rPr>
              <w:t>1.2</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9466B83" w14:textId="77777777" w:rsidR="00FC6ACA" w:rsidRDefault="00A17CF4">
            <w:r>
              <w:rPr>
                <w:sz w:val="19"/>
                <w:szCs w:val="19"/>
              </w:rPr>
              <w:t>1.4</w:t>
            </w:r>
          </w:p>
        </w:tc>
        <w:tc>
          <w:tcPr>
            <w:tcW w:w="19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D973D0F" w14:textId="77777777" w:rsidR="00FC6ACA" w:rsidRDefault="00A17CF4">
            <w:r>
              <w:rPr>
                <w:sz w:val="19"/>
                <w:szCs w:val="19"/>
              </w:rPr>
              <w:t>Yes</w:t>
            </w:r>
          </w:p>
        </w:tc>
      </w:tr>
      <w:tr w:rsidR="00FC6ACA" w14:paraId="57C050B8"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1AD9E1A" w14:textId="77777777" w:rsidR="00FC6ACA" w:rsidRDefault="00A17CF4">
            <w:r>
              <w:rPr>
                <w:sz w:val="19"/>
                <w:szCs w:val="19"/>
              </w:rPr>
              <w:t>R4</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972056" w14:textId="77777777" w:rsidR="00FC6ACA" w:rsidRDefault="00A17CF4">
            <w:r>
              <w:rPr>
                <w:sz w:val="19"/>
                <w:szCs w:val="19"/>
              </w:rPr>
              <w:t>1.6</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CC07BB9" w14:textId="77777777" w:rsidR="00FC6ACA" w:rsidRDefault="00A17CF4">
            <w:r>
              <w:rPr>
                <w:sz w:val="19"/>
                <w:szCs w:val="19"/>
              </w:rPr>
              <w:t>1.8</w:t>
            </w:r>
          </w:p>
        </w:tc>
        <w:tc>
          <w:tcPr>
            <w:tcW w:w="19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F576B67" w14:textId="77777777" w:rsidR="00FC6ACA" w:rsidRDefault="00A17CF4">
            <w:r>
              <w:rPr>
                <w:sz w:val="19"/>
                <w:szCs w:val="19"/>
              </w:rPr>
              <w:t>Yes</w:t>
            </w:r>
          </w:p>
        </w:tc>
      </w:tr>
      <w:tr w:rsidR="00FC6ACA" w14:paraId="1503AAF5"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7E577E4" w14:textId="77777777" w:rsidR="00FC6ACA" w:rsidRDefault="00A17CF4">
            <w:r>
              <w:rPr>
                <w:sz w:val="19"/>
                <w:szCs w:val="19"/>
              </w:rPr>
              <w:t>R5</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9351F87" w14:textId="77777777" w:rsidR="00FC6ACA" w:rsidRDefault="00A17CF4">
            <w:r>
              <w:rPr>
                <w:sz w:val="19"/>
                <w:szCs w:val="19"/>
              </w:rPr>
              <w:t>4.5</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6072C46" w14:textId="77777777" w:rsidR="00FC6ACA" w:rsidRDefault="00A17CF4">
            <w:r>
              <w:rPr>
                <w:sz w:val="19"/>
                <w:szCs w:val="19"/>
              </w:rPr>
              <w:t>4.8</w:t>
            </w:r>
          </w:p>
        </w:tc>
        <w:tc>
          <w:tcPr>
            <w:tcW w:w="19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6C3A560A" w14:textId="77777777" w:rsidR="00FC6ACA" w:rsidRDefault="00A17CF4">
            <w:r>
              <w:rPr>
                <w:sz w:val="19"/>
                <w:szCs w:val="19"/>
              </w:rPr>
              <w:t>Yes</w:t>
            </w:r>
          </w:p>
        </w:tc>
      </w:tr>
      <w:tr w:rsidR="00FC6ACA" w14:paraId="30A6D712"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48C22D14" w14:textId="77777777" w:rsidR="00FC6ACA" w:rsidRDefault="00A17CF4">
            <w:r>
              <w:rPr>
                <w:sz w:val="19"/>
                <w:szCs w:val="19"/>
              </w:rPr>
              <w:t>R6</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C483B52" w14:textId="77777777" w:rsidR="00FC6ACA" w:rsidRDefault="00A17CF4">
            <w:r>
              <w:rPr>
                <w:sz w:val="19"/>
                <w:szCs w:val="19"/>
              </w:rPr>
              <w:t>2.0</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A189792" w14:textId="77777777" w:rsidR="00FC6ACA" w:rsidRDefault="00A17CF4">
            <w:r>
              <w:rPr>
                <w:sz w:val="19"/>
                <w:szCs w:val="19"/>
              </w:rPr>
              <w:t>2.2</w:t>
            </w:r>
          </w:p>
        </w:tc>
        <w:tc>
          <w:tcPr>
            <w:tcW w:w="19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C7BB39F" w14:textId="77777777" w:rsidR="00FC6ACA" w:rsidRDefault="00A17CF4">
            <w:r>
              <w:rPr>
                <w:sz w:val="19"/>
                <w:szCs w:val="19"/>
              </w:rPr>
              <w:t>Yes</w:t>
            </w:r>
          </w:p>
        </w:tc>
      </w:tr>
      <w:tr w:rsidR="00FC6ACA" w14:paraId="4D5F4FE8"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B958E35" w14:textId="77777777" w:rsidR="00FC6ACA" w:rsidRDefault="00A17CF4">
            <w:r>
              <w:rPr>
                <w:sz w:val="19"/>
                <w:szCs w:val="19"/>
              </w:rPr>
              <w:t>R7</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037D315E" w14:textId="77777777" w:rsidR="00FC6ACA" w:rsidRDefault="00A17CF4">
            <w:r>
              <w:rPr>
                <w:sz w:val="19"/>
                <w:szCs w:val="19"/>
              </w:rPr>
              <w:t>0.9</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4DB99C5" w14:textId="77777777" w:rsidR="00FC6ACA" w:rsidRDefault="00A17CF4">
            <w:r>
              <w:rPr>
                <w:sz w:val="19"/>
                <w:szCs w:val="19"/>
              </w:rPr>
              <w:t>1.1</w:t>
            </w:r>
          </w:p>
        </w:tc>
        <w:tc>
          <w:tcPr>
            <w:tcW w:w="19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27A7045E" w14:textId="77777777" w:rsidR="00FC6ACA" w:rsidRDefault="00A17CF4">
            <w:r>
              <w:rPr>
                <w:sz w:val="19"/>
                <w:szCs w:val="19"/>
              </w:rPr>
              <w:t>Yes</w:t>
            </w:r>
          </w:p>
        </w:tc>
      </w:tr>
      <w:tr w:rsidR="00FC6ACA" w14:paraId="7401474C" w14:textId="77777777">
        <w:tc>
          <w:tcPr>
            <w:tcW w:w="26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5C89553D" w14:textId="77777777" w:rsidR="00FC6ACA" w:rsidRDefault="00A17CF4">
            <w:r>
              <w:rPr>
                <w:sz w:val="19"/>
                <w:szCs w:val="19"/>
              </w:rPr>
              <w:t>R8</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1B97FCD3" w14:textId="77777777" w:rsidR="00FC6ACA" w:rsidRDefault="00A17CF4">
            <w:r>
              <w:rPr>
                <w:sz w:val="19"/>
                <w:szCs w:val="19"/>
              </w:rPr>
              <w:t>1.7</w:t>
            </w:r>
          </w:p>
        </w:tc>
        <w:tc>
          <w:tcPr>
            <w:tcW w:w="240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30CAE134" w14:textId="77777777" w:rsidR="00FC6ACA" w:rsidRDefault="00A17CF4">
            <w:r>
              <w:rPr>
                <w:sz w:val="19"/>
                <w:szCs w:val="19"/>
              </w:rPr>
              <w:t>1.9</w:t>
            </w:r>
          </w:p>
        </w:tc>
        <w:tc>
          <w:tcPr>
            <w:tcW w:w="1960" w:type="dxa"/>
            <w:tcBorders>
              <w:top w:val="single" w:sz="2" w:space="0" w:color="B0B0B0"/>
              <w:left w:val="single" w:sz="2" w:space="0" w:color="B0B0B0"/>
              <w:bottom w:val="single" w:sz="2" w:space="0" w:color="B0B0B0"/>
              <w:right w:val="single" w:sz="2" w:space="0" w:color="B0B0B0"/>
            </w:tcBorders>
            <w:tcMar>
              <w:top w:w="60" w:type="dxa"/>
              <w:left w:w="100" w:type="dxa"/>
              <w:bottom w:w="60" w:type="dxa"/>
              <w:right w:w="100" w:type="dxa"/>
            </w:tcMar>
            <w:vAlign w:val="center"/>
          </w:tcPr>
          <w:p w14:paraId="722E445B" w14:textId="77777777" w:rsidR="00FC6ACA" w:rsidRDefault="00A17CF4">
            <w:r>
              <w:rPr>
                <w:sz w:val="19"/>
                <w:szCs w:val="19"/>
              </w:rPr>
              <w:t>Yes</w:t>
            </w:r>
          </w:p>
        </w:tc>
      </w:tr>
    </w:tbl>
    <w:p w14:paraId="701932B5" w14:textId="77777777" w:rsidR="00FC6ACA" w:rsidRDefault="00A17CF4">
      <w:pPr>
        <w:spacing w:after="200"/>
      </w:pPr>
      <w:r>
        <w:rPr>
          <w:i/>
          <w:iCs/>
          <w:sz w:val="19"/>
          <w:szCs w:val="19"/>
        </w:rPr>
        <w:t>(Source: Authors' Monte-Carlo perturbation runs in Python.)</w:t>
      </w:r>
    </w:p>
    <w:p>
      <w:pPr>
        <w:pBdr>
          <w:left w:val="single" w:sz="12" w:space="6" w:color="FF0000"/>
        </w:pBdr>
        <w:spacing w:before="40" w:after="80"/>
        <w:ind w:left="284"/>
        <w:jc w:val="left"/>
      </w:pPr>
      <w:r>
        <w:rPr>
          <w:b/>
          <w:color w:val="FF0000"/>
          <w:sz w:val="20"/>
        </w:rPr>
        <w:t xml:space="preserve">▶ [POLISH] Table 4: </w:t>
      </w:r>
      <w:r>
        <w:rPr>
          <w:color w:val="FF0000"/>
          <w:sz w:val="20"/>
        </w:rPr>
        <w:t xml:space="preserve">State units and definition of 'swing' in the caption, give sample sizes, and consider a tornado chart rather than the figure/table duplication.</w:t>
      </w:r>
    </w:p>
    <w:p w14:paraId="11BB2C96" w14:textId="77777777" w:rsidR="00FC6ACA" w:rsidRDefault="00A17CF4">
      <w:pPr>
        <w:pStyle w:val="Heading2"/>
      </w:pPr>
      <w:r>
        <w:t>3.4 Face Validation and Qualitative Comparison with Established MCDM Methods</w:t>
      </w:r>
    </w:p>
    <w:p w14:paraId="54AA4072" w14:textId="77777777" w:rsidR="00FC6ACA" w:rsidRDefault="00A17CF4">
      <w:pPr>
        <w:spacing w:after="160" w:line="276" w:lineRule="auto"/>
        <w:jc w:val="both"/>
      </w:pPr>
      <w:r>
        <w:t>Two complementary validation strategies are reported here. First, face validation: the FDSS rank order across the three case studies is consistent with the qualitative patterns reported in the wider literature, namely that lightweight fabric and timber formwork dominate low-rise applications, aluminium systems lead at mid-rise, and aluminium and steel jointly dominate at supertall heights [5]. The transition between these regimes coincides with the firing of rules R5 and R6, which is the behaviour the rule base was designed to encode.</w:t>
      </w:r>
    </w:p>
    <w:p>
      <w:pPr>
        <w:pBdr>
          <w:left w:val="single" w:sz="12" w:space="6" w:color="FF0000"/>
        </w:pBdr>
        <w:spacing w:before="40" w:after="80"/>
        <w:ind w:left="284"/>
        <w:jc w:val="left"/>
      </w:pPr>
      <w:r>
        <w:rPr>
          <w:b/>
          <w:color w:val="FF0000"/>
          <w:sz w:val="20"/>
        </w:rPr>
        <w:t xml:space="preserve">▶ [MUST FIX] 'Face validation' is not face validation: </w:t>
      </w:r>
      <w:r>
        <w:rPr>
          <w:color w:val="FF0000"/>
          <w:sz w:val="20"/>
        </w:rPr>
        <w:t xml:space="preserve">Face validation means domain experts judge the plausibility of model behaviour. Here it is the authors comparing outputs with one reference [5]. The agreement is circular because 'the rule base was designed to encode' the pattern and the inputs were authored to fit it. Call this 'verification' and add real validation following a recognised framework (e.g., Sargent, 2013: conceptual, data and operational validity).</w:t>
      </w:r>
    </w:p>
    <w:p>
      <w:pPr>
        <w:pBdr>
          <w:left w:val="single" w:sz="12" w:space="6" w:color="FF0000"/>
        </w:pBdr>
        <w:spacing w:before="40" w:after="80"/>
        <w:ind w:left="284"/>
        <w:jc w:val="left"/>
      </w:pPr>
      <w:r>
        <w:rPr>
          <w:b/>
          <w:color w:val="FF0000"/>
          <w:sz w:val="20"/>
        </w:rPr>
        <w:t xml:space="preserve">▶ [MUST FIX] Unsupported statement about R5 and R6: </w:t>
      </w:r>
      <w:r>
        <w:rPr>
          <w:color w:val="FF0000"/>
          <w:sz w:val="20"/>
        </w:rPr>
        <w:t xml:space="preserve">'The transition between these regimes coincides with the firing of rules R5 and R6' is contradicted by the code: with heights of 40/160/320 m, Optimal = 0 in all cases, so R5, R6 and R8 never fire. Provide firing-strength tables.</w:t>
      </w:r>
    </w:p>
    <w:p>
      <w:pPr>
        <w:pBdr>
          <w:left w:val="single" w:sz="12" w:space="6" w:color="FF0000"/>
        </w:pBdr>
        <w:spacing w:before="40" w:after="80"/>
        <w:ind w:left="284"/>
        <w:jc w:val="left"/>
      </w:pPr>
      <w:r>
        <w:rPr>
          <w:b/>
          <w:color w:val="FF0000"/>
          <w:sz w:val="20"/>
        </w:rPr>
        <w:t xml:space="preserve">▶ [MUST FIX] Add real validation: </w:t>
      </w:r>
      <w:r>
        <w:rPr>
          <w:color w:val="FF0000"/>
          <w:sz w:val="20"/>
        </w:rPr>
        <w:t xml:space="preserve">(i) Independent panel: ≥15–30 practitioners not involved in design rank the alternatives for each case; report Spearman's ρ/Kendall's τ and agreement (Kendall's W). The repository already contains expert_panel_ranks.csv — if this is real data it must be described in the paper (my calculation from that file gives ρ ≈ 0.89, 0.94 and 1.00 for cases A–C), and if it is illustrative it should be removed or clearly labelled, because it contradicts the manuscript's statement that no panel has ranked the cases. (ii) Retrospective validation against completed projects. (iii) A short usability evaluation with practitioners.</w:t>
      </w:r>
    </w:p>
    <w:p>
      <w:pPr>
        <w:pBdr>
          <w:left w:val="single" w:sz="12" w:space="6" w:color="FF0000"/>
        </w:pBdr>
        <w:spacing w:before="40" w:after="80"/>
        <w:ind w:left="284"/>
        <w:jc w:val="left"/>
      </w:pPr>
      <w:r>
        <w:rPr>
          <w:b/>
          <w:color w:val="FF0000"/>
          <w:sz w:val="20"/>
        </w:rPr>
        <w:t xml:space="preserve">▶ [MUST FIX] Make the AHP/TOPSIS comparison real or drop it: </w:t>
      </w:r>
      <w:r>
        <w:rPr>
          <w:color w:val="FF0000"/>
          <w:sz w:val="20"/>
        </w:rPr>
        <w:t xml:space="preserve">A conceptual comparison cannot 'suggest' that the FDSS is more tolerant of missing inputs. Run AHP, TOPSIS and fuzzy variants (fuzzy AHP/TOPSIS are the fair comparators) on identical inputs; compare rankings (Spearman's ρ/Kendall's τ) and test missing-data robustness by randomly deleting 10/20/30% of inputs and measuring rank stability. Note that the repository's benchmarks do not use the same inputs as the FDSS (TOPSIS uses a separate hard-coded matrix with values averaged across cases; the AHP matrix is illustrative, not elicited).</w:t>
      </w:r>
    </w:p>
    <w:p>
      <w:pPr>
        <w:pBdr>
          <w:left w:val="single" w:sz="12" w:space="6" w:color="FF0000"/>
        </w:pBdr>
        <w:spacing w:before="40" w:after="80"/>
        <w:ind w:left="284"/>
        <w:jc w:val="left"/>
      </w:pPr>
      <w:r>
        <w:rPr>
          <w:b/>
          <w:color w:val="FF0000"/>
          <w:sz w:val="20"/>
        </w:rPr>
        <w:t xml:space="preserve">▶ [MUST FIX] Missing-input claim: </w:t>
      </w:r>
      <w:r>
        <w:rPr>
          <w:color w:val="FF0000"/>
          <w:sz w:val="20"/>
        </w:rPr>
        <w:t xml:space="preserve">'degrades gracefully when inputs are missing' is untested and, in the implementation, sim.compute() fails without all five inputs; R5, R7 and R8 reference all five antecedents and cannot be evaluated with a missing one. Implement an explicit missing-value strategy (e.g., drop affected antecedents and renormalise) and test it, or remove the claim from Abstract, §3.4, §4.1 and Conclusions.</w:t>
      </w:r>
    </w:p>
    <w:p>
      <w:pPr>
        <w:pBdr>
          <w:left w:val="single" w:sz="12" w:space="6" w:color="FF0000"/>
        </w:pBdr>
        <w:spacing w:before="40" w:after="80"/>
        <w:ind w:left="284"/>
        <w:jc w:val="left"/>
      </w:pPr>
      <w:r>
        <w:rPr>
          <w:b/>
          <w:color w:val="FF0000"/>
          <w:sz w:val="20"/>
        </w:rPr>
        <w:t xml:space="preserve">▶ [SHOULD FIX] Fairness of criticism: </w:t>
      </w:r>
      <w:r>
        <w:rPr>
          <w:color w:val="FF0000"/>
          <w:sz w:val="20"/>
        </w:rPr>
        <w:t xml:space="preserve">'AHP … must be re-elicited when any criterion changes' applies equally to a rule base; 'TOPSIS … degrades sharply' needs evidence. Also move the limitations in the last sentences of this section to the Discussion — Results should report findings only.</w:t>
      </w:r>
    </w:p>
    <w:p w14:paraId="227739F8" w14:textId="77777777" w:rsidR="00FC6ACA" w:rsidRDefault="00A17CF4">
      <w:pPr>
        <w:spacing w:after="160" w:line="276" w:lineRule="auto"/>
        <w:jc w:val="both"/>
      </w:pPr>
      <w:r>
        <w:t>Second, a qualitative, illustrative comparison with two established MCDM methods, AHP [4] and TOPSIS, was undertaken on the same five-criterion, six-option problem; this comparison is conceptual rather than a quantitative head-to-head benchmark, since no common numerical performance metric was computed across all three methods. AHP requires a pairwise comparison matrix that must be re-elicited when any criterion changes; TOPSIS requires deterministic numerical inputs and degrades sharply when one or more inputs are missing. By design, the FDSS accepts linguistic inputs directly and degrades gracefully when inputs are missing, because the firing strength of each rule depends only on the antecedents it explicitly references; however, whether this design advantage translates into better decisions in practice has not yet been empirically tested. A formal empirical validation against an independent expert panel and against realised project outcomes is identified as the most important next step and is planned for a follow-up study.</w:t>
      </w:r>
    </w:p>
    <w:p w14:paraId="52F7AFCA" w14:textId="77777777" w:rsidR="00FC6ACA" w:rsidRDefault="00A17CF4">
      <w:pPr>
        <w:pStyle w:val="Heading1"/>
      </w:pPr>
      <w:r>
        <w:t>4. Discussion</w:t>
      </w:r>
    </w:p>
    <w:p w14:paraId="031FCA47" w14:textId="77777777" w:rsidR="00FC6ACA" w:rsidRDefault="00A17CF4">
      <w:pPr>
        <w:spacing w:after="160" w:line="276" w:lineRule="auto"/>
        <w:jc w:val="both"/>
      </w:pPr>
      <w:r>
        <w:t>Three features distinguish the FDSS from the Monte Carlo optimisation framework presented in the source thesis [10]. First, the FDSS accepts linguistic inputs, making it usable at the schematic-design stage when numerical project parameters are not yet available. Second, it produces a single, interpretable suitability score per formwork option rather than a probability distribution, which is preferred by practitioners during early-stage option-screening. Third, its computational footprint is negligible, enabling tight integration with interactive BIM workflows.</w:t>
      </w:r>
    </w:p>
    <w:p>
      <w:pPr>
        <w:pBdr>
          <w:left w:val="single" w:sz="12" w:space="6" w:color="FF0000"/>
        </w:pBdr>
        <w:spacing w:before="40" w:after="80"/>
        <w:ind w:left="284"/>
        <w:jc w:val="left"/>
      </w:pPr>
      <w:r>
        <w:rPr>
          <w:b/>
          <w:color w:val="FF0000"/>
          <w:sz w:val="20"/>
        </w:rPr>
        <w:t xml:space="preserve">▶ [SHOULD FIX] Discussion lacks interpretation: </w:t>
      </w:r>
      <w:r>
        <w:rPr>
          <w:color w:val="FF0000"/>
          <w:sz w:val="20"/>
        </w:rPr>
        <w:t xml:space="preserve">The Discussion should (1) restate the key findings, (2) compare them with prior formwork-selection studies (what is consistent, what differs and why), (3) draw theoretical and practical implications (for contractors, designers, BIM managers, Indian practice), (4) discuss threats to validity, and (5) lead into limitations/future work. Currently it contrasts the model with the author's own thesis.</w:t>
      </w:r>
    </w:p>
    <w:p>
      <w:pPr>
        <w:pBdr>
          <w:left w:val="single" w:sz="12" w:space="6" w:color="FF0000"/>
        </w:pBdr>
        <w:spacing w:before="40" w:after="80"/>
        <w:ind w:left="284"/>
        <w:jc w:val="left"/>
      </w:pPr>
      <w:r>
        <w:rPr>
          <w:b/>
          <w:color w:val="FF0000"/>
          <w:sz w:val="20"/>
        </w:rPr>
        <w:t xml:space="preserve">▶ [SHOULD FIX] Self-referential framing: </w:t>
      </w:r>
      <w:r>
        <w:rPr>
          <w:color w:val="FF0000"/>
          <w:sz w:val="20"/>
        </w:rPr>
        <w:t xml:space="preserve">Readers cannot evaluate 'the source thesis [10]'. Cite the published Monte Carlo paper [16] and explain explicitly what is new here relative to [10] and [16] (overlap of text, figures and data must be disclosed and kept minimal). 'preferred by practitioners' needs evidence (survey item, interview), otherwise remove.</w:t>
      </w:r>
    </w:p>
    <w:p w14:paraId="759FBCDD" w14:textId="77777777" w:rsidR="00FC6ACA" w:rsidRDefault="00A17CF4">
      <w:pPr>
        <w:spacing w:after="160" w:line="276" w:lineRule="auto"/>
        <w:jc w:val="both"/>
      </w:pPr>
      <w:r>
        <w:t>The two approaches are complementary: the FDSS is best deployed in early design to screen candidate formwork systems, while Monte Carlo optimisation is more appropriate later in design when quantitative parameter distributions are available. A combined two-stage workflow—fuzzy screening followed by stochastic optimisation—offers a pragmatic decision pipeline that mirrors the maturity of project data over time.</w:t>
      </w:r>
    </w:p>
    <w:p>
      <w:pPr>
        <w:pBdr>
          <w:left w:val="single" w:sz="12" w:space="6" w:color="FF0000"/>
        </w:pBdr>
        <w:spacing w:before="40" w:after="80"/>
        <w:ind w:left="284"/>
        <w:jc w:val="left"/>
      </w:pPr>
      <w:r>
        <w:rPr>
          <w:b/>
          <w:color w:val="FF0000"/>
          <w:sz w:val="20"/>
        </w:rPr>
        <w:t xml:space="preserve">▶ [SHOULD FIX] Untested proposal: </w:t>
      </w:r>
      <w:r>
        <w:rPr>
          <w:color w:val="FF0000"/>
          <w:sz w:val="20"/>
        </w:rPr>
        <w:t xml:space="preserve">The two-stage 'fuzzy screening → stochastic optimisation' workflow is plausible but not demonstrated. Show it in a framework figure and, ideally, a worked example (e.g., FDSS shortlist feeding the Monte Carlo model of [16]); otherwise label as future work.</w:t>
      </w:r>
    </w:p>
    <w:p w14:paraId="0C1D5789" w14:textId="77777777" w:rsidR="00FC6ACA" w:rsidRDefault="00A17CF4">
      <w:pPr>
        <w:pStyle w:val="Heading2"/>
      </w:pPr>
      <w:r>
        <w:t>4.1 Comparison with Other Decision-Support Tools</w:t>
      </w:r>
    </w:p>
    <w:p w14:paraId="5CB3E6E1" w14:textId="77777777" w:rsidR="00FC6ACA" w:rsidRDefault="00A17CF4">
      <w:pPr>
        <w:spacing w:after="160" w:line="276" w:lineRule="auto"/>
        <w:jc w:val="both"/>
      </w:pPr>
      <w:r>
        <w:t>Compared to AHP-based selection [4], the FDSS avoids the consistency-ratio limitations of pairwise comparison matrices and accommodates non-monotonic preferences through the trapezoidal output sets. Compared to TOPSIS [5], it tolerates missing or imprecise inputs without requiring imputation. Compared to neural or genetic-algorithm approaches [11], it produces transparent, auditable rule-by-rule reasoning, which is critical for regulatory acceptance in the Indian context.</w:t>
      </w:r>
      <w:r>
        <w:rPr>
          <w:highlight w:val="yellow"/>
        </w:rPr>
        <w:t xml:space="preserve"> This transparency is particularly relevant given that the environmental case for careful formwork selection rests on standardised life-cycle assessment principles [12], that the fuzzy-inference approach itself builds on the broader mathematical foundations of fuzzy set theory [13], that documented industry-academia evidence confirms the scale of embodied-carbon impacts in construction [14], and that expert systems have an established track record supporting construction management decisions [15].</w:t>
      </w:r>
    </w:p>
    <w:p>
      <w:pPr>
        <w:pBdr>
          <w:left w:val="single" w:sz="12" w:space="6" w:color="FF0000"/>
        </w:pBdr>
        <w:spacing w:before="40" w:after="80"/>
        <w:ind w:left="284"/>
        <w:jc w:val="left"/>
      </w:pPr>
      <w:r>
        <w:rPr>
          <w:b/>
          <w:color w:val="FF0000"/>
          <w:sz w:val="20"/>
        </w:rPr>
        <w:t xml:space="preserve">▶ [MUST FIX] Factual inconsistency: </w:t>
      </w:r>
      <w:r>
        <w:rPr>
          <w:color w:val="FF0000"/>
          <w:sz w:val="20"/>
        </w:rPr>
        <w:t xml:space="preserve">'accommodates non-monotonic preferences through the trapezoidal output sets' — the output sets are triangular and the rule base is monotone (see §2.3). Correct or demonstrate.</w:t>
      </w:r>
    </w:p>
    <w:p>
      <w:pPr>
        <w:pBdr>
          <w:left w:val="single" w:sz="12" w:space="6" w:color="FF0000"/>
        </w:pBdr>
        <w:spacing w:before="40" w:after="80"/>
        <w:ind w:left="284"/>
        <w:jc w:val="left"/>
      </w:pPr>
      <w:r>
        <w:rPr>
          <w:b/>
          <w:color w:val="FF0000"/>
          <w:sz w:val="20"/>
        </w:rPr>
        <w:t xml:space="preserve">▶ [MUST FIX] Claims without evidence: </w:t>
      </w:r>
      <w:r>
        <w:rPr>
          <w:color w:val="FF0000"/>
          <w:sz w:val="20"/>
        </w:rPr>
        <w:t xml:space="preserve">'avoids the consistency-ratio limitations' (it introduces others: rule-base completeness, elicitation burden, MF choice); 'tolerates missing or imprecise inputs without imputation' (untested; see §3.4); 'critical for regulatory acceptance in the Indian context' (no evidence cited). 'Neural or genetic-algorithm approaches [11]' — [11] is Kennedy &amp; Eberhart's particle swarm paper, which is neither; cite appropriate ANN/GA/ANFIS formwork or construction studies.</w:t>
      </w:r>
    </w:p>
    <w:p>
      <w:pPr>
        <w:pBdr>
          <w:left w:val="single" w:sz="12" w:space="6" w:color="FF0000"/>
        </w:pBdr>
        <w:spacing w:before="40" w:after="80"/>
        <w:ind w:left="284"/>
        <w:jc w:val="left"/>
      </w:pPr>
      <w:r>
        <w:rPr>
          <w:b/>
          <w:color w:val="FF0000"/>
          <w:sz w:val="20"/>
        </w:rPr>
        <w:t xml:space="preserve">▶ [SHOULD FIX] Citation stacking: </w:t>
      </w:r>
      <w:r>
        <w:rPr>
          <w:color w:val="FF0000"/>
          <w:sz w:val="20"/>
        </w:rPr>
        <w:t xml:space="preserve">The last sentence chains refs [12]–[15] with 'that … that … that …' without a logical link to transparency of the FDSS. Give each reference a specific purpose or remove it. Replace this paragraph by a comparison table (FDSS vs AHP vs TOPSIS vs fuzzy AHP/TOPSIS vs ANN/ANFIS vs Monte Carlo) on input type, transparency, data needs, handling of uncertainty, computational cost and validation evidence.</w:t>
      </w:r>
    </w:p>
    <w:p w14:paraId="7CAD23D8" w14:textId="77777777" w:rsidR="00FC6ACA" w:rsidRDefault="00A17CF4">
      <w:pPr>
        <w:pStyle w:val="Heading2"/>
      </w:pPr>
      <w:r>
        <w:t>4.2 Limitations</w:t>
      </w:r>
    </w:p>
    <w:p w14:paraId="19451B12" w14:textId="77777777" w:rsidR="00FC6ACA" w:rsidRDefault="00A17CF4">
      <w:pPr>
        <w:spacing w:after="100"/>
        <w:ind w:left="360"/>
      </w:pPr>
      <w:r>
        <w:t>1. The rule base is anchored on five top-ranked inputs and therefore does not capture the full twenty-factor space identified by the underlying survey. Extending the rule base to eight or ten inputs is feasible but increases elicitation effort.</w:t>
      </w:r>
    </w:p>
    <w:p>
      <w:pPr>
        <w:pBdr>
          <w:left w:val="single" w:sz="12" w:space="6" w:color="FF0000"/>
        </w:pBdr>
        <w:spacing w:before="40" w:after="80"/>
        <w:ind w:left="284"/>
        <w:jc w:val="left"/>
      </w:pPr>
      <w:r>
        <w:rPr>
          <w:b/>
          <w:color w:val="FF0000"/>
          <w:sz w:val="20"/>
        </w:rPr>
        <w:t xml:space="preserve">▶ [MUST FIX] Limitations are incomplete: </w:t>
      </w:r>
      <w:r>
        <w:rPr>
          <w:color w:val="FF0000"/>
          <w:sz w:val="20"/>
        </w:rPr>
        <w:t xml:space="preserve">Add the more important limitations that are currently only hidden in §3.4 or not mentioned: (a) case inputs are illustrative and no empirical validation has been done; (b) expert panel size (12), single-country, same panel for calibration and elicitation; (c) sparse, monotone rule base and subjective composite ratings; (d) vetoes/weights implemented heuristically; (e) no carbon, equipment, site-constraint or schedule variables; (f) crisp inputs, no uncertainty propagation; (g) software/version dependency.</w:t>
      </w:r>
    </w:p>
    <w:p w14:paraId="0B2C2FEC" w14:textId="77777777" w:rsidR="00FC6ACA" w:rsidRDefault="00A17CF4">
      <w:pPr>
        <w:spacing w:after="100"/>
        <w:ind w:left="360"/>
      </w:pPr>
      <w:r>
        <w:t>2. Triangular membership functions are an approximation; trapezoidal or Gaussian shapes may better capture extreme-value behaviour at the boundaries of the input ranges.</w:t>
      </w:r>
    </w:p>
    <w:p w14:paraId="393734EB" w14:textId="77777777" w:rsidR="00FC6ACA" w:rsidRDefault="00A17CF4">
      <w:pPr>
        <w:spacing w:after="200"/>
        <w:ind w:left="360"/>
      </w:pPr>
      <w:r>
        <w:t>3. The system is calibrated against Indian high-rise practice. Re-elicitation of rule weights would be required for deployment in regulatory environments with different safety, labour, and supply-chain norms.</w:t>
      </w:r>
    </w:p>
    <w:p>
      <w:pPr>
        <w:pBdr>
          <w:left w:val="single" w:sz="12" w:space="6" w:color="FF0000"/>
        </w:pBdr>
        <w:spacing w:before="40" w:after="80"/>
        <w:ind w:left="284"/>
        <w:jc w:val="left"/>
      </w:pPr>
      <w:r>
        <w:rPr>
          <w:b/>
          <w:color w:val="FF0000"/>
          <w:sz w:val="20"/>
        </w:rPr>
        <w:t xml:space="preserve">▶ [SHOULD FIX] Add 'Future research': </w:t>
      </w:r>
      <w:r>
        <w:rPr>
          <w:color w:val="FF0000"/>
          <w:sz w:val="20"/>
        </w:rPr>
        <w:t xml:space="preserve">Convert point 2 (trapezoidal/Gaussian MFs) into future work and add: type-2/interval fuzzy sets for input uncertainty; learning MFs/rules from data (ANFIS); fuzzy-AHP-derived weights; multi-country validation; coupling with LCA and the Monte Carlo model; BIM plug-in and user testing.</w:t>
      </w:r>
    </w:p>
    <w:p w14:paraId="15F60074" w14:textId="77777777" w:rsidR="00FC6ACA" w:rsidRDefault="00A17CF4">
      <w:pPr>
        <w:pStyle w:val="Heading1"/>
      </w:pPr>
      <w:r>
        <w:t>5. Conclusions</w:t>
      </w:r>
    </w:p>
    <w:p w14:paraId="197C16E5" w14:textId="38541B1A" w:rsidR="00FC6ACA" w:rsidRDefault="00331B31">
      <w:pPr>
        <w:spacing w:after="160" w:line="276" w:lineRule="auto"/>
        <w:jc w:val="both"/>
      </w:pPr>
      <w:r>
        <w:t xml:space="preserve">A Mamdani fuzzy inference decision-support system (FDSS) has been developed for formwork and equipment selection in high-rise construction. The FDSS draws five input variables from the top of an empirically validated industry ranking, combines them through eight expert-weighted IF–THEN rules, and produces a single </w:t>
      </w:r>
      <w:proofErr w:type="spellStart"/>
      <w:r>
        <w:t>defuzzified</w:t>
      </w:r>
      <w:proofErr w:type="spellEnd"/>
      <w:r>
        <w:t xml:space="preserve"> suitability score for each formwork option. Across three representative project cases — 10-, 45-, and 90-story — the FDSS correctly identifies the formwork systems most suitable for each scale, transitioning from lightweight fabric and timber options at low rise to durable aluminum and steel systems at high rise. Face validation against patterns reported in the wider literature is positive, and a qualitative, illustrative comparison with AHP and TOPSIS suggests the FDSS may handle linguistic inputs and missing data more gracefully than either alternative, though this observation has not yet been tested through a quantitative benchmark. Sensitivity analysis confirms that rule weights are robust to ±20% perturbation. The transparent, interpretable architecture makes the FDSS particularly suitable for early-stage design integration with BIM platforms and for pairing with stochastic optimization tools later in the design process. A formal empirical validation against an independent expert panel and against realized project outcomes is the most important direction for follow-up work. This research established the foundation for a Monte Carlo optimization model [16]. It also enhances the current fuzzy-inference screening framework by evolving it into a stochastic, quantitative optimization process aimed at reducing carbon emissions in later design stages outlined in my Thesis.</w:t>
      </w:r>
    </w:p>
    <w:p>
      <w:pPr>
        <w:pBdr>
          <w:left w:val="single" w:sz="12" w:space="6" w:color="FF0000"/>
        </w:pBdr>
        <w:spacing w:before="40" w:after="80"/>
        <w:ind w:left="284"/>
        <w:jc w:val="left"/>
      </w:pPr>
      <w:r>
        <w:rPr>
          <w:b/>
          <w:color w:val="FF0000"/>
          <w:sz w:val="20"/>
        </w:rPr>
        <w:t xml:space="preserve">▶ [MUST FIX] Conclusions must match the evidence: </w:t>
      </w:r>
      <w:r>
        <w:rPr>
          <w:color w:val="FF0000"/>
          <w:sz w:val="20"/>
        </w:rPr>
        <w:t xml:space="preserve">'correctly identifies the formwork systems most suitable' — no ground truth exists; 'Sensitivity analysis confirms' — overclaim; 'empirically validated industry ranking' — see §2.1; 'robust', 'particularly suitable for BIM' — not demonstrated. Rewrite in measured language and answer the research questions directly.</w:t>
      </w:r>
    </w:p>
    <w:p>
      <w:pPr>
        <w:pBdr>
          <w:left w:val="single" w:sz="12" w:space="6" w:color="FF0000"/>
        </w:pBdr>
        <w:spacing w:before="40" w:after="80"/>
        <w:ind w:left="284"/>
        <w:jc w:val="left"/>
      </w:pPr>
      <w:r>
        <w:rPr>
          <w:b/>
          <w:color w:val="FF0000"/>
          <w:sz w:val="20"/>
        </w:rPr>
        <w:t xml:space="preserve">▶ [SHOULD FIX] Content and style: </w:t>
      </w:r>
      <w:r>
        <w:rPr>
          <w:color w:val="FF0000"/>
          <w:sz w:val="20"/>
        </w:rPr>
        <w:t xml:space="preserve">Remove 'my Thesis' (first person singular in a three-author paper) and the new-sounding statement about carbon-reduction optimisation 'outlined in my Thesis'; do not introduce new material, citations or claims in the Conclusions ([16] belongs earlier). Clarify the chronology: this paper 'established the foundation' for [16], which is already published. Include a concise statement of contributions, practical implications, key limitations and 3–4 future directions.</w:t>
      </w:r>
    </w:p>
    <w:p>
      <w:pPr>
        <w:pBdr>
          <w:left w:val="single" w:sz="12" w:space="6" w:color="FF0000"/>
        </w:pBdr>
        <w:spacing w:before="40" w:after="80"/>
        <w:ind w:left="284"/>
        <w:jc w:val="left"/>
      </w:pPr>
      <w:r>
        <w:rPr>
          <w:b/>
          <w:color w:val="FF0000"/>
          <w:sz w:val="20"/>
        </w:rPr>
        <w:t xml:space="preserve">▶ [POLISH] Consistency: </w:t>
      </w:r>
      <w:r>
        <w:rPr>
          <w:color w:val="FF0000"/>
          <w:sz w:val="20"/>
        </w:rPr>
        <w:t xml:space="preserve">Mixed 'story/storey', 'aluminum/aluminium', 'optimization/optimisation', 'realized/realised' — pick one convention (follow the journal).</w:t>
      </w:r>
    </w:p>
    <w:p w14:paraId="4886FDDF" w14:textId="77777777" w:rsidR="00FC6ACA" w:rsidRDefault="00A17CF4">
      <w:pPr>
        <w:pStyle w:val="Heading1"/>
      </w:pPr>
      <w:r>
        <w:t>6. Declarations</w:t>
      </w:r>
    </w:p>
    <w:p w14:paraId="7DC63411" w14:textId="77777777" w:rsidR="00FC6ACA" w:rsidRDefault="00A17CF4">
      <w:pPr>
        <w:pStyle w:val="Heading2"/>
      </w:pPr>
      <w:r>
        <w:t>6.1 Declaration of Competing Interest</w:t>
      </w:r>
    </w:p>
    <w:p w14:paraId="37C86B22" w14:textId="77777777" w:rsidR="00FC6ACA" w:rsidRDefault="00A17CF4">
      <w:pPr>
        <w:spacing w:after="160" w:line="276" w:lineRule="auto"/>
        <w:jc w:val="both"/>
      </w:pPr>
      <w:r>
        <w:t>The authors declare that they have no known competing financial interests or personal relationships that could have appeared to influence the work reported in this paper.</w:t>
      </w:r>
    </w:p>
    <w:p>
      <w:pPr>
        <w:pBdr>
          <w:left w:val="single" w:sz="12" w:space="6" w:color="FF0000"/>
        </w:pBdr>
        <w:spacing w:before="40" w:after="80"/>
        <w:ind w:left="284"/>
        <w:jc w:val="left"/>
      </w:pPr>
      <w:r>
        <w:rPr>
          <w:b/>
          <w:color w:val="FF0000"/>
          <w:sz w:val="20"/>
        </w:rPr>
        <w:t xml:space="preserve">▶ [SHOULD FIX] T&amp;F format: </w:t>
      </w:r>
      <w:r>
        <w:rPr>
          <w:color w:val="FF0000"/>
          <w:sz w:val="20"/>
        </w:rPr>
        <w:t xml:space="preserve">T&amp;F journals use a 'Disclosure statement' (e.g., 'No potential conflict of interest was reported by the author(s).'), and generally unnumbered declaration headings. Remove the '6.x' numbering and the 'Declaration of Competing Interest' (Elsevier wording). Add a statement on prior publication/thesis overlap and on the companion paper under review.</w:t>
      </w:r>
    </w:p>
    <w:p w14:paraId="1EC2D40A" w14:textId="77777777" w:rsidR="00FC6ACA" w:rsidRDefault="00A17CF4">
      <w:pPr>
        <w:pStyle w:val="Heading2"/>
      </w:pPr>
      <w:r>
        <w:t>6.2 Funding</w:t>
      </w:r>
    </w:p>
    <w:p w14:paraId="334D518F" w14:textId="43314904" w:rsidR="00FC6ACA" w:rsidRDefault="00A17CF4">
      <w:pPr>
        <w:spacing w:after="160" w:line="276" w:lineRule="auto"/>
        <w:jc w:val="both"/>
      </w:pPr>
      <w:r>
        <w:t>This research did not receive any specific grant from funding agencies in the public, commercial</w:t>
      </w:r>
      <w:r w:rsidR="00331B31">
        <w:t>,</w:t>
      </w:r>
      <w:r>
        <w:t xml:space="preserve"> or not-for-profit sectors.</w:t>
      </w:r>
    </w:p>
    <w:p>
      <w:pPr>
        <w:pBdr>
          <w:left w:val="single" w:sz="12" w:space="6" w:color="FF0000"/>
        </w:pBdr>
        <w:spacing w:before="40" w:after="80"/>
        <w:ind w:left="284"/>
        <w:jc w:val="left"/>
      </w:pPr>
      <w:r>
        <w:rPr>
          <w:b/>
          <w:color w:val="FF0000"/>
          <w:sz w:val="20"/>
        </w:rPr>
        <w:t xml:space="preserve">▶ [SHOULD FIX] Funding: </w:t>
      </w:r>
      <w:r>
        <w:rPr>
          <w:color w:val="FF0000"/>
          <w:sz w:val="20"/>
        </w:rPr>
        <w:t xml:space="preserve">If the first author held a doctoral fellowship or institutional scholarship (e.g., MoE/UGC/CSIR), it should be declared with grant numbers; T&amp;F expects accurate funding information (and Open Funder Registry names).</w:t>
      </w:r>
    </w:p>
    <w:p w14:paraId="383EB131" w14:textId="77777777" w:rsidR="00FC6ACA" w:rsidRDefault="00A17CF4">
      <w:pPr>
        <w:pStyle w:val="Heading2"/>
      </w:pPr>
      <w:r>
        <w:t>6.3 Data and Code Availability</w:t>
      </w:r>
    </w:p>
    <w:p w14:paraId="58208143" w14:textId="77777777" w:rsidR="00FC6ACA" w:rsidRDefault="00A17CF4">
      <w:pPr>
        <w:spacing w:after="160" w:line="276" w:lineRule="auto"/>
        <w:jc w:val="both"/>
      </w:pPr>
      <w:r>
        <w:t>The Python implementation of the FDSS — scikit-fuzzy code, membership functions, rule base, sensitivity-analysis scripts, and the illustrative case-study input vectors — is provided as supplementary material with this submission and is also publicly available in a GitHub repository at https://github.com/poojam1984/Fuzzy_Inference_DSS_Manuscript under the MIT license. Upon acceptance, the repository will be archived through Zenodo to obtain a citable DOI, which will be added to the published version of the article.</w:t>
      </w:r>
    </w:p>
    <w:p>
      <w:pPr>
        <w:pBdr>
          <w:left w:val="single" w:sz="12" w:space="6" w:color="FF0000"/>
        </w:pBdr>
        <w:spacing w:before="40" w:after="80"/>
        <w:ind w:left="284"/>
        <w:jc w:val="left"/>
      </w:pPr>
      <w:r>
        <w:rPr>
          <w:b/>
          <w:color w:val="FF0000"/>
          <w:sz w:val="20"/>
        </w:rPr>
        <w:t xml:space="preserve">▶ [MUST FIX] Data availability statement and repository: </w:t>
      </w:r>
      <w:r>
        <w:rPr>
          <w:color w:val="FF0000"/>
          <w:sz w:val="20"/>
        </w:rPr>
        <w:t xml:space="preserve">Use T&amp;F's 'Data availability statement' wording and state what is shared and where (code; case inputs; expert-elicitation data; de-identified survey data) or why not. Create the Zenodo DOI before submission so reviewers can check the exact version. The GitHub URL reveals the author's account, which breaks double-anonymised review — use an anonymised link at submission. The repository currently has inconsistencies reviewers will notice: the README says 'NO LICENSE — All rights reserved' whereas this text says MIT; README says the paper was submitted to Automation in Construction; the README layout (src/, data/, tests/) differs from the flat upload and the imports (from src....) fail as uploaded; sensitivity.py is hard-coded (see §3.3); README 'expected output' differs from Figure 6; DOI placeholders and an empty ORCID remain. Add pinned requirements, a one-command reproduction script that regenerates every table and figure, and automated tests.</w:t>
      </w:r>
    </w:p>
    <w:p w14:paraId="720BC6B9" w14:textId="77777777" w:rsidR="00FC6ACA" w:rsidRDefault="00A17CF4">
      <w:pPr>
        <w:pStyle w:val="Heading2"/>
      </w:pPr>
      <w:r>
        <w:t>6.4 Ethical Approval</w:t>
      </w:r>
    </w:p>
    <w:p w14:paraId="48D389D0" w14:textId="77777777" w:rsidR="00FC6ACA" w:rsidRDefault="00A17CF4">
      <w:pPr>
        <w:spacing w:after="160" w:line="276" w:lineRule="auto"/>
        <w:jc w:val="both"/>
      </w:pPr>
      <w:r>
        <w:t>All expert participants in the elicitation rounds were informed of the research purpose, provided written consent, and were anonymised. The study involved no patient data, minors, or clinical interventions. The research was conducted under the institutional research protocols of the Department of Architecture and Planning, National Institute of Technology Patna.</w:t>
      </w:r>
    </w:p>
    <w:p>
      <w:pPr>
        <w:pBdr>
          <w:left w:val="single" w:sz="12" w:space="6" w:color="FF0000"/>
        </w:pBdr>
        <w:spacing w:before="40" w:after="80"/>
        <w:ind w:left="284"/>
        <w:jc w:val="left"/>
      </w:pPr>
      <w:r>
        <w:rPr>
          <w:b/>
          <w:color w:val="FF0000"/>
          <w:sz w:val="20"/>
        </w:rPr>
        <w:t xml:space="preserve">▶ [MUST FIX] Ethics: </w:t>
      </w:r>
      <w:r>
        <w:rPr>
          <w:color w:val="FF0000"/>
          <w:sz w:val="20"/>
        </w:rPr>
        <w:t xml:space="preserve">State the ethics committee (or exemption) that approved the study, with approval/reference number and date, and cover the 421 survey respondents as well as the 12 experts (informed consent, anonymity, data protection). 'Institutional research protocols' is not sufficient for most T&amp;F journals.</w:t>
      </w:r>
    </w:p>
    <w:p w14:paraId="765ACBE6" w14:textId="77777777" w:rsidR="00FC6ACA" w:rsidRDefault="00A17CF4">
      <w:pPr>
        <w:pStyle w:val="Heading2"/>
      </w:pPr>
      <w:r>
        <w:t>6.5 Declaration of Generative AI and AI-Assisted Technologies in the Writing Process</w:t>
      </w:r>
    </w:p>
    <w:p w14:paraId="144D2082" w14:textId="77777777" w:rsidR="00FC6ACA" w:rsidRDefault="00A17CF4">
      <w:pPr>
        <w:spacing w:after="160" w:line="276" w:lineRule="auto"/>
        <w:jc w:val="both"/>
      </w:pPr>
      <w:r>
        <w:t>No generative AI or AI-assisted technologies were used to generate, draft, or produce any content, results, analyses, or conclusions in this manuscript. Standard, non-generative spelling and grammar checking software was used during proofreading, consistent with conventional word-processing practice. All technical content, results, analyses, and conclusions are entirely the authors' own work, and the authors accept full responsibility for the integrity of the published article.</w:t>
      </w:r>
    </w:p>
    <w:p>
      <w:pPr>
        <w:pBdr>
          <w:left w:val="single" w:sz="12" w:space="6" w:color="FF0000"/>
        </w:pBdr>
        <w:spacing w:before="40" w:after="80"/>
        <w:ind w:left="284"/>
        <w:jc w:val="left"/>
      </w:pPr>
      <w:r>
        <w:rPr>
          <w:b/>
          <w:color w:val="FF0000"/>
          <w:sz w:val="20"/>
        </w:rPr>
        <w:t xml:space="preserve">▶ [SHOULD FIX] AI declaration: </w:t>
      </w:r>
      <w:r>
        <w:rPr>
          <w:color w:val="FF0000"/>
          <w:sz w:val="20"/>
        </w:rPr>
        <w:t xml:space="preserve">Follow T&amp;F's policy: AI tools cannot be listed as authors and any use of generative AI must be disclosed (tool, purpose), with authors retaining responsibility. Name the 'spelling and grammar checking software' used (some grammar tools now include generative features) and shorten the statement, e.g. 'The authors used [tool] only for language editing; they reviewed all output and take full responsibility for the content.' Keep this section only if consistent with how the manuscript was actually prepared.</w:t>
      </w:r>
    </w:p>
    <w:p w14:paraId="6DE4C8B5" w14:textId="77777777" w:rsidR="00FC6ACA" w:rsidRDefault="00A17CF4">
      <w:pPr>
        <w:pStyle w:val="Heading2"/>
      </w:pPr>
      <w:r>
        <w:t>6.6 CRediT Authorship Contribution Statement</w:t>
      </w:r>
    </w:p>
    <w:p w14:paraId="7CF4AB68" w14:textId="77777777" w:rsidR="00FC6ACA" w:rsidRDefault="00A17CF4">
      <w:pPr>
        <w:spacing w:after="160" w:line="276" w:lineRule="auto"/>
        <w:jc w:val="both"/>
      </w:pPr>
      <w:r>
        <w:t>Pooja Mishra: Conceptualization, Methodology, Software, Investigation, Formal analysis, Data curation, Writing — original draft, Visualization. Fulena Rajak: Conceptualization, Supervision, Methodology, Writing — review &amp; editing. Ravish Kumar: Supervision, Validation, Writing — review &amp; editing.</w:t>
      </w:r>
    </w:p>
    <w:p>
      <w:pPr>
        <w:pBdr>
          <w:left w:val="single" w:sz="12" w:space="6" w:color="FF0000"/>
        </w:pBdr>
        <w:spacing w:before="40" w:after="80"/>
        <w:ind w:left="284"/>
        <w:jc w:val="left"/>
      </w:pPr>
      <w:r>
        <w:rPr>
          <w:b/>
          <w:color w:val="FF0000"/>
          <w:sz w:val="20"/>
        </w:rPr>
        <w:t xml:space="preserve">▶ [POLISH] CRediT: </w:t>
      </w:r>
      <w:r>
        <w:rPr>
          <w:color w:val="FF0000"/>
          <w:sz w:val="20"/>
        </w:rPr>
        <w:t xml:space="preserve">Use the standard CRediT role names (e.g., 'Writing – original draft'), and consider whether 'Validation' is justified for any author given that no independent validation is reported. Add Funding acquisition/Resources if applicable.</w:t>
      </w:r>
    </w:p>
    <w:p w14:paraId="5160A519" w14:textId="77777777" w:rsidR="00FC6ACA" w:rsidRDefault="00A17CF4">
      <w:pPr>
        <w:pStyle w:val="Heading2"/>
      </w:pPr>
      <w:r>
        <w:t>6.7 Acknowledgements</w:t>
      </w:r>
    </w:p>
    <w:p w14:paraId="03AA94B7" w14:textId="77777777" w:rsidR="00FC6ACA" w:rsidRDefault="00A17CF4">
      <w:pPr>
        <w:spacing w:after="160" w:line="276" w:lineRule="auto"/>
        <w:jc w:val="both"/>
      </w:pPr>
      <w:r>
        <w:t>The authors thank the construction professionals who contributed to the elicitation of membership functions and rule weights, and the Department of Architecture and Planning at the National Institute of Technology Patna for institutional support.</w:t>
      </w:r>
    </w:p>
    <w:p w14:paraId="4217E1C9" w14:textId="77777777" w:rsidR="00FC6ACA" w:rsidRDefault="00A17CF4">
      <w:pPr>
        <w:pStyle w:val="Heading1"/>
      </w:pPr>
      <w:r>
        <w:t>References</w:t>
      </w:r>
    </w:p>
    <w:p w14:paraId="293DA36E" w14:textId="77777777" w:rsidR="00FC6ACA" w:rsidRDefault="00A17CF4">
      <w:pPr>
        <w:spacing w:after="140" w:line="264" w:lineRule="auto"/>
      </w:pPr>
      <w:r>
        <w:rPr>
          <w:b/>
          <w:bCs/>
        </w:rPr>
        <w:t xml:space="preserve">[1] </w:t>
      </w:r>
      <w:r>
        <w:t>R. L. Peurifoy and G. D. Oberlender, "Formwork for concrete structures," 4th ed., McGraw-Hill, 2011.</w:t>
      </w:r>
    </w:p>
    <w:p>
      <w:pPr>
        <w:pBdr>
          <w:left w:val="single" w:sz="12" w:space="6" w:color="FF0000"/>
        </w:pBdr>
        <w:spacing w:before="40" w:after="80"/>
        <w:ind w:left="284"/>
        <w:jc w:val="left"/>
      </w:pPr>
      <w:r>
        <w:rPr>
          <w:b/>
          <w:color w:val="FF0000"/>
          <w:sz w:val="20"/>
        </w:rPr>
        <w:t xml:space="preserve">▶ [MUST FIX] Reference list overall: </w:t>
      </w:r>
      <w:r>
        <w:rPr>
          <w:color w:val="FF0000"/>
          <w:sz w:val="20"/>
        </w:rPr>
        <w:t xml:space="preserve">(1) Only 16 references; 5–6 are books or standards and very few are post-2018. A journal article of this scope typically needs 40–60 well-targeted references. (2) Convert to the journal's style — most T&amp;F journals use APA 7th author–date (or Chicago author–date); numbered IEEE-style entries will be rejected at technical check. Use the T&amp;F CSL style in Zotero/Mendeley/EndNote. (3) Add DOIs/URLs for every item; add publisher location for books ([1], [2], [4], [9], [13]). (4) Ref [10] (thesis) is the primary source for the survey and the six systems — grey literature and not peer-reviewed; support with the published/under-review companion paper and supplementary files. (5) [11] is cited for a claim it does not support (see §4.1). (6) [5] is cited for three different purposes (MCDM application, TOPSIS comparison, face-validation benchmark) — check that it supports each. (7) Items cited in your own repository but missing here: Hanna &amp; Senouci (1995), Jarkas (2012). (8) Suggested additions: Hwang &amp; Yoon (1981) for TOPSIS; Zadeh (1975) on linguistic variables; Saltelli et al. (2008) or Sobol' for global sensitivity analysis; Sargent (2013) for simulation-model validation; CTBUH definitions; recent (2018–2025) formwork-selection, fuzzy construction decision-support and BIM-formwork studies. Verify every DOI, author list and page number against the publisher record before submission.</w:t>
      </w:r>
    </w:p>
    <w:p w14:paraId="3CB36A69" w14:textId="77777777" w:rsidR="00FC6ACA" w:rsidRDefault="00A17CF4">
      <w:pPr>
        <w:spacing w:after="140" w:line="264" w:lineRule="auto"/>
      </w:pPr>
      <w:r>
        <w:rPr>
          <w:b/>
          <w:bCs/>
        </w:rPr>
        <w:t xml:space="preserve">[2] </w:t>
      </w:r>
      <w:r>
        <w:t>A. S. Hanna, "Concrete formwork systems," Marcel Dekker, 1999.</w:t>
      </w:r>
    </w:p>
    <w:p w14:paraId="4A060181" w14:textId="77777777" w:rsidR="00FC6ACA" w:rsidRDefault="00A17CF4">
      <w:pPr>
        <w:spacing w:after="140" w:line="264" w:lineRule="auto"/>
      </w:pPr>
      <w:r>
        <w:rPr>
          <w:b/>
          <w:bCs/>
        </w:rPr>
        <w:t xml:space="preserve">[3] </w:t>
      </w:r>
      <w:r>
        <w:t>T. Terzioglu, G. Polat, and H. Turkoglu, "Formwork system selection criteria for building construction projects: A structural equation modelling approach," Buildings, vol. 12, no. 2, p. 204, 2022. [Online]. Available: https://doi.org/10.3390/buildings12020204</w:t>
      </w:r>
    </w:p>
    <w:p w14:paraId="63749704" w14:textId="77777777" w:rsidR="00FC6ACA" w:rsidRDefault="00A17CF4">
      <w:pPr>
        <w:spacing w:after="140" w:line="264" w:lineRule="auto"/>
      </w:pPr>
      <w:r>
        <w:rPr>
          <w:b/>
          <w:bCs/>
        </w:rPr>
        <w:t xml:space="preserve">[4] </w:t>
      </w:r>
      <w:r>
        <w:t>T. L. Saaty, "The analytic hierarchy process," McGraw-Hill, 1980.</w:t>
      </w:r>
    </w:p>
    <w:p w14:paraId="0AD2568A" w14:textId="77777777" w:rsidR="00FC6ACA" w:rsidRDefault="00A17CF4">
      <w:pPr>
        <w:spacing w:after="140" w:line="264" w:lineRule="auto"/>
      </w:pPr>
      <w:r>
        <w:rPr>
          <w:b/>
          <w:bCs/>
        </w:rPr>
        <w:t xml:space="preserve">[5] </w:t>
      </w:r>
      <w:r>
        <w:t>V. H. Pham, T. H. Dau, and L. H. Tran, "Application of multi-criteria analysis in the selection of formwork material for high-rise building construction projects," Cogent Engineering, vol. 11, no. 1, p. 2367121, 2024. [Online]. Available: https://doi.org/10.1080/23311916.2024.2367121</w:t>
      </w:r>
    </w:p>
    <w:p w14:paraId="424E96B1" w14:textId="77777777" w:rsidR="00FC6ACA" w:rsidRDefault="00A17CF4">
      <w:pPr>
        <w:spacing w:after="140" w:line="264" w:lineRule="auto"/>
      </w:pPr>
      <w:r>
        <w:rPr>
          <w:b/>
          <w:bCs/>
        </w:rPr>
        <w:t xml:space="preserve">[6] </w:t>
      </w:r>
      <w:r>
        <w:t>L. A. Zadeh, "Fuzzy sets," Information and Control, vol. 8, no. 3, pp. 338–353, 1965. [Online]. Available: https://doi.org/10.1016/S0019-9958(65)90241-X</w:t>
      </w:r>
    </w:p>
    <w:p w14:paraId="5BF7E4BB" w14:textId="77777777" w:rsidR="00FC6ACA" w:rsidRDefault="00A17CF4">
      <w:pPr>
        <w:spacing w:after="140" w:line="264" w:lineRule="auto"/>
      </w:pPr>
      <w:r>
        <w:rPr>
          <w:b/>
          <w:bCs/>
        </w:rPr>
        <w:t xml:space="preserve">[7] </w:t>
      </w:r>
      <w:r>
        <w:t>E. H. Mamdani and S. Assilian, "An experiment in linguistic synthesis with a fuzzy logic controller," International Journal of Man-Machine Studies, vol. 7, no. 1, pp. 1–13, 1975. [Online]. Available: https://doi.org/10.1016/S0020-7373(75)80002-2</w:t>
      </w:r>
    </w:p>
    <w:p w14:paraId="500ED15E" w14:textId="77777777" w:rsidR="00FC6ACA" w:rsidRDefault="00A17CF4">
      <w:pPr>
        <w:spacing w:after="140" w:line="264" w:lineRule="auto"/>
      </w:pPr>
      <w:r>
        <w:rPr>
          <w:b/>
          <w:bCs/>
        </w:rPr>
        <w:t xml:space="preserve">[8] </w:t>
      </w:r>
      <w:r>
        <w:t>C. M. Tam, T. K. L. Tong, and G. W. C. Chiu, "Comparing non-structural fuzzy decision support system and analytical hierarchy process in decision-making for construction problems," European Journal of Operational Research, vol. 174, no. 2, pp. 1317–1324, 2006. [Online]. Available: https://doi.org/10.1016/j.ejor.2005.03.013</w:t>
      </w:r>
    </w:p>
    <w:p w14:paraId="6382F184" w14:textId="77777777" w:rsidR="00FC6ACA" w:rsidRDefault="00A17CF4">
      <w:pPr>
        <w:spacing w:after="140" w:line="264" w:lineRule="auto"/>
      </w:pPr>
      <w:r>
        <w:rPr>
          <w:b/>
          <w:bCs/>
        </w:rPr>
        <w:t xml:space="preserve">[9] </w:t>
      </w:r>
      <w:r>
        <w:t>T. J. Ross, "Fuzzy logic with engineering applications," 4th ed., John Wiley &amp; Sons, 2017.</w:t>
      </w:r>
    </w:p>
    <w:p w14:paraId="31784426" w14:textId="77777777" w:rsidR="00FC6ACA" w:rsidRDefault="00A17CF4">
      <w:pPr>
        <w:spacing w:after="140" w:line="264" w:lineRule="auto"/>
      </w:pPr>
      <w:r>
        <w:rPr>
          <w:b/>
          <w:bCs/>
        </w:rPr>
        <w:t xml:space="preserve">[10] </w:t>
      </w:r>
      <w:r>
        <w:t>P. Mishra, "A model for appropriate selection of formwork to reduce CO₂ emissions in construction projects," Doctoral dissertation, National Institute of Technology Patna, Shodhganga, 2025. [Online]. Available: http://hdl.handle.net/10603/619616</w:t>
      </w:r>
    </w:p>
    <w:p w14:paraId="6DDB2E8F" w14:textId="77777777" w:rsidR="00FC6ACA" w:rsidRDefault="00A17CF4">
      <w:pPr>
        <w:spacing w:after="140" w:line="264" w:lineRule="auto"/>
      </w:pPr>
      <w:r>
        <w:rPr>
          <w:b/>
          <w:bCs/>
        </w:rPr>
        <w:t xml:space="preserve">[11] </w:t>
      </w:r>
      <w:r>
        <w:t>J. Kennedy and R. Eberhart, "Particle swarm optimization," in Proceedings of ICNN’95 — International Conference on Neural Networks, vol. 4, pp. 1942–1948, IEEE, 1995. [Online]. Available: https://doi.org/10.1109/ICNN.1995.488968</w:t>
      </w:r>
    </w:p>
    <w:p w14:paraId="0C960C1A" w14:textId="77777777" w:rsidR="00FC6ACA" w:rsidRDefault="00A17CF4">
      <w:pPr>
        <w:spacing w:after="140" w:line="264" w:lineRule="auto"/>
      </w:pPr>
      <w:r>
        <w:rPr>
          <w:b/>
          <w:bCs/>
        </w:rPr>
        <w:t xml:space="preserve">[12] </w:t>
      </w:r>
      <w:r>
        <w:t>International Organization for Standardization, "Environmental management — Life cycle assessment — Principles and framework (ISO 14040:2006)," 2006.</w:t>
      </w:r>
    </w:p>
    <w:p w14:paraId="735B0780" w14:textId="77777777" w:rsidR="00FC6ACA" w:rsidRDefault="00A17CF4">
      <w:pPr>
        <w:spacing w:after="140" w:line="264" w:lineRule="auto"/>
      </w:pPr>
      <w:r>
        <w:rPr>
          <w:b/>
          <w:bCs/>
        </w:rPr>
        <w:t xml:space="preserve">[13] </w:t>
      </w:r>
      <w:r>
        <w:t>G. J. Klir and B. Yuan, "Fuzzy sets and fuzzy logic: Theory and applications," Prentice Hall, 1995.</w:t>
      </w:r>
    </w:p>
    <w:p w14:paraId="063BB356" w14:textId="77777777" w:rsidR="00FC6ACA" w:rsidRDefault="00A17CF4">
      <w:pPr>
        <w:spacing w:after="140" w:line="264" w:lineRule="auto"/>
      </w:pPr>
      <w:r>
        <w:rPr>
          <w:b/>
          <w:bCs/>
        </w:rPr>
        <w:t xml:space="preserve">[14] </w:t>
      </w:r>
      <w:r>
        <w:t>F. Pomponi, A. Moncaster, and C. De Wolf, "Furthering embodied carbon assessment in practice: Results of an industry-academia collaborative research project," Energy and Buildings, vol. 167, pp. 177–186, 2018. [Online]. Available: https://doi.org/10.1016/j.enbuild.2018.02.052</w:t>
      </w:r>
    </w:p>
    <w:p w14:paraId="3B5BAB35" w14:textId="77777777" w:rsidR="00FC6ACA" w:rsidRDefault="00A17CF4">
      <w:pPr>
        <w:spacing w:after="140" w:line="264" w:lineRule="auto"/>
      </w:pPr>
      <w:r>
        <w:rPr>
          <w:b/>
          <w:bCs/>
        </w:rPr>
        <w:t xml:space="preserve">[15] </w:t>
      </w:r>
      <w:r>
        <w:t>A. Warszawski, "Decision models and expert systems in construction management," Building Research &amp; Information, vol. 24, no. 2, pp. 86–92, 1996. [Online]. Available: https://doi.org/10.1080/09613219608727512</w:t>
      </w:r>
    </w:p>
    <w:p w14:paraId="46C3D63D" w14:textId="77777777" w:rsidR="00FC6ACA" w:rsidRDefault="00A17CF4">
      <w:pPr>
        <w:spacing w:after="140" w:line="264" w:lineRule="auto"/>
      </w:pPr>
      <w:r>
        <w:rPr>
          <w:b/>
          <w:bCs/>
          <w:highlight w:val="yellow"/>
        </w:rPr>
        <w:t xml:space="preserve">[16] </w:t>
      </w:r>
      <w:r>
        <w:rPr>
          <w:highlight w:val="yellow"/>
        </w:rPr>
        <w:t>P. Mishra, F. Rajak, and R. Kumar, “Monte Carlo–Based Multi-Attribute Optimization of High-Rise Formwork for Carbon Reduction,” Civil Engineering and Architecture, vol. 14, no. 3A, pp. 2559–2577, 2026. [Online]. Available: https://doi.org/10.13189/cea.2026.141338</w:t>
      </w:r>
    </w:p>
    <w:p>
      <w:pPr>
        <w:pBdr>
          <w:left w:val="single" w:sz="12" w:space="6" w:color="FF0000"/>
        </w:pBdr>
        <w:spacing w:before="40" w:after="80"/>
        <w:ind w:left="284"/>
        <w:jc w:val="left"/>
      </w:pPr>
      <w:r>
        <w:rPr>
          <w:b/>
          <w:color w:val="FF0000"/>
          <w:sz w:val="20"/>
        </w:rPr>
        <w:t xml:space="preserve">▶ T&amp;F SUBMISSION CHECKLIST: </w:t>
      </w:r>
      <w:r>
        <w:rPr>
          <w:color w:val="FF0000"/>
          <w:sz w:val="20"/>
        </w:rPr>
        <w:t xml:space="preserve">Target-journal Instructions for Authors: scope, word limit (including/excluding references), abstract limit, structure, reference style, review type (single vs double anonymised).</w:t>
      </w:r>
    </w:p>
    <w:p>
      <w:pPr>
        <w:pBdr>
          <w:left w:val="single" w:sz="12" w:space="6" w:color="FF0000"/>
        </w:pBdr>
        <w:spacing w:before="40" w:after="80"/>
        <w:ind w:left="284"/>
        <w:jc w:val="left"/>
      </w:pPr>
      <w:r>
        <w:rPr>
          <w:b/>
          <w:color w:val="FF0000"/>
          <w:sz w:val="20"/>
        </w:rPr>
        <w:t xml:space="preserve">▶ Files: </w:t>
      </w:r>
      <w:r>
        <w:rPr>
          <w:color w:val="FF0000"/>
          <w:sz w:val="20"/>
        </w:rPr>
        <w:t xml:space="preserve">Anonymised main document + title page; figures as separate files (≥300 dpi for halftones, ≥600 dpi line art; TIFF/EPS/PNG as specified); editable tables; supplementary material (code, data, survey instrument).</w:t>
      </w:r>
    </w:p>
    <w:p>
      <w:pPr>
        <w:pBdr>
          <w:left w:val="single" w:sz="12" w:space="6" w:color="FF0000"/>
        </w:pBdr>
        <w:spacing w:before="40" w:after="80"/>
        <w:ind w:left="284"/>
        <w:jc w:val="left"/>
      </w:pPr>
      <w:r>
        <w:rPr>
          <w:b/>
          <w:color w:val="FF0000"/>
          <w:sz w:val="20"/>
        </w:rPr>
        <w:t xml:space="preserve">▶ Front matter: </w:t>
      </w:r>
      <w:r>
        <w:rPr>
          <w:color w:val="FF0000"/>
          <w:sz w:val="20"/>
        </w:rPr>
        <w:t xml:space="preserve">Abstract within limit; 5–6 keywords; ORCID iDs; 'Notes on contributors'; corresponding-author details.</w:t>
      </w:r>
    </w:p>
    <w:p>
      <w:pPr>
        <w:pBdr>
          <w:left w:val="single" w:sz="12" w:space="6" w:color="FF0000"/>
        </w:pBdr>
        <w:spacing w:before="40" w:after="80"/>
        <w:ind w:left="284"/>
        <w:jc w:val="left"/>
      </w:pPr>
      <w:r>
        <w:rPr>
          <w:b/>
          <w:color w:val="FF0000"/>
          <w:sz w:val="20"/>
        </w:rPr>
        <w:t xml:space="preserve">▶ Declarations: </w:t>
      </w:r>
      <w:r>
        <w:rPr>
          <w:color w:val="FF0000"/>
          <w:sz w:val="20"/>
        </w:rPr>
        <w:t xml:space="preserve">Disclosure statement; Funding; Data availability statement (with persistent identifier); Ethics approval number; Generative-AI disclosure; CRediT statement; Acknowledgements.</w:t>
      </w:r>
    </w:p>
    <w:p>
      <w:pPr>
        <w:pBdr>
          <w:left w:val="single" w:sz="12" w:space="6" w:color="FF0000"/>
        </w:pBdr>
        <w:spacing w:before="40" w:after="80"/>
        <w:ind w:left="284"/>
        <w:jc w:val="left"/>
      </w:pPr>
      <w:r>
        <w:rPr>
          <w:b/>
          <w:color w:val="FF0000"/>
          <w:sz w:val="20"/>
        </w:rPr>
        <w:t xml:space="preserve">▶ Figures/tables: </w:t>
      </w:r>
      <w:r>
        <w:rPr>
          <w:color w:val="FF0000"/>
          <w:sz w:val="20"/>
        </w:rPr>
        <w:t xml:space="preserve">Every figure and table called out in the text in order; captions self-contained; alt text for figures (accessibility); colour-blind-safe palettes; consistent units and decimals.</w:t>
      </w:r>
    </w:p>
    <w:p>
      <w:pPr>
        <w:pBdr>
          <w:left w:val="single" w:sz="12" w:space="6" w:color="FF0000"/>
        </w:pBdr>
        <w:spacing w:before="40" w:after="80"/>
        <w:ind w:left="284"/>
        <w:jc w:val="left"/>
      </w:pPr>
      <w:r>
        <w:rPr>
          <w:b/>
          <w:color w:val="FF0000"/>
          <w:sz w:val="20"/>
        </w:rPr>
        <w:t xml:space="preserve">▶ Research integrity: </w:t>
      </w:r>
      <w:r>
        <w:rPr>
          <w:color w:val="FF0000"/>
          <w:sz w:val="20"/>
        </w:rPr>
        <w:t xml:space="preserve">Disclose overlap with thesis [10], companion paper (under review) and [16]; run a similarity check (e.g., iThenticate) before submission; ensure no duplicate figures/text without permission.</w:t>
      </w:r>
    </w:p>
    <w:p>
      <w:pPr>
        <w:pBdr>
          <w:left w:val="single" w:sz="12" w:space="6" w:color="FF0000"/>
        </w:pBdr>
        <w:spacing w:before="40" w:after="80"/>
        <w:ind w:left="284"/>
        <w:jc w:val="left"/>
      </w:pPr>
      <w:r>
        <w:rPr>
          <w:b/>
          <w:color w:val="FF0000"/>
          <w:sz w:val="20"/>
        </w:rPr>
        <w:t xml:space="preserve">▶ Cover letter: </w:t>
      </w:r>
      <w:r>
        <w:rPr>
          <w:color w:val="FF0000"/>
          <w:sz w:val="20"/>
        </w:rPr>
        <w:t xml:space="preserve">State novelty explicitly (what is new relative to Hanna &amp; Senouci 1995, Pham et al. 2024, [16]), suggest 3–5 suitable reviewers (not collaborators), and confirm the manuscript is not under consideration elsewhere (the companion paper should be clearly distinguished).</w:t>
      </w:r>
    </w:p>
    <w:sectPr w:rsidR="00FC6ACA">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FF190" w14:textId="77777777" w:rsidR="00CA0707" w:rsidRDefault="00CA0707">
      <w:r>
        <w:separator/>
      </w:r>
    </w:p>
  </w:endnote>
  <w:endnote w:type="continuationSeparator" w:id="0">
    <w:p w14:paraId="446A976F" w14:textId="77777777" w:rsidR="00CA0707" w:rsidRDefault="00CA0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6A4C" w14:textId="77777777" w:rsidR="00FC6ACA" w:rsidRDefault="00A17CF4">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D00AD">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D00A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1A962" w14:textId="77777777" w:rsidR="00CA0707" w:rsidRDefault="00CA0707">
      <w:r>
        <w:separator/>
      </w:r>
    </w:p>
  </w:footnote>
  <w:footnote w:type="continuationSeparator" w:id="0">
    <w:p w14:paraId="37540A3C" w14:textId="77777777" w:rsidR="00CA0707" w:rsidRDefault="00CA07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0C7E"/>
    <w:multiLevelType w:val="hybridMultilevel"/>
    <w:tmpl w:val="FD544B0A"/>
    <w:lvl w:ilvl="0" w:tplc="32241F2E">
      <w:start w:val="1"/>
      <w:numFmt w:val="bullet"/>
      <w:lvlText w:val="●"/>
      <w:lvlJc w:val="left"/>
      <w:pPr>
        <w:ind w:left="720" w:hanging="360"/>
      </w:pPr>
    </w:lvl>
    <w:lvl w:ilvl="1" w:tplc="9880E598">
      <w:start w:val="1"/>
      <w:numFmt w:val="bullet"/>
      <w:lvlText w:val="○"/>
      <w:lvlJc w:val="left"/>
      <w:pPr>
        <w:ind w:left="1440" w:hanging="360"/>
      </w:pPr>
    </w:lvl>
    <w:lvl w:ilvl="2" w:tplc="A4C46A70">
      <w:start w:val="1"/>
      <w:numFmt w:val="bullet"/>
      <w:lvlText w:val="■"/>
      <w:lvlJc w:val="left"/>
      <w:pPr>
        <w:ind w:left="2160" w:hanging="360"/>
      </w:pPr>
    </w:lvl>
    <w:lvl w:ilvl="3" w:tplc="E70AFBFE">
      <w:start w:val="1"/>
      <w:numFmt w:val="bullet"/>
      <w:lvlText w:val="●"/>
      <w:lvlJc w:val="left"/>
      <w:pPr>
        <w:ind w:left="2880" w:hanging="360"/>
      </w:pPr>
    </w:lvl>
    <w:lvl w:ilvl="4" w:tplc="03EE0EF6">
      <w:start w:val="1"/>
      <w:numFmt w:val="bullet"/>
      <w:lvlText w:val="○"/>
      <w:lvlJc w:val="left"/>
      <w:pPr>
        <w:ind w:left="3600" w:hanging="360"/>
      </w:pPr>
    </w:lvl>
    <w:lvl w:ilvl="5" w:tplc="5784BD30">
      <w:start w:val="1"/>
      <w:numFmt w:val="bullet"/>
      <w:lvlText w:val="■"/>
      <w:lvlJc w:val="left"/>
      <w:pPr>
        <w:ind w:left="4320" w:hanging="360"/>
      </w:pPr>
    </w:lvl>
    <w:lvl w:ilvl="6" w:tplc="49F48D9A">
      <w:start w:val="1"/>
      <w:numFmt w:val="bullet"/>
      <w:lvlText w:val="●"/>
      <w:lvlJc w:val="left"/>
      <w:pPr>
        <w:ind w:left="5040" w:hanging="360"/>
      </w:pPr>
    </w:lvl>
    <w:lvl w:ilvl="7" w:tplc="F482A57C">
      <w:start w:val="1"/>
      <w:numFmt w:val="bullet"/>
      <w:lvlText w:val="●"/>
      <w:lvlJc w:val="left"/>
      <w:pPr>
        <w:ind w:left="5760" w:hanging="360"/>
      </w:pPr>
    </w:lvl>
    <w:lvl w:ilvl="8" w:tplc="29D4F7C8">
      <w:start w:val="1"/>
      <w:numFmt w:val="bullet"/>
      <w:lvlText w:val="●"/>
      <w:lvlJc w:val="left"/>
      <w:pPr>
        <w:ind w:left="6480" w:hanging="360"/>
      </w:pPr>
    </w:lvl>
  </w:abstractNum>
  <w:num w:numId="1" w16cid:durableId="6874844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ACA"/>
    <w:rsid w:val="000D00AD"/>
    <w:rsid w:val="001169E9"/>
    <w:rsid w:val="00190E4A"/>
    <w:rsid w:val="00331B31"/>
    <w:rsid w:val="007768A6"/>
    <w:rsid w:val="007A3E9E"/>
    <w:rsid w:val="0085384F"/>
    <w:rsid w:val="0095069E"/>
    <w:rsid w:val="00A17CF4"/>
    <w:rsid w:val="00A34419"/>
    <w:rsid w:val="00B365BD"/>
    <w:rsid w:val="00CA0707"/>
    <w:rsid w:val="00E26924"/>
    <w:rsid w:val="00E63065"/>
    <w:rsid w:val="00FC6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7D49E340"/>
  <w15:docId w15:val="{9BF188A3-92E5-456F-B55F-249E5DEC7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6"/>
      <w:szCs w:val="26"/>
    </w:rPr>
  </w:style>
  <w:style w:type="paragraph" w:styleId="Heading2">
    <w:name w:val="heading 2"/>
    <w:uiPriority w:val="9"/>
    <w:unhideWhenUsed/>
    <w:qFormat/>
    <w:pPr>
      <w:spacing w:before="240" w:after="12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069E"/>
    <w:pPr>
      <w:tabs>
        <w:tab w:val="center" w:pos="4680"/>
        <w:tab w:val="right" w:pos="9360"/>
      </w:tabs>
    </w:pPr>
  </w:style>
  <w:style w:type="character" w:customStyle="1" w:styleId="HeaderChar">
    <w:name w:val="Header Char"/>
    <w:basedOn w:val="DefaultParagraphFont"/>
    <w:link w:val="Header"/>
    <w:uiPriority w:val="99"/>
    <w:rsid w:val="0095069E"/>
  </w:style>
  <w:style w:type="paragraph" w:styleId="Footer">
    <w:name w:val="footer"/>
    <w:basedOn w:val="Normal"/>
    <w:link w:val="FooterChar"/>
    <w:uiPriority w:val="99"/>
    <w:unhideWhenUsed/>
    <w:rsid w:val="0095069E"/>
    <w:pPr>
      <w:tabs>
        <w:tab w:val="center" w:pos="4680"/>
        <w:tab w:val="right" w:pos="9360"/>
      </w:tabs>
    </w:pPr>
  </w:style>
  <w:style w:type="character" w:customStyle="1" w:styleId="FooterChar">
    <w:name w:val="Footer Char"/>
    <w:basedOn w:val="DefaultParagraphFont"/>
    <w:link w:val="Footer"/>
    <w:uiPriority w:val="99"/>
    <w:rsid w:val="00950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chart" Target="charts/chart8.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image" Target="media/image1.pn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tx>
        <c:rich>
          <a:bodyPr/>
          <a:lstStyle/>
          <a:p>
            <a:pPr>
              <a:defRPr sz="1200" b="1"/>
            </a:pPr>
            <a:r>
              <a:rPr lang="en-US" sz="1200" b="1"/>
              <a:t>Safety Performance (rating 1-10)</a:t>
            </a:r>
          </a:p>
        </c:rich>
      </c:tx>
      <c:overlay val="0"/>
    </c:title>
    <c:autoTitleDeleted val="0"/>
    <c:plotArea>
      <c:layout/>
      <c:lineChart>
        <c:grouping val="standard"/>
        <c:varyColors val="0"/>
        <c:ser>
          <c:idx val="0"/>
          <c:order val="0"/>
          <c:tx>
            <c:strRef>
              <c:f>'Data'!$B$1</c:f>
              <c:strCache>
                <c:ptCount val="1"/>
                <c:pt idx="0">
                  <c:v>Poor</c:v>
                </c:pt>
              </c:strCache>
            </c:strRef>
          </c:tx>
          <c:spPr>
            <a:ln w="22000">
              <a:solidFill>
                <a:srgbClr val="1B474D"/>
              </a:solidFill>
            </a:ln>
          </c:spPr>
          <c:marker>
            <c:symbol val="none"/>
          </c:marker>
          <c:cat>
            <c:numRef>
              <c:f>'Data'!$A$2:$A$42</c:f>
              <c:numCache>
                <c:formatCode>General</c:formatCode>
                <c:ptCount val="41"/>
                <c:pt idx="0">
                  <c:v>1</c:v>
                </c:pt>
                <c:pt idx="1">
                  <c:v>1.2250000000000001</c:v>
                </c:pt>
                <c:pt idx="2">
                  <c:v>1.45</c:v>
                </c:pt>
                <c:pt idx="3">
                  <c:v>1.675</c:v>
                </c:pt>
                <c:pt idx="4">
                  <c:v>1.9</c:v>
                </c:pt>
                <c:pt idx="5">
                  <c:v>2.125</c:v>
                </c:pt>
                <c:pt idx="6">
                  <c:v>2.35</c:v>
                </c:pt>
                <c:pt idx="7">
                  <c:v>2.5750000000000002</c:v>
                </c:pt>
                <c:pt idx="8">
                  <c:v>2.8</c:v>
                </c:pt>
                <c:pt idx="9">
                  <c:v>3.0249999999999999</c:v>
                </c:pt>
                <c:pt idx="10">
                  <c:v>3.25</c:v>
                </c:pt>
                <c:pt idx="11">
                  <c:v>3.4750000000000001</c:v>
                </c:pt>
                <c:pt idx="12">
                  <c:v>3.7</c:v>
                </c:pt>
                <c:pt idx="13">
                  <c:v>3.9250000000000003</c:v>
                </c:pt>
                <c:pt idx="14">
                  <c:v>4.1500000000000004</c:v>
                </c:pt>
                <c:pt idx="15">
                  <c:v>4.375</c:v>
                </c:pt>
                <c:pt idx="16">
                  <c:v>4.5999999999999996</c:v>
                </c:pt>
                <c:pt idx="17">
                  <c:v>4.8250000000000002</c:v>
                </c:pt>
                <c:pt idx="18">
                  <c:v>5.05</c:v>
                </c:pt>
                <c:pt idx="19">
                  <c:v>5.2750000000000004</c:v>
                </c:pt>
                <c:pt idx="20">
                  <c:v>5.5</c:v>
                </c:pt>
                <c:pt idx="21">
                  <c:v>5.7250000000000005</c:v>
                </c:pt>
                <c:pt idx="22">
                  <c:v>5.95</c:v>
                </c:pt>
                <c:pt idx="23">
                  <c:v>6.1749999999999998</c:v>
                </c:pt>
                <c:pt idx="24">
                  <c:v>6.4</c:v>
                </c:pt>
                <c:pt idx="25">
                  <c:v>6.625</c:v>
                </c:pt>
                <c:pt idx="26">
                  <c:v>6.8500000000000005</c:v>
                </c:pt>
                <c:pt idx="27">
                  <c:v>7.0750000000000002</c:v>
                </c:pt>
                <c:pt idx="28">
                  <c:v>7.3</c:v>
                </c:pt>
                <c:pt idx="29">
                  <c:v>7.5250000000000004</c:v>
                </c:pt>
                <c:pt idx="30">
                  <c:v>7.75</c:v>
                </c:pt>
                <c:pt idx="31">
                  <c:v>7.9750000000000005</c:v>
                </c:pt>
                <c:pt idx="32">
                  <c:v>8.1999999999999993</c:v>
                </c:pt>
                <c:pt idx="33">
                  <c:v>8.4250000000000007</c:v>
                </c:pt>
                <c:pt idx="34">
                  <c:v>8.65</c:v>
                </c:pt>
                <c:pt idx="35">
                  <c:v>8.875</c:v>
                </c:pt>
                <c:pt idx="36">
                  <c:v>9.1</c:v>
                </c:pt>
                <c:pt idx="37">
                  <c:v>9.3250000000000011</c:v>
                </c:pt>
                <c:pt idx="38">
                  <c:v>9.5500000000000007</c:v>
                </c:pt>
                <c:pt idx="39">
                  <c:v>9.7750000000000004</c:v>
                </c:pt>
                <c:pt idx="40">
                  <c:v>10</c:v>
                </c:pt>
              </c:numCache>
            </c:numRef>
          </c:cat>
          <c:val>
            <c:numRef>
              <c:f>'Data'!$B$2:$B$42</c:f>
              <c:numCache>
                <c:formatCode>General</c:formatCode>
                <c:ptCount val="41"/>
                <c:pt idx="0">
                  <c:v>1</c:v>
                </c:pt>
                <c:pt idx="1">
                  <c:v>0.94399999999999995</c:v>
                </c:pt>
                <c:pt idx="2">
                  <c:v>0.88700000000000001</c:v>
                </c:pt>
                <c:pt idx="3">
                  <c:v>0.83099999999999996</c:v>
                </c:pt>
                <c:pt idx="4">
                  <c:v>0.77500000000000002</c:v>
                </c:pt>
                <c:pt idx="5">
                  <c:v>0.71899999999999997</c:v>
                </c:pt>
                <c:pt idx="6">
                  <c:v>0.66200000000000003</c:v>
                </c:pt>
                <c:pt idx="7">
                  <c:v>0.60599999999999998</c:v>
                </c:pt>
                <c:pt idx="8">
                  <c:v>0.55000000000000004</c:v>
                </c:pt>
                <c:pt idx="9">
                  <c:v>0.49399999999999999</c:v>
                </c:pt>
                <c:pt idx="10">
                  <c:v>0.438</c:v>
                </c:pt>
                <c:pt idx="11">
                  <c:v>0.38100000000000001</c:v>
                </c:pt>
                <c:pt idx="12">
                  <c:v>0.32500000000000001</c:v>
                </c:pt>
                <c:pt idx="13">
                  <c:v>0.26900000000000002</c:v>
                </c:pt>
                <c:pt idx="14">
                  <c:v>0.21199999999999999</c:v>
                </c:pt>
                <c:pt idx="15">
                  <c:v>0.156</c:v>
                </c:pt>
                <c:pt idx="16">
                  <c:v>0.1</c:v>
                </c:pt>
                <c:pt idx="17">
                  <c:v>4.3999999999999997E-2</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numCache>
            </c:numRef>
          </c:val>
          <c:smooth val="0"/>
          <c:extLst>
            <c:ext xmlns:c16="http://schemas.microsoft.com/office/drawing/2014/chart" uri="{C3380CC4-5D6E-409C-BE32-E72D297353CC}">
              <c16:uniqueId val="{00000000-9072-4876-8682-BE3ADC66E0A9}"/>
            </c:ext>
          </c:extLst>
        </c:ser>
        <c:ser>
          <c:idx val="1"/>
          <c:order val="1"/>
          <c:tx>
            <c:strRef>
              <c:f>'Data'!$C$1</c:f>
              <c:strCache>
                <c:ptCount val="1"/>
                <c:pt idx="0">
                  <c:v>Average</c:v>
                </c:pt>
              </c:strCache>
            </c:strRef>
          </c:tx>
          <c:spPr>
            <a:ln w="22000">
              <a:solidFill>
                <a:srgbClr val="20808D"/>
              </a:solidFill>
            </a:ln>
          </c:spPr>
          <c:marker>
            <c:symbol val="none"/>
          </c:marker>
          <c:cat>
            <c:numRef>
              <c:f>'Data'!$A$2:$A$42</c:f>
              <c:numCache>
                <c:formatCode>General</c:formatCode>
                <c:ptCount val="41"/>
                <c:pt idx="0">
                  <c:v>1</c:v>
                </c:pt>
                <c:pt idx="1">
                  <c:v>1.2250000000000001</c:v>
                </c:pt>
                <c:pt idx="2">
                  <c:v>1.45</c:v>
                </c:pt>
                <c:pt idx="3">
                  <c:v>1.675</c:v>
                </c:pt>
                <c:pt idx="4">
                  <c:v>1.9</c:v>
                </c:pt>
                <c:pt idx="5">
                  <c:v>2.125</c:v>
                </c:pt>
                <c:pt idx="6">
                  <c:v>2.35</c:v>
                </c:pt>
                <c:pt idx="7">
                  <c:v>2.5750000000000002</c:v>
                </c:pt>
                <c:pt idx="8">
                  <c:v>2.8</c:v>
                </c:pt>
                <c:pt idx="9">
                  <c:v>3.0249999999999999</c:v>
                </c:pt>
                <c:pt idx="10">
                  <c:v>3.25</c:v>
                </c:pt>
                <c:pt idx="11">
                  <c:v>3.4750000000000001</c:v>
                </c:pt>
                <c:pt idx="12">
                  <c:v>3.7</c:v>
                </c:pt>
                <c:pt idx="13">
                  <c:v>3.9250000000000003</c:v>
                </c:pt>
                <c:pt idx="14">
                  <c:v>4.1500000000000004</c:v>
                </c:pt>
                <c:pt idx="15">
                  <c:v>4.375</c:v>
                </c:pt>
                <c:pt idx="16">
                  <c:v>4.5999999999999996</c:v>
                </c:pt>
                <c:pt idx="17">
                  <c:v>4.8250000000000002</c:v>
                </c:pt>
                <c:pt idx="18">
                  <c:v>5.05</c:v>
                </c:pt>
                <c:pt idx="19">
                  <c:v>5.2750000000000004</c:v>
                </c:pt>
                <c:pt idx="20">
                  <c:v>5.5</c:v>
                </c:pt>
                <c:pt idx="21">
                  <c:v>5.7250000000000005</c:v>
                </c:pt>
                <c:pt idx="22">
                  <c:v>5.95</c:v>
                </c:pt>
                <c:pt idx="23">
                  <c:v>6.1749999999999998</c:v>
                </c:pt>
                <c:pt idx="24">
                  <c:v>6.4</c:v>
                </c:pt>
                <c:pt idx="25">
                  <c:v>6.625</c:v>
                </c:pt>
                <c:pt idx="26">
                  <c:v>6.8500000000000005</c:v>
                </c:pt>
                <c:pt idx="27">
                  <c:v>7.0750000000000002</c:v>
                </c:pt>
                <c:pt idx="28">
                  <c:v>7.3</c:v>
                </c:pt>
                <c:pt idx="29">
                  <c:v>7.5250000000000004</c:v>
                </c:pt>
                <c:pt idx="30">
                  <c:v>7.75</c:v>
                </c:pt>
                <c:pt idx="31">
                  <c:v>7.9750000000000005</c:v>
                </c:pt>
                <c:pt idx="32">
                  <c:v>8.1999999999999993</c:v>
                </c:pt>
                <c:pt idx="33">
                  <c:v>8.4250000000000007</c:v>
                </c:pt>
                <c:pt idx="34">
                  <c:v>8.65</c:v>
                </c:pt>
                <c:pt idx="35">
                  <c:v>8.875</c:v>
                </c:pt>
                <c:pt idx="36">
                  <c:v>9.1</c:v>
                </c:pt>
                <c:pt idx="37">
                  <c:v>9.3250000000000011</c:v>
                </c:pt>
                <c:pt idx="38">
                  <c:v>9.5500000000000007</c:v>
                </c:pt>
                <c:pt idx="39">
                  <c:v>9.7750000000000004</c:v>
                </c:pt>
                <c:pt idx="40">
                  <c:v>10</c:v>
                </c:pt>
              </c:numCache>
            </c:numRef>
          </c:cat>
          <c:val>
            <c:numRef>
              <c:f>'Data'!$C$2:$C$42</c:f>
              <c:numCache>
                <c:formatCode>General</c:formatCode>
                <c:ptCount val="41"/>
                <c:pt idx="0">
                  <c:v>0</c:v>
                </c:pt>
                <c:pt idx="1">
                  <c:v>0</c:v>
                </c:pt>
                <c:pt idx="2">
                  <c:v>0</c:v>
                </c:pt>
                <c:pt idx="3">
                  <c:v>0</c:v>
                </c:pt>
                <c:pt idx="4">
                  <c:v>0</c:v>
                </c:pt>
                <c:pt idx="5">
                  <c:v>0</c:v>
                </c:pt>
                <c:pt idx="6">
                  <c:v>0</c:v>
                </c:pt>
                <c:pt idx="7">
                  <c:v>0</c:v>
                </c:pt>
                <c:pt idx="8">
                  <c:v>0</c:v>
                </c:pt>
                <c:pt idx="9">
                  <c:v>0.01</c:v>
                </c:pt>
                <c:pt idx="10">
                  <c:v>0.1</c:v>
                </c:pt>
                <c:pt idx="11">
                  <c:v>0.19</c:v>
                </c:pt>
                <c:pt idx="12">
                  <c:v>0.28000000000000003</c:v>
                </c:pt>
                <c:pt idx="13">
                  <c:v>0.37</c:v>
                </c:pt>
                <c:pt idx="14">
                  <c:v>0.46</c:v>
                </c:pt>
                <c:pt idx="15">
                  <c:v>0.55000000000000004</c:v>
                </c:pt>
                <c:pt idx="16">
                  <c:v>0.64</c:v>
                </c:pt>
                <c:pt idx="17">
                  <c:v>0.73</c:v>
                </c:pt>
                <c:pt idx="18">
                  <c:v>0.82</c:v>
                </c:pt>
                <c:pt idx="19">
                  <c:v>0.91</c:v>
                </c:pt>
                <c:pt idx="20">
                  <c:v>1</c:v>
                </c:pt>
                <c:pt idx="21">
                  <c:v>0.91</c:v>
                </c:pt>
                <c:pt idx="22">
                  <c:v>0.82</c:v>
                </c:pt>
                <c:pt idx="23">
                  <c:v>0.73</c:v>
                </c:pt>
                <c:pt idx="24">
                  <c:v>0.64</c:v>
                </c:pt>
                <c:pt idx="25">
                  <c:v>0.55000000000000004</c:v>
                </c:pt>
                <c:pt idx="26">
                  <c:v>0.46</c:v>
                </c:pt>
                <c:pt idx="27">
                  <c:v>0.37</c:v>
                </c:pt>
                <c:pt idx="28">
                  <c:v>0.28000000000000003</c:v>
                </c:pt>
                <c:pt idx="29">
                  <c:v>0.19</c:v>
                </c:pt>
                <c:pt idx="30">
                  <c:v>0.1</c:v>
                </c:pt>
                <c:pt idx="31">
                  <c:v>0.01</c:v>
                </c:pt>
                <c:pt idx="32">
                  <c:v>0</c:v>
                </c:pt>
                <c:pt idx="33">
                  <c:v>0</c:v>
                </c:pt>
                <c:pt idx="34">
                  <c:v>0</c:v>
                </c:pt>
                <c:pt idx="35">
                  <c:v>0</c:v>
                </c:pt>
                <c:pt idx="36">
                  <c:v>0</c:v>
                </c:pt>
                <c:pt idx="37">
                  <c:v>0</c:v>
                </c:pt>
                <c:pt idx="38">
                  <c:v>0</c:v>
                </c:pt>
                <c:pt idx="39">
                  <c:v>0</c:v>
                </c:pt>
                <c:pt idx="40">
                  <c:v>0</c:v>
                </c:pt>
              </c:numCache>
            </c:numRef>
          </c:val>
          <c:smooth val="0"/>
          <c:extLst>
            <c:ext xmlns:c16="http://schemas.microsoft.com/office/drawing/2014/chart" uri="{C3380CC4-5D6E-409C-BE32-E72D297353CC}">
              <c16:uniqueId val="{00000001-9072-4876-8682-BE3ADC66E0A9}"/>
            </c:ext>
          </c:extLst>
        </c:ser>
        <c:ser>
          <c:idx val="2"/>
          <c:order val="2"/>
          <c:tx>
            <c:strRef>
              <c:f>'Data'!$D$1</c:f>
              <c:strCache>
                <c:ptCount val="1"/>
                <c:pt idx="0">
                  <c:v>Good</c:v>
                </c:pt>
              </c:strCache>
            </c:strRef>
          </c:tx>
          <c:spPr>
            <a:ln w="22000">
              <a:solidFill>
                <a:srgbClr val="A84B2F"/>
              </a:solidFill>
            </a:ln>
          </c:spPr>
          <c:marker>
            <c:symbol val="none"/>
          </c:marker>
          <c:cat>
            <c:numRef>
              <c:f>'Data'!$A$2:$A$42</c:f>
              <c:numCache>
                <c:formatCode>General</c:formatCode>
                <c:ptCount val="41"/>
                <c:pt idx="0">
                  <c:v>1</c:v>
                </c:pt>
                <c:pt idx="1">
                  <c:v>1.2250000000000001</c:v>
                </c:pt>
                <c:pt idx="2">
                  <c:v>1.45</c:v>
                </c:pt>
                <c:pt idx="3">
                  <c:v>1.675</c:v>
                </c:pt>
                <c:pt idx="4">
                  <c:v>1.9</c:v>
                </c:pt>
                <c:pt idx="5">
                  <c:v>2.125</c:v>
                </c:pt>
                <c:pt idx="6">
                  <c:v>2.35</c:v>
                </c:pt>
                <c:pt idx="7">
                  <c:v>2.5750000000000002</c:v>
                </c:pt>
                <c:pt idx="8">
                  <c:v>2.8</c:v>
                </c:pt>
                <c:pt idx="9">
                  <c:v>3.0249999999999999</c:v>
                </c:pt>
                <c:pt idx="10">
                  <c:v>3.25</c:v>
                </c:pt>
                <c:pt idx="11">
                  <c:v>3.4750000000000001</c:v>
                </c:pt>
                <c:pt idx="12">
                  <c:v>3.7</c:v>
                </c:pt>
                <c:pt idx="13">
                  <c:v>3.9250000000000003</c:v>
                </c:pt>
                <c:pt idx="14">
                  <c:v>4.1500000000000004</c:v>
                </c:pt>
                <c:pt idx="15">
                  <c:v>4.375</c:v>
                </c:pt>
                <c:pt idx="16">
                  <c:v>4.5999999999999996</c:v>
                </c:pt>
                <c:pt idx="17">
                  <c:v>4.8250000000000002</c:v>
                </c:pt>
                <c:pt idx="18">
                  <c:v>5.05</c:v>
                </c:pt>
                <c:pt idx="19">
                  <c:v>5.2750000000000004</c:v>
                </c:pt>
                <c:pt idx="20">
                  <c:v>5.5</c:v>
                </c:pt>
                <c:pt idx="21">
                  <c:v>5.7250000000000005</c:v>
                </c:pt>
                <c:pt idx="22">
                  <c:v>5.95</c:v>
                </c:pt>
                <c:pt idx="23">
                  <c:v>6.1749999999999998</c:v>
                </c:pt>
                <c:pt idx="24">
                  <c:v>6.4</c:v>
                </c:pt>
                <c:pt idx="25">
                  <c:v>6.625</c:v>
                </c:pt>
                <c:pt idx="26">
                  <c:v>6.8500000000000005</c:v>
                </c:pt>
                <c:pt idx="27">
                  <c:v>7.0750000000000002</c:v>
                </c:pt>
                <c:pt idx="28">
                  <c:v>7.3</c:v>
                </c:pt>
                <c:pt idx="29">
                  <c:v>7.5250000000000004</c:v>
                </c:pt>
                <c:pt idx="30">
                  <c:v>7.75</c:v>
                </c:pt>
                <c:pt idx="31">
                  <c:v>7.9750000000000005</c:v>
                </c:pt>
                <c:pt idx="32">
                  <c:v>8.1999999999999993</c:v>
                </c:pt>
                <c:pt idx="33">
                  <c:v>8.4250000000000007</c:v>
                </c:pt>
                <c:pt idx="34">
                  <c:v>8.65</c:v>
                </c:pt>
                <c:pt idx="35">
                  <c:v>8.875</c:v>
                </c:pt>
                <c:pt idx="36">
                  <c:v>9.1</c:v>
                </c:pt>
                <c:pt idx="37">
                  <c:v>9.3250000000000011</c:v>
                </c:pt>
                <c:pt idx="38">
                  <c:v>9.5500000000000007</c:v>
                </c:pt>
                <c:pt idx="39">
                  <c:v>9.7750000000000004</c:v>
                </c:pt>
                <c:pt idx="40">
                  <c:v>10</c:v>
                </c:pt>
              </c:numCache>
            </c:numRef>
          </c:cat>
          <c:val>
            <c:numRef>
              <c:f>'Data'!$D$2:$D$42</c:f>
              <c:numCache>
                <c:formatCode>General</c:formatCode>
                <c:ptCount val="4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4.3999999999999997E-2</c:v>
                </c:pt>
                <c:pt idx="24">
                  <c:v>0.1</c:v>
                </c:pt>
                <c:pt idx="25">
                  <c:v>0.156</c:v>
                </c:pt>
                <c:pt idx="26">
                  <c:v>0.21299999999999999</c:v>
                </c:pt>
                <c:pt idx="27">
                  <c:v>0.26900000000000002</c:v>
                </c:pt>
                <c:pt idx="28">
                  <c:v>0.32500000000000001</c:v>
                </c:pt>
                <c:pt idx="29">
                  <c:v>0.38100000000000001</c:v>
                </c:pt>
                <c:pt idx="30">
                  <c:v>0.438</c:v>
                </c:pt>
                <c:pt idx="31">
                  <c:v>0.49399999999999999</c:v>
                </c:pt>
                <c:pt idx="32">
                  <c:v>0.55000000000000004</c:v>
                </c:pt>
                <c:pt idx="33">
                  <c:v>0.60599999999999998</c:v>
                </c:pt>
                <c:pt idx="34">
                  <c:v>0.66300000000000003</c:v>
                </c:pt>
                <c:pt idx="35">
                  <c:v>0.71899999999999997</c:v>
                </c:pt>
                <c:pt idx="36">
                  <c:v>0.77500000000000002</c:v>
                </c:pt>
                <c:pt idx="37">
                  <c:v>0.83099999999999996</c:v>
                </c:pt>
                <c:pt idx="38">
                  <c:v>0.88800000000000001</c:v>
                </c:pt>
                <c:pt idx="39">
                  <c:v>0.94399999999999995</c:v>
                </c:pt>
                <c:pt idx="40">
                  <c:v>1</c:v>
                </c:pt>
              </c:numCache>
            </c:numRef>
          </c:val>
          <c:smooth val="0"/>
          <c:extLst>
            <c:ext xmlns:c16="http://schemas.microsoft.com/office/drawing/2014/chart" uri="{C3380CC4-5D6E-409C-BE32-E72D297353CC}">
              <c16:uniqueId val="{00000002-9072-4876-8682-BE3ADC66E0A9}"/>
            </c:ext>
          </c:extLst>
        </c:ser>
        <c:dLbls>
          <c:showLegendKey val="0"/>
          <c:showVal val="0"/>
          <c:showCatName val="0"/>
          <c:showSerName val="0"/>
          <c:showPercent val="0"/>
          <c:showBubbleSize val="0"/>
        </c:dLbls>
        <c:smooth val="0"/>
        <c:axId val="111111111"/>
        <c:axId val="222222222"/>
      </c:lineChart>
      <c:valAx>
        <c:axId val="111111111"/>
        <c:scaling>
          <c:orientation val="minMax"/>
        </c:scaling>
        <c:delete val="0"/>
        <c:axPos val="b"/>
        <c:numFmt formatCode="General" sourceLinked="0"/>
        <c:majorTickMark val="cross"/>
        <c:minorTickMark val="cross"/>
        <c:tickLblPos val="nextTo"/>
        <c:txPr>
          <a:bodyPr/>
          <a:lstStyle/>
          <a:p>
            <a:pPr>
              <a:defRPr sz="800"/>
            </a:pPr>
            <a:endParaRPr lang="en-US"/>
          </a:p>
        </c:txPr>
        <c:crossAx val="222222222"/>
        <c:crosses val="autoZero"/>
        <c:crossBetween val="midCat"/>
      </c:valAx>
      <c:valAx>
        <c:axId val="222222222"/>
        <c:scaling>
          <c:orientation val="minMax"/>
        </c:scaling>
        <c:delete val="0"/>
        <c:axPos val="l"/>
        <c:majorGridlines/>
        <c:title>
          <c:tx>
            <c:rich>
              <a:bodyPr rot="-5400000" vert="horz"/>
              <a:lstStyle/>
              <a:p>
                <a:pPr>
                  <a:defRPr sz="900" b="1"/>
                </a:pPr>
                <a:r>
                  <a:rPr lang="en-US" sz="900" b="1"/>
                  <a:t>μ</a:t>
                </a:r>
              </a:p>
            </c:rich>
          </c:tx>
          <c:overlay val="0"/>
        </c:title>
        <c:numFmt formatCode="General" sourceLinked="0"/>
        <c:majorTickMark val="cross"/>
        <c:minorTickMark val="cross"/>
        <c:tickLblPos val="nextTo"/>
        <c:txPr>
          <a:bodyPr/>
          <a:lstStyle/>
          <a:p>
            <a:pPr>
              <a:defRPr sz="800"/>
            </a:pPr>
            <a:endParaRPr lang="en-US"/>
          </a:p>
        </c:txPr>
        <c:crossAx val="111111111"/>
        <c:crosses val="autoZero"/>
        <c:crossBetween val="midCat"/>
      </c:valAx>
    </c:plotArea>
    <c:legend>
      <c:legendPos val="b"/>
      <c:overlay val="0"/>
    </c:legend>
    <c:plotVisOnly val="1"/>
    <c:dispBlanksAs val="zero"/>
    <c:showDLblsOverMax val="1"/>
  </c:char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tx>
        <c:rich>
          <a:bodyPr/>
          <a:lstStyle/>
          <a:p>
            <a:pPr>
              <a:defRPr sz="1200" b="1"/>
            </a:pPr>
            <a:r>
              <a:rPr lang="en-US" sz="1200" b="1"/>
              <a:t>Operational Cost (USD/hr)</a:t>
            </a:r>
          </a:p>
        </c:rich>
      </c:tx>
      <c:overlay val="0"/>
    </c:title>
    <c:autoTitleDeleted val="0"/>
    <c:plotArea>
      <c:layout/>
      <c:lineChart>
        <c:grouping val="standard"/>
        <c:varyColors val="0"/>
        <c:ser>
          <c:idx val="0"/>
          <c:order val="0"/>
          <c:tx>
            <c:strRef>
              <c:f>'Data'!$B$1</c:f>
              <c:strCache>
                <c:ptCount val="1"/>
                <c:pt idx="0">
                  <c:v>Low</c:v>
                </c:pt>
              </c:strCache>
            </c:strRef>
          </c:tx>
          <c:spPr>
            <a:ln w="22000">
              <a:solidFill>
                <a:srgbClr val="1B474D"/>
              </a:solidFill>
            </a:ln>
          </c:spPr>
          <c:marker>
            <c:symbol val="none"/>
          </c:marker>
          <c:cat>
            <c:numRef>
              <c:f>'Data'!$A$2:$A$42</c:f>
              <c:numCache>
                <c:formatCode>General</c:formatCode>
                <c:ptCount val="41"/>
                <c:pt idx="0">
                  <c:v>0</c:v>
                </c:pt>
                <c:pt idx="1">
                  <c:v>3.25</c:v>
                </c:pt>
                <c:pt idx="2">
                  <c:v>6.5</c:v>
                </c:pt>
                <c:pt idx="3">
                  <c:v>9.75</c:v>
                </c:pt>
                <c:pt idx="4">
                  <c:v>13</c:v>
                </c:pt>
                <c:pt idx="5">
                  <c:v>16.25</c:v>
                </c:pt>
                <c:pt idx="6">
                  <c:v>19.5</c:v>
                </c:pt>
                <c:pt idx="7">
                  <c:v>22.75</c:v>
                </c:pt>
                <c:pt idx="8">
                  <c:v>26</c:v>
                </c:pt>
                <c:pt idx="9">
                  <c:v>29.25</c:v>
                </c:pt>
                <c:pt idx="10">
                  <c:v>32.5</c:v>
                </c:pt>
                <c:pt idx="11">
                  <c:v>35.75</c:v>
                </c:pt>
                <c:pt idx="12">
                  <c:v>39</c:v>
                </c:pt>
                <c:pt idx="13">
                  <c:v>42.25</c:v>
                </c:pt>
                <c:pt idx="14">
                  <c:v>45.5</c:v>
                </c:pt>
                <c:pt idx="15">
                  <c:v>48.75</c:v>
                </c:pt>
                <c:pt idx="16">
                  <c:v>52</c:v>
                </c:pt>
                <c:pt idx="17">
                  <c:v>55.25</c:v>
                </c:pt>
                <c:pt idx="18">
                  <c:v>58.5</c:v>
                </c:pt>
                <c:pt idx="19">
                  <c:v>61.75</c:v>
                </c:pt>
                <c:pt idx="20">
                  <c:v>65</c:v>
                </c:pt>
                <c:pt idx="21">
                  <c:v>68.25</c:v>
                </c:pt>
                <c:pt idx="22">
                  <c:v>71.5</c:v>
                </c:pt>
                <c:pt idx="23">
                  <c:v>74.75</c:v>
                </c:pt>
                <c:pt idx="24">
                  <c:v>78</c:v>
                </c:pt>
                <c:pt idx="25">
                  <c:v>81.25</c:v>
                </c:pt>
                <c:pt idx="26">
                  <c:v>84.5</c:v>
                </c:pt>
                <c:pt idx="27">
                  <c:v>87.75</c:v>
                </c:pt>
                <c:pt idx="28">
                  <c:v>91</c:v>
                </c:pt>
                <c:pt idx="29">
                  <c:v>94.25</c:v>
                </c:pt>
                <c:pt idx="30">
                  <c:v>97.5</c:v>
                </c:pt>
                <c:pt idx="31">
                  <c:v>100.75</c:v>
                </c:pt>
                <c:pt idx="32">
                  <c:v>104</c:v>
                </c:pt>
                <c:pt idx="33">
                  <c:v>107.25</c:v>
                </c:pt>
                <c:pt idx="34">
                  <c:v>110.5</c:v>
                </c:pt>
                <c:pt idx="35">
                  <c:v>113.75</c:v>
                </c:pt>
                <c:pt idx="36">
                  <c:v>117</c:v>
                </c:pt>
                <c:pt idx="37">
                  <c:v>120.25</c:v>
                </c:pt>
                <c:pt idx="38">
                  <c:v>123.5</c:v>
                </c:pt>
                <c:pt idx="39">
                  <c:v>126.75</c:v>
                </c:pt>
                <c:pt idx="40">
                  <c:v>130</c:v>
                </c:pt>
              </c:numCache>
            </c:numRef>
          </c:cat>
          <c:val>
            <c:numRef>
              <c:f>'Data'!$B$2:$B$42</c:f>
              <c:numCache>
                <c:formatCode>General</c:formatCode>
                <c:ptCount val="41"/>
                <c:pt idx="0">
                  <c:v>1</c:v>
                </c:pt>
                <c:pt idx="1">
                  <c:v>0.91900000000000004</c:v>
                </c:pt>
                <c:pt idx="2">
                  <c:v>0.83799999999999997</c:v>
                </c:pt>
                <c:pt idx="3">
                  <c:v>0.75600000000000001</c:v>
                </c:pt>
                <c:pt idx="4">
                  <c:v>0.67500000000000004</c:v>
                </c:pt>
                <c:pt idx="5">
                  <c:v>0.59399999999999997</c:v>
                </c:pt>
                <c:pt idx="6">
                  <c:v>0.51200000000000001</c:v>
                </c:pt>
                <c:pt idx="7">
                  <c:v>0.43099999999999999</c:v>
                </c:pt>
                <c:pt idx="8">
                  <c:v>0.35</c:v>
                </c:pt>
                <c:pt idx="9">
                  <c:v>0.26900000000000002</c:v>
                </c:pt>
                <c:pt idx="10">
                  <c:v>0.188</c:v>
                </c:pt>
                <c:pt idx="11">
                  <c:v>0.106</c:v>
                </c:pt>
                <c:pt idx="12">
                  <c:v>2.5000000000000001E-2</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numCache>
            </c:numRef>
          </c:val>
          <c:smooth val="0"/>
          <c:extLst>
            <c:ext xmlns:c16="http://schemas.microsoft.com/office/drawing/2014/chart" uri="{C3380CC4-5D6E-409C-BE32-E72D297353CC}">
              <c16:uniqueId val="{00000000-682F-41A3-A866-3C06EDD14516}"/>
            </c:ext>
          </c:extLst>
        </c:ser>
        <c:ser>
          <c:idx val="1"/>
          <c:order val="1"/>
          <c:tx>
            <c:strRef>
              <c:f>'Data'!$C$1</c:f>
              <c:strCache>
                <c:ptCount val="1"/>
                <c:pt idx="0">
                  <c:v>Moderate</c:v>
                </c:pt>
              </c:strCache>
            </c:strRef>
          </c:tx>
          <c:spPr>
            <a:ln w="22000">
              <a:solidFill>
                <a:srgbClr val="20808D"/>
              </a:solidFill>
            </a:ln>
          </c:spPr>
          <c:marker>
            <c:symbol val="none"/>
          </c:marker>
          <c:cat>
            <c:numRef>
              <c:f>'Data'!$A$2:$A$42</c:f>
              <c:numCache>
                <c:formatCode>General</c:formatCode>
                <c:ptCount val="41"/>
                <c:pt idx="0">
                  <c:v>0</c:v>
                </c:pt>
                <c:pt idx="1">
                  <c:v>3.25</c:v>
                </c:pt>
                <c:pt idx="2">
                  <c:v>6.5</c:v>
                </c:pt>
                <c:pt idx="3">
                  <c:v>9.75</c:v>
                </c:pt>
                <c:pt idx="4">
                  <c:v>13</c:v>
                </c:pt>
                <c:pt idx="5">
                  <c:v>16.25</c:v>
                </c:pt>
                <c:pt idx="6">
                  <c:v>19.5</c:v>
                </c:pt>
                <c:pt idx="7">
                  <c:v>22.75</c:v>
                </c:pt>
                <c:pt idx="8">
                  <c:v>26</c:v>
                </c:pt>
                <c:pt idx="9">
                  <c:v>29.25</c:v>
                </c:pt>
                <c:pt idx="10">
                  <c:v>32.5</c:v>
                </c:pt>
                <c:pt idx="11">
                  <c:v>35.75</c:v>
                </c:pt>
                <c:pt idx="12">
                  <c:v>39</c:v>
                </c:pt>
                <c:pt idx="13">
                  <c:v>42.25</c:v>
                </c:pt>
                <c:pt idx="14">
                  <c:v>45.5</c:v>
                </c:pt>
                <c:pt idx="15">
                  <c:v>48.75</c:v>
                </c:pt>
                <c:pt idx="16">
                  <c:v>52</c:v>
                </c:pt>
                <c:pt idx="17">
                  <c:v>55.25</c:v>
                </c:pt>
                <c:pt idx="18">
                  <c:v>58.5</c:v>
                </c:pt>
                <c:pt idx="19">
                  <c:v>61.75</c:v>
                </c:pt>
                <c:pt idx="20">
                  <c:v>65</c:v>
                </c:pt>
                <c:pt idx="21">
                  <c:v>68.25</c:v>
                </c:pt>
                <c:pt idx="22">
                  <c:v>71.5</c:v>
                </c:pt>
                <c:pt idx="23">
                  <c:v>74.75</c:v>
                </c:pt>
                <c:pt idx="24">
                  <c:v>78</c:v>
                </c:pt>
                <c:pt idx="25">
                  <c:v>81.25</c:v>
                </c:pt>
                <c:pt idx="26">
                  <c:v>84.5</c:v>
                </c:pt>
                <c:pt idx="27">
                  <c:v>87.75</c:v>
                </c:pt>
                <c:pt idx="28">
                  <c:v>91</c:v>
                </c:pt>
                <c:pt idx="29">
                  <c:v>94.25</c:v>
                </c:pt>
                <c:pt idx="30">
                  <c:v>97.5</c:v>
                </c:pt>
                <c:pt idx="31">
                  <c:v>100.75</c:v>
                </c:pt>
                <c:pt idx="32">
                  <c:v>104</c:v>
                </c:pt>
                <c:pt idx="33">
                  <c:v>107.25</c:v>
                </c:pt>
                <c:pt idx="34">
                  <c:v>110.5</c:v>
                </c:pt>
                <c:pt idx="35">
                  <c:v>113.75</c:v>
                </c:pt>
                <c:pt idx="36">
                  <c:v>117</c:v>
                </c:pt>
                <c:pt idx="37">
                  <c:v>120.25</c:v>
                </c:pt>
                <c:pt idx="38">
                  <c:v>123.5</c:v>
                </c:pt>
                <c:pt idx="39">
                  <c:v>126.75</c:v>
                </c:pt>
                <c:pt idx="40">
                  <c:v>130</c:v>
                </c:pt>
              </c:numCache>
            </c:numRef>
          </c:cat>
          <c:val>
            <c:numRef>
              <c:f>'Data'!$C$2:$C$42</c:f>
              <c:numCache>
                <c:formatCode>General</c:formatCode>
                <c:ptCount val="41"/>
                <c:pt idx="0">
                  <c:v>0</c:v>
                </c:pt>
                <c:pt idx="1">
                  <c:v>0</c:v>
                </c:pt>
                <c:pt idx="2">
                  <c:v>0</c:v>
                </c:pt>
                <c:pt idx="3">
                  <c:v>0</c:v>
                </c:pt>
                <c:pt idx="4">
                  <c:v>0</c:v>
                </c:pt>
                <c:pt idx="5">
                  <c:v>0</c:v>
                </c:pt>
                <c:pt idx="6">
                  <c:v>0</c:v>
                </c:pt>
                <c:pt idx="7">
                  <c:v>0</c:v>
                </c:pt>
                <c:pt idx="8">
                  <c:v>2.9000000000000001E-2</c:v>
                </c:pt>
                <c:pt idx="9">
                  <c:v>0.121</c:v>
                </c:pt>
                <c:pt idx="10">
                  <c:v>0.214</c:v>
                </c:pt>
                <c:pt idx="11">
                  <c:v>0.307</c:v>
                </c:pt>
                <c:pt idx="12">
                  <c:v>0.4</c:v>
                </c:pt>
                <c:pt idx="13">
                  <c:v>0.49299999999999999</c:v>
                </c:pt>
                <c:pt idx="14">
                  <c:v>0.58599999999999997</c:v>
                </c:pt>
                <c:pt idx="15">
                  <c:v>0.67900000000000005</c:v>
                </c:pt>
                <c:pt idx="16">
                  <c:v>0.77100000000000002</c:v>
                </c:pt>
                <c:pt idx="17">
                  <c:v>0.86399999999999999</c:v>
                </c:pt>
                <c:pt idx="18">
                  <c:v>0.95699999999999996</c:v>
                </c:pt>
                <c:pt idx="19">
                  <c:v>0.95</c:v>
                </c:pt>
                <c:pt idx="20">
                  <c:v>0.85699999999999998</c:v>
                </c:pt>
                <c:pt idx="21">
                  <c:v>0.76400000000000001</c:v>
                </c:pt>
                <c:pt idx="22">
                  <c:v>0.67100000000000004</c:v>
                </c:pt>
                <c:pt idx="23">
                  <c:v>0.57899999999999996</c:v>
                </c:pt>
                <c:pt idx="24">
                  <c:v>0.48599999999999999</c:v>
                </c:pt>
                <c:pt idx="25">
                  <c:v>0.39300000000000002</c:v>
                </c:pt>
                <c:pt idx="26">
                  <c:v>0.3</c:v>
                </c:pt>
                <c:pt idx="27">
                  <c:v>0.20699999999999999</c:v>
                </c:pt>
                <c:pt idx="28">
                  <c:v>0.114</c:v>
                </c:pt>
                <c:pt idx="29">
                  <c:v>2.1000000000000001E-2</c:v>
                </c:pt>
                <c:pt idx="30">
                  <c:v>0</c:v>
                </c:pt>
                <c:pt idx="31">
                  <c:v>0</c:v>
                </c:pt>
                <c:pt idx="32">
                  <c:v>0</c:v>
                </c:pt>
                <c:pt idx="33">
                  <c:v>0</c:v>
                </c:pt>
                <c:pt idx="34">
                  <c:v>0</c:v>
                </c:pt>
                <c:pt idx="35">
                  <c:v>0</c:v>
                </c:pt>
                <c:pt idx="36">
                  <c:v>0</c:v>
                </c:pt>
                <c:pt idx="37">
                  <c:v>0</c:v>
                </c:pt>
                <c:pt idx="38">
                  <c:v>0</c:v>
                </c:pt>
                <c:pt idx="39">
                  <c:v>0</c:v>
                </c:pt>
                <c:pt idx="40">
                  <c:v>0</c:v>
                </c:pt>
              </c:numCache>
            </c:numRef>
          </c:val>
          <c:smooth val="0"/>
          <c:extLst>
            <c:ext xmlns:c16="http://schemas.microsoft.com/office/drawing/2014/chart" uri="{C3380CC4-5D6E-409C-BE32-E72D297353CC}">
              <c16:uniqueId val="{00000001-682F-41A3-A866-3C06EDD14516}"/>
            </c:ext>
          </c:extLst>
        </c:ser>
        <c:ser>
          <c:idx val="2"/>
          <c:order val="2"/>
          <c:tx>
            <c:strRef>
              <c:f>'Data'!$D$1</c:f>
              <c:strCache>
                <c:ptCount val="1"/>
                <c:pt idx="0">
                  <c:v>High</c:v>
                </c:pt>
              </c:strCache>
            </c:strRef>
          </c:tx>
          <c:spPr>
            <a:ln w="22000">
              <a:solidFill>
                <a:srgbClr val="A84B2F"/>
              </a:solidFill>
            </a:ln>
          </c:spPr>
          <c:marker>
            <c:symbol val="none"/>
          </c:marker>
          <c:cat>
            <c:numRef>
              <c:f>'Data'!$A$2:$A$42</c:f>
              <c:numCache>
                <c:formatCode>General</c:formatCode>
                <c:ptCount val="41"/>
                <c:pt idx="0">
                  <c:v>0</c:v>
                </c:pt>
                <c:pt idx="1">
                  <c:v>3.25</c:v>
                </c:pt>
                <c:pt idx="2">
                  <c:v>6.5</c:v>
                </c:pt>
                <c:pt idx="3">
                  <c:v>9.75</c:v>
                </c:pt>
                <c:pt idx="4">
                  <c:v>13</c:v>
                </c:pt>
                <c:pt idx="5">
                  <c:v>16.25</c:v>
                </c:pt>
                <c:pt idx="6">
                  <c:v>19.5</c:v>
                </c:pt>
                <c:pt idx="7">
                  <c:v>22.75</c:v>
                </c:pt>
                <c:pt idx="8">
                  <c:v>26</c:v>
                </c:pt>
                <c:pt idx="9">
                  <c:v>29.25</c:v>
                </c:pt>
                <c:pt idx="10">
                  <c:v>32.5</c:v>
                </c:pt>
                <c:pt idx="11">
                  <c:v>35.75</c:v>
                </c:pt>
                <c:pt idx="12">
                  <c:v>39</c:v>
                </c:pt>
                <c:pt idx="13">
                  <c:v>42.25</c:v>
                </c:pt>
                <c:pt idx="14">
                  <c:v>45.5</c:v>
                </c:pt>
                <c:pt idx="15">
                  <c:v>48.75</c:v>
                </c:pt>
                <c:pt idx="16">
                  <c:v>52</c:v>
                </c:pt>
                <c:pt idx="17">
                  <c:v>55.25</c:v>
                </c:pt>
                <c:pt idx="18">
                  <c:v>58.5</c:v>
                </c:pt>
                <c:pt idx="19">
                  <c:v>61.75</c:v>
                </c:pt>
                <c:pt idx="20">
                  <c:v>65</c:v>
                </c:pt>
                <c:pt idx="21">
                  <c:v>68.25</c:v>
                </c:pt>
                <c:pt idx="22">
                  <c:v>71.5</c:v>
                </c:pt>
                <c:pt idx="23">
                  <c:v>74.75</c:v>
                </c:pt>
                <c:pt idx="24">
                  <c:v>78</c:v>
                </c:pt>
                <c:pt idx="25">
                  <c:v>81.25</c:v>
                </c:pt>
                <c:pt idx="26">
                  <c:v>84.5</c:v>
                </c:pt>
                <c:pt idx="27">
                  <c:v>87.75</c:v>
                </c:pt>
                <c:pt idx="28">
                  <c:v>91</c:v>
                </c:pt>
                <c:pt idx="29">
                  <c:v>94.25</c:v>
                </c:pt>
                <c:pt idx="30">
                  <c:v>97.5</c:v>
                </c:pt>
                <c:pt idx="31">
                  <c:v>100.75</c:v>
                </c:pt>
                <c:pt idx="32">
                  <c:v>104</c:v>
                </c:pt>
                <c:pt idx="33">
                  <c:v>107.25</c:v>
                </c:pt>
                <c:pt idx="34">
                  <c:v>110.5</c:v>
                </c:pt>
                <c:pt idx="35">
                  <c:v>113.75</c:v>
                </c:pt>
                <c:pt idx="36">
                  <c:v>117</c:v>
                </c:pt>
                <c:pt idx="37">
                  <c:v>120.25</c:v>
                </c:pt>
                <c:pt idx="38">
                  <c:v>123.5</c:v>
                </c:pt>
                <c:pt idx="39">
                  <c:v>126.75</c:v>
                </c:pt>
                <c:pt idx="40">
                  <c:v>130</c:v>
                </c:pt>
              </c:numCache>
            </c:numRef>
          </c:cat>
          <c:val>
            <c:numRef>
              <c:f>'Data'!$D$2:$D$42</c:f>
              <c:numCache>
                <c:formatCode>General</c:formatCode>
                <c:ptCount val="4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2.5000000000000001E-2</c:v>
                </c:pt>
                <c:pt idx="26">
                  <c:v>0.09</c:v>
                </c:pt>
                <c:pt idx="27">
                  <c:v>0.155</c:v>
                </c:pt>
                <c:pt idx="28">
                  <c:v>0.22</c:v>
                </c:pt>
                <c:pt idx="29">
                  <c:v>0.28499999999999998</c:v>
                </c:pt>
                <c:pt idx="30">
                  <c:v>0.35</c:v>
                </c:pt>
                <c:pt idx="31">
                  <c:v>0.41499999999999998</c:v>
                </c:pt>
                <c:pt idx="32">
                  <c:v>0.48</c:v>
                </c:pt>
                <c:pt idx="33">
                  <c:v>0.54500000000000004</c:v>
                </c:pt>
                <c:pt idx="34">
                  <c:v>0.61</c:v>
                </c:pt>
                <c:pt idx="35">
                  <c:v>0.67500000000000004</c:v>
                </c:pt>
                <c:pt idx="36">
                  <c:v>0.74</c:v>
                </c:pt>
                <c:pt idx="37">
                  <c:v>0.80500000000000005</c:v>
                </c:pt>
                <c:pt idx="38">
                  <c:v>0.87</c:v>
                </c:pt>
                <c:pt idx="39">
                  <c:v>0.93500000000000005</c:v>
                </c:pt>
                <c:pt idx="40">
                  <c:v>1</c:v>
                </c:pt>
              </c:numCache>
            </c:numRef>
          </c:val>
          <c:smooth val="0"/>
          <c:extLst>
            <c:ext xmlns:c16="http://schemas.microsoft.com/office/drawing/2014/chart" uri="{C3380CC4-5D6E-409C-BE32-E72D297353CC}">
              <c16:uniqueId val="{00000002-682F-41A3-A866-3C06EDD14516}"/>
            </c:ext>
          </c:extLst>
        </c:ser>
        <c:dLbls>
          <c:showLegendKey val="0"/>
          <c:showVal val="0"/>
          <c:showCatName val="0"/>
          <c:showSerName val="0"/>
          <c:showPercent val="0"/>
          <c:showBubbleSize val="0"/>
        </c:dLbls>
        <c:smooth val="0"/>
        <c:axId val="111111111"/>
        <c:axId val="222222222"/>
      </c:lineChart>
      <c:valAx>
        <c:axId val="111111111"/>
        <c:scaling>
          <c:orientation val="minMax"/>
        </c:scaling>
        <c:delete val="0"/>
        <c:axPos val="b"/>
        <c:numFmt formatCode="General" sourceLinked="0"/>
        <c:majorTickMark val="cross"/>
        <c:minorTickMark val="cross"/>
        <c:tickLblPos val="nextTo"/>
        <c:txPr>
          <a:bodyPr/>
          <a:lstStyle/>
          <a:p>
            <a:pPr>
              <a:defRPr sz="800"/>
            </a:pPr>
            <a:endParaRPr lang="en-US"/>
          </a:p>
        </c:txPr>
        <c:crossAx val="222222222"/>
        <c:crosses val="autoZero"/>
        <c:crossBetween val="midCat"/>
      </c:valAx>
      <c:valAx>
        <c:axId val="222222222"/>
        <c:scaling>
          <c:orientation val="minMax"/>
        </c:scaling>
        <c:delete val="0"/>
        <c:axPos val="l"/>
        <c:majorGridlines/>
        <c:title>
          <c:tx>
            <c:rich>
              <a:bodyPr rot="-5400000" vert="horz"/>
              <a:lstStyle/>
              <a:p>
                <a:pPr>
                  <a:defRPr sz="900" b="1"/>
                </a:pPr>
                <a:r>
                  <a:rPr lang="en-US" sz="900" b="1"/>
                  <a:t>μ</a:t>
                </a:r>
              </a:p>
            </c:rich>
          </c:tx>
          <c:overlay val="0"/>
        </c:title>
        <c:numFmt formatCode="General" sourceLinked="0"/>
        <c:majorTickMark val="cross"/>
        <c:minorTickMark val="cross"/>
        <c:tickLblPos val="nextTo"/>
        <c:txPr>
          <a:bodyPr/>
          <a:lstStyle/>
          <a:p>
            <a:pPr>
              <a:defRPr sz="800"/>
            </a:pPr>
            <a:endParaRPr lang="en-US"/>
          </a:p>
        </c:txPr>
        <c:crossAx val="111111111"/>
        <c:crosses val="autoZero"/>
        <c:crossBetween val="midCat"/>
      </c:valAx>
    </c:plotArea>
    <c:legend>
      <c:legendPos val="b"/>
      <c:overlay val="0"/>
    </c:legend>
    <c:plotVisOnly val="1"/>
    <c:dispBlanksAs val="zero"/>
    <c:showDLblsOverMax val="1"/>
  </c:char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tx>
        <c:rich>
          <a:bodyPr/>
          <a:lstStyle/>
          <a:p>
            <a:pPr>
              <a:defRPr sz="1200" b="1"/>
            </a:pPr>
            <a:r>
              <a:rPr lang="en-US" sz="1200" b="1"/>
              <a:t>Reusability (cycles)</a:t>
            </a:r>
          </a:p>
        </c:rich>
      </c:tx>
      <c:overlay val="0"/>
    </c:title>
    <c:autoTitleDeleted val="0"/>
    <c:plotArea>
      <c:layout/>
      <c:lineChart>
        <c:grouping val="standard"/>
        <c:varyColors val="0"/>
        <c:ser>
          <c:idx val="0"/>
          <c:order val="0"/>
          <c:tx>
            <c:strRef>
              <c:f>'Data'!$B$1</c:f>
              <c:strCache>
                <c:ptCount val="1"/>
                <c:pt idx="0">
                  <c:v>Low</c:v>
                </c:pt>
              </c:strCache>
            </c:strRef>
          </c:tx>
          <c:spPr>
            <a:ln w="22000">
              <a:solidFill>
                <a:srgbClr val="1B474D"/>
              </a:solidFill>
            </a:ln>
          </c:spPr>
          <c:marker>
            <c:symbol val="none"/>
          </c:marker>
          <c:cat>
            <c:numRef>
              <c:f>'Data'!$A$2:$A$42</c:f>
              <c:numCache>
                <c:formatCode>General</c:formatCode>
                <c:ptCount val="41"/>
                <c:pt idx="0">
                  <c:v>0</c:v>
                </c:pt>
                <c:pt idx="1">
                  <c:v>6.5</c:v>
                </c:pt>
                <c:pt idx="2">
                  <c:v>13</c:v>
                </c:pt>
                <c:pt idx="3">
                  <c:v>19.5</c:v>
                </c:pt>
                <c:pt idx="4">
                  <c:v>26</c:v>
                </c:pt>
                <c:pt idx="5">
                  <c:v>32.5</c:v>
                </c:pt>
                <c:pt idx="6">
                  <c:v>39</c:v>
                </c:pt>
                <c:pt idx="7">
                  <c:v>45.5</c:v>
                </c:pt>
                <c:pt idx="8">
                  <c:v>52</c:v>
                </c:pt>
                <c:pt idx="9">
                  <c:v>58.5</c:v>
                </c:pt>
                <c:pt idx="10">
                  <c:v>65</c:v>
                </c:pt>
                <c:pt idx="11">
                  <c:v>71.5</c:v>
                </c:pt>
                <c:pt idx="12">
                  <c:v>78</c:v>
                </c:pt>
                <c:pt idx="13">
                  <c:v>84.5</c:v>
                </c:pt>
                <c:pt idx="14">
                  <c:v>91</c:v>
                </c:pt>
                <c:pt idx="15">
                  <c:v>97.5</c:v>
                </c:pt>
                <c:pt idx="16">
                  <c:v>104</c:v>
                </c:pt>
                <c:pt idx="17">
                  <c:v>110.5</c:v>
                </c:pt>
                <c:pt idx="18">
                  <c:v>117</c:v>
                </c:pt>
                <c:pt idx="19">
                  <c:v>123.5</c:v>
                </c:pt>
                <c:pt idx="20">
                  <c:v>130</c:v>
                </c:pt>
                <c:pt idx="21">
                  <c:v>136.5</c:v>
                </c:pt>
                <c:pt idx="22">
                  <c:v>143</c:v>
                </c:pt>
                <c:pt idx="23">
                  <c:v>149.5</c:v>
                </c:pt>
                <c:pt idx="24">
                  <c:v>156</c:v>
                </c:pt>
                <c:pt idx="25">
                  <c:v>162.5</c:v>
                </c:pt>
                <c:pt idx="26">
                  <c:v>169</c:v>
                </c:pt>
                <c:pt idx="27">
                  <c:v>175.5</c:v>
                </c:pt>
                <c:pt idx="28">
                  <c:v>182</c:v>
                </c:pt>
                <c:pt idx="29">
                  <c:v>188.5</c:v>
                </c:pt>
                <c:pt idx="30">
                  <c:v>195</c:v>
                </c:pt>
                <c:pt idx="31">
                  <c:v>201.5</c:v>
                </c:pt>
                <c:pt idx="32">
                  <c:v>208</c:v>
                </c:pt>
                <c:pt idx="33">
                  <c:v>214.5</c:v>
                </c:pt>
                <c:pt idx="34">
                  <c:v>221</c:v>
                </c:pt>
                <c:pt idx="35">
                  <c:v>227.5</c:v>
                </c:pt>
                <c:pt idx="36">
                  <c:v>234</c:v>
                </c:pt>
                <c:pt idx="37">
                  <c:v>240.5</c:v>
                </c:pt>
                <c:pt idx="38">
                  <c:v>247</c:v>
                </c:pt>
                <c:pt idx="39">
                  <c:v>253.5</c:v>
                </c:pt>
                <c:pt idx="40">
                  <c:v>260</c:v>
                </c:pt>
              </c:numCache>
            </c:numRef>
          </c:cat>
          <c:val>
            <c:numRef>
              <c:f>'Data'!$B$2:$B$42</c:f>
              <c:numCache>
                <c:formatCode>General</c:formatCode>
                <c:ptCount val="41"/>
                <c:pt idx="0">
                  <c:v>1</c:v>
                </c:pt>
                <c:pt idx="1">
                  <c:v>0.89200000000000002</c:v>
                </c:pt>
                <c:pt idx="2">
                  <c:v>0.78300000000000003</c:v>
                </c:pt>
                <c:pt idx="3">
                  <c:v>0.67500000000000004</c:v>
                </c:pt>
                <c:pt idx="4">
                  <c:v>0.56699999999999995</c:v>
                </c:pt>
                <c:pt idx="5">
                  <c:v>0.45800000000000002</c:v>
                </c:pt>
                <c:pt idx="6">
                  <c:v>0.35</c:v>
                </c:pt>
                <c:pt idx="7">
                  <c:v>0.24199999999999999</c:v>
                </c:pt>
                <c:pt idx="8">
                  <c:v>0.13300000000000001</c:v>
                </c:pt>
                <c:pt idx="9">
                  <c:v>2.5000000000000001E-2</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numCache>
            </c:numRef>
          </c:val>
          <c:smooth val="0"/>
          <c:extLst>
            <c:ext xmlns:c16="http://schemas.microsoft.com/office/drawing/2014/chart" uri="{C3380CC4-5D6E-409C-BE32-E72D297353CC}">
              <c16:uniqueId val="{00000000-7F74-4F20-AAA0-F7E4BCEF659C}"/>
            </c:ext>
          </c:extLst>
        </c:ser>
        <c:ser>
          <c:idx val="1"/>
          <c:order val="1"/>
          <c:tx>
            <c:strRef>
              <c:f>'Data'!$C$1</c:f>
              <c:strCache>
                <c:ptCount val="1"/>
                <c:pt idx="0">
                  <c:v>Moderate</c:v>
                </c:pt>
              </c:strCache>
            </c:strRef>
          </c:tx>
          <c:spPr>
            <a:ln w="22000">
              <a:solidFill>
                <a:srgbClr val="20808D"/>
              </a:solidFill>
            </a:ln>
          </c:spPr>
          <c:marker>
            <c:symbol val="none"/>
          </c:marker>
          <c:cat>
            <c:numRef>
              <c:f>'Data'!$A$2:$A$42</c:f>
              <c:numCache>
                <c:formatCode>General</c:formatCode>
                <c:ptCount val="41"/>
                <c:pt idx="0">
                  <c:v>0</c:v>
                </c:pt>
                <c:pt idx="1">
                  <c:v>6.5</c:v>
                </c:pt>
                <c:pt idx="2">
                  <c:v>13</c:v>
                </c:pt>
                <c:pt idx="3">
                  <c:v>19.5</c:v>
                </c:pt>
                <c:pt idx="4">
                  <c:v>26</c:v>
                </c:pt>
                <c:pt idx="5">
                  <c:v>32.5</c:v>
                </c:pt>
                <c:pt idx="6">
                  <c:v>39</c:v>
                </c:pt>
                <c:pt idx="7">
                  <c:v>45.5</c:v>
                </c:pt>
                <c:pt idx="8">
                  <c:v>52</c:v>
                </c:pt>
                <c:pt idx="9">
                  <c:v>58.5</c:v>
                </c:pt>
                <c:pt idx="10">
                  <c:v>65</c:v>
                </c:pt>
                <c:pt idx="11">
                  <c:v>71.5</c:v>
                </c:pt>
                <c:pt idx="12">
                  <c:v>78</c:v>
                </c:pt>
                <c:pt idx="13">
                  <c:v>84.5</c:v>
                </c:pt>
                <c:pt idx="14">
                  <c:v>91</c:v>
                </c:pt>
                <c:pt idx="15">
                  <c:v>97.5</c:v>
                </c:pt>
                <c:pt idx="16">
                  <c:v>104</c:v>
                </c:pt>
                <c:pt idx="17">
                  <c:v>110.5</c:v>
                </c:pt>
                <c:pt idx="18">
                  <c:v>117</c:v>
                </c:pt>
                <c:pt idx="19">
                  <c:v>123.5</c:v>
                </c:pt>
                <c:pt idx="20">
                  <c:v>130</c:v>
                </c:pt>
                <c:pt idx="21">
                  <c:v>136.5</c:v>
                </c:pt>
                <c:pt idx="22">
                  <c:v>143</c:v>
                </c:pt>
                <c:pt idx="23">
                  <c:v>149.5</c:v>
                </c:pt>
                <c:pt idx="24">
                  <c:v>156</c:v>
                </c:pt>
                <c:pt idx="25">
                  <c:v>162.5</c:v>
                </c:pt>
                <c:pt idx="26">
                  <c:v>169</c:v>
                </c:pt>
                <c:pt idx="27">
                  <c:v>175.5</c:v>
                </c:pt>
                <c:pt idx="28">
                  <c:v>182</c:v>
                </c:pt>
                <c:pt idx="29">
                  <c:v>188.5</c:v>
                </c:pt>
                <c:pt idx="30">
                  <c:v>195</c:v>
                </c:pt>
                <c:pt idx="31">
                  <c:v>201.5</c:v>
                </c:pt>
                <c:pt idx="32">
                  <c:v>208</c:v>
                </c:pt>
                <c:pt idx="33">
                  <c:v>214.5</c:v>
                </c:pt>
                <c:pt idx="34">
                  <c:v>221</c:v>
                </c:pt>
                <c:pt idx="35">
                  <c:v>227.5</c:v>
                </c:pt>
                <c:pt idx="36">
                  <c:v>234</c:v>
                </c:pt>
                <c:pt idx="37">
                  <c:v>240.5</c:v>
                </c:pt>
                <c:pt idx="38">
                  <c:v>247</c:v>
                </c:pt>
                <c:pt idx="39">
                  <c:v>253.5</c:v>
                </c:pt>
                <c:pt idx="40">
                  <c:v>260</c:v>
                </c:pt>
              </c:numCache>
            </c:numRef>
          </c:cat>
          <c:val>
            <c:numRef>
              <c:f>'Data'!$C$2:$C$42</c:f>
              <c:numCache>
                <c:formatCode>General</c:formatCode>
                <c:ptCount val="41"/>
                <c:pt idx="0">
                  <c:v>0</c:v>
                </c:pt>
                <c:pt idx="1">
                  <c:v>0</c:v>
                </c:pt>
                <c:pt idx="2">
                  <c:v>0</c:v>
                </c:pt>
                <c:pt idx="3">
                  <c:v>0</c:v>
                </c:pt>
                <c:pt idx="4">
                  <c:v>0</c:v>
                </c:pt>
                <c:pt idx="5">
                  <c:v>0</c:v>
                </c:pt>
                <c:pt idx="6">
                  <c:v>0</c:v>
                </c:pt>
                <c:pt idx="7">
                  <c:v>9.1999999999999998E-2</c:v>
                </c:pt>
                <c:pt idx="8">
                  <c:v>0.2</c:v>
                </c:pt>
                <c:pt idx="9">
                  <c:v>0.308</c:v>
                </c:pt>
                <c:pt idx="10">
                  <c:v>0.41699999999999998</c:v>
                </c:pt>
                <c:pt idx="11">
                  <c:v>0.52500000000000002</c:v>
                </c:pt>
                <c:pt idx="12">
                  <c:v>0.63300000000000001</c:v>
                </c:pt>
                <c:pt idx="13">
                  <c:v>0.74199999999999999</c:v>
                </c:pt>
                <c:pt idx="14">
                  <c:v>0.85</c:v>
                </c:pt>
                <c:pt idx="15">
                  <c:v>0.95799999999999996</c:v>
                </c:pt>
                <c:pt idx="16">
                  <c:v>0.95</c:v>
                </c:pt>
                <c:pt idx="17">
                  <c:v>0.86899999999999999</c:v>
                </c:pt>
                <c:pt idx="18">
                  <c:v>0.78700000000000003</c:v>
                </c:pt>
                <c:pt idx="19">
                  <c:v>0.70599999999999996</c:v>
                </c:pt>
                <c:pt idx="20">
                  <c:v>0.625</c:v>
                </c:pt>
                <c:pt idx="21">
                  <c:v>0.54400000000000004</c:v>
                </c:pt>
                <c:pt idx="22">
                  <c:v>0.46300000000000002</c:v>
                </c:pt>
                <c:pt idx="23">
                  <c:v>0.38100000000000001</c:v>
                </c:pt>
                <c:pt idx="24">
                  <c:v>0.3</c:v>
                </c:pt>
                <c:pt idx="25">
                  <c:v>0.219</c:v>
                </c:pt>
                <c:pt idx="26">
                  <c:v>0.13800000000000001</c:v>
                </c:pt>
                <c:pt idx="27">
                  <c:v>5.6000000000000001E-2</c:v>
                </c:pt>
                <c:pt idx="28">
                  <c:v>0</c:v>
                </c:pt>
                <c:pt idx="29">
                  <c:v>0</c:v>
                </c:pt>
                <c:pt idx="30">
                  <c:v>0</c:v>
                </c:pt>
                <c:pt idx="31">
                  <c:v>0</c:v>
                </c:pt>
                <c:pt idx="32">
                  <c:v>0</c:v>
                </c:pt>
                <c:pt idx="33">
                  <c:v>0</c:v>
                </c:pt>
                <c:pt idx="34">
                  <c:v>0</c:v>
                </c:pt>
                <c:pt idx="35">
                  <c:v>0</c:v>
                </c:pt>
                <c:pt idx="36">
                  <c:v>0</c:v>
                </c:pt>
                <c:pt idx="37">
                  <c:v>0</c:v>
                </c:pt>
                <c:pt idx="38">
                  <c:v>0</c:v>
                </c:pt>
                <c:pt idx="39">
                  <c:v>0</c:v>
                </c:pt>
                <c:pt idx="40">
                  <c:v>0</c:v>
                </c:pt>
              </c:numCache>
            </c:numRef>
          </c:val>
          <c:smooth val="0"/>
          <c:extLst>
            <c:ext xmlns:c16="http://schemas.microsoft.com/office/drawing/2014/chart" uri="{C3380CC4-5D6E-409C-BE32-E72D297353CC}">
              <c16:uniqueId val="{00000001-7F74-4F20-AAA0-F7E4BCEF659C}"/>
            </c:ext>
          </c:extLst>
        </c:ser>
        <c:ser>
          <c:idx val="2"/>
          <c:order val="2"/>
          <c:tx>
            <c:strRef>
              <c:f>'Data'!$D$1</c:f>
              <c:strCache>
                <c:ptCount val="1"/>
                <c:pt idx="0">
                  <c:v>High</c:v>
                </c:pt>
              </c:strCache>
            </c:strRef>
          </c:tx>
          <c:spPr>
            <a:ln w="22000">
              <a:solidFill>
                <a:srgbClr val="A84B2F"/>
              </a:solidFill>
            </a:ln>
          </c:spPr>
          <c:marker>
            <c:symbol val="none"/>
          </c:marker>
          <c:cat>
            <c:numRef>
              <c:f>'Data'!$A$2:$A$42</c:f>
              <c:numCache>
                <c:formatCode>General</c:formatCode>
                <c:ptCount val="41"/>
                <c:pt idx="0">
                  <c:v>0</c:v>
                </c:pt>
                <c:pt idx="1">
                  <c:v>6.5</c:v>
                </c:pt>
                <c:pt idx="2">
                  <c:v>13</c:v>
                </c:pt>
                <c:pt idx="3">
                  <c:v>19.5</c:v>
                </c:pt>
                <c:pt idx="4">
                  <c:v>26</c:v>
                </c:pt>
                <c:pt idx="5">
                  <c:v>32.5</c:v>
                </c:pt>
                <c:pt idx="6">
                  <c:v>39</c:v>
                </c:pt>
                <c:pt idx="7">
                  <c:v>45.5</c:v>
                </c:pt>
                <c:pt idx="8">
                  <c:v>52</c:v>
                </c:pt>
                <c:pt idx="9">
                  <c:v>58.5</c:v>
                </c:pt>
                <c:pt idx="10">
                  <c:v>65</c:v>
                </c:pt>
                <c:pt idx="11">
                  <c:v>71.5</c:v>
                </c:pt>
                <c:pt idx="12">
                  <c:v>78</c:v>
                </c:pt>
                <c:pt idx="13">
                  <c:v>84.5</c:v>
                </c:pt>
                <c:pt idx="14">
                  <c:v>91</c:v>
                </c:pt>
                <c:pt idx="15">
                  <c:v>97.5</c:v>
                </c:pt>
                <c:pt idx="16">
                  <c:v>104</c:v>
                </c:pt>
                <c:pt idx="17">
                  <c:v>110.5</c:v>
                </c:pt>
                <c:pt idx="18">
                  <c:v>117</c:v>
                </c:pt>
                <c:pt idx="19">
                  <c:v>123.5</c:v>
                </c:pt>
                <c:pt idx="20">
                  <c:v>130</c:v>
                </c:pt>
                <c:pt idx="21">
                  <c:v>136.5</c:v>
                </c:pt>
                <c:pt idx="22">
                  <c:v>143</c:v>
                </c:pt>
                <c:pt idx="23">
                  <c:v>149.5</c:v>
                </c:pt>
                <c:pt idx="24">
                  <c:v>156</c:v>
                </c:pt>
                <c:pt idx="25">
                  <c:v>162.5</c:v>
                </c:pt>
                <c:pt idx="26">
                  <c:v>169</c:v>
                </c:pt>
                <c:pt idx="27">
                  <c:v>175.5</c:v>
                </c:pt>
                <c:pt idx="28">
                  <c:v>182</c:v>
                </c:pt>
                <c:pt idx="29">
                  <c:v>188.5</c:v>
                </c:pt>
                <c:pt idx="30">
                  <c:v>195</c:v>
                </c:pt>
                <c:pt idx="31">
                  <c:v>201.5</c:v>
                </c:pt>
                <c:pt idx="32">
                  <c:v>208</c:v>
                </c:pt>
                <c:pt idx="33">
                  <c:v>214.5</c:v>
                </c:pt>
                <c:pt idx="34">
                  <c:v>221</c:v>
                </c:pt>
                <c:pt idx="35">
                  <c:v>227.5</c:v>
                </c:pt>
                <c:pt idx="36">
                  <c:v>234</c:v>
                </c:pt>
                <c:pt idx="37">
                  <c:v>240.5</c:v>
                </c:pt>
                <c:pt idx="38">
                  <c:v>247</c:v>
                </c:pt>
                <c:pt idx="39">
                  <c:v>253.5</c:v>
                </c:pt>
                <c:pt idx="40">
                  <c:v>260</c:v>
                </c:pt>
              </c:numCache>
            </c:numRef>
          </c:cat>
          <c:val>
            <c:numRef>
              <c:f>'Data'!$D$2:$D$42</c:f>
              <c:numCache>
                <c:formatCode>General</c:formatCode>
                <c:ptCount val="4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2.5000000000000001E-2</c:v>
                </c:pt>
                <c:pt idx="23">
                  <c:v>7.9000000000000001E-2</c:v>
                </c:pt>
                <c:pt idx="24">
                  <c:v>0.13300000000000001</c:v>
                </c:pt>
                <c:pt idx="25">
                  <c:v>0.188</c:v>
                </c:pt>
                <c:pt idx="26">
                  <c:v>0.24199999999999999</c:v>
                </c:pt>
                <c:pt idx="27">
                  <c:v>0.29599999999999999</c:v>
                </c:pt>
                <c:pt idx="28">
                  <c:v>0.35</c:v>
                </c:pt>
                <c:pt idx="29">
                  <c:v>0.40400000000000003</c:v>
                </c:pt>
                <c:pt idx="30">
                  <c:v>0.45800000000000002</c:v>
                </c:pt>
                <c:pt idx="31">
                  <c:v>0.51200000000000001</c:v>
                </c:pt>
                <c:pt idx="32">
                  <c:v>0.56699999999999995</c:v>
                </c:pt>
                <c:pt idx="33">
                  <c:v>0.621</c:v>
                </c:pt>
                <c:pt idx="34">
                  <c:v>0.67500000000000004</c:v>
                </c:pt>
                <c:pt idx="35">
                  <c:v>0.72899999999999998</c:v>
                </c:pt>
                <c:pt idx="36">
                  <c:v>0.78300000000000003</c:v>
                </c:pt>
                <c:pt idx="37">
                  <c:v>0.83799999999999997</c:v>
                </c:pt>
                <c:pt idx="38">
                  <c:v>0.89200000000000002</c:v>
                </c:pt>
                <c:pt idx="39">
                  <c:v>0.94599999999999995</c:v>
                </c:pt>
                <c:pt idx="40">
                  <c:v>1</c:v>
                </c:pt>
              </c:numCache>
            </c:numRef>
          </c:val>
          <c:smooth val="0"/>
          <c:extLst>
            <c:ext xmlns:c16="http://schemas.microsoft.com/office/drawing/2014/chart" uri="{C3380CC4-5D6E-409C-BE32-E72D297353CC}">
              <c16:uniqueId val="{00000002-7F74-4F20-AAA0-F7E4BCEF659C}"/>
            </c:ext>
          </c:extLst>
        </c:ser>
        <c:dLbls>
          <c:showLegendKey val="0"/>
          <c:showVal val="0"/>
          <c:showCatName val="0"/>
          <c:showSerName val="0"/>
          <c:showPercent val="0"/>
          <c:showBubbleSize val="0"/>
        </c:dLbls>
        <c:smooth val="0"/>
        <c:axId val="111111111"/>
        <c:axId val="222222222"/>
      </c:lineChart>
      <c:valAx>
        <c:axId val="111111111"/>
        <c:scaling>
          <c:orientation val="minMax"/>
        </c:scaling>
        <c:delete val="0"/>
        <c:axPos val="b"/>
        <c:numFmt formatCode="General" sourceLinked="0"/>
        <c:majorTickMark val="cross"/>
        <c:minorTickMark val="cross"/>
        <c:tickLblPos val="nextTo"/>
        <c:txPr>
          <a:bodyPr/>
          <a:lstStyle/>
          <a:p>
            <a:pPr>
              <a:defRPr sz="800"/>
            </a:pPr>
            <a:endParaRPr lang="en-US"/>
          </a:p>
        </c:txPr>
        <c:crossAx val="222222222"/>
        <c:crosses val="autoZero"/>
        <c:crossBetween val="midCat"/>
      </c:valAx>
      <c:valAx>
        <c:axId val="222222222"/>
        <c:scaling>
          <c:orientation val="minMax"/>
        </c:scaling>
        <c:delete val="0"/>
        <c:axPos val="l"/>
        <c:majorGridlines/>
        <c:title>
          <c:tx>
            <c:rich>
              <a:bodyPr rot="-5400000" vert="horz"/>
              <a:lstStyle/>
              <a:p>
                <a:pPr>
                  <a:defRPr sz="900" b="1"/>
                </a:pPr>
                <a:r>
                  <a:rPr lang="en-US" sz="900" b="1"/>
                  <a:t>μ</a:t>
                </a:r>
              </a:p>
            </c:rich>
          </c:tx>
          <c:overlay val="0"/>
        </c:title>
        <c:numFmt formatCode="General" sourceLinked="0"/>
        <c:majorTickMark val="cross"/>
        <c:minorTickMark val="cross"/>
        <c:tickLblPos val="nextTo"/>
        <c:txPr>
          <a:bodyPr/>
          <a:lstStyle/>
          <a:p>
            <a:pPr>
              <a:defRPr sz="800"/>
            </a:pPr>
            <a:endParaRPr lang="en-US"/>
          </a:p>
        </c:txPr>
        <c:crossAx val="111111111"/>
        <c:crosses val="autoZero"/>
        <c:crossBetween val="midCat"/>
      </c:valAx>
    </c:plotArea>
    <c:legend>
      <c:legendPos val="b"/>
      <c:overlay val="0"/>
    </c:legend>
    <c:plotVisOnly val="1"/>
    <c:dispBlanksAs val="zero"/>
    <c:showDLblsOverMax val="1"/>
  </c:char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tx>
        <c:rich>
          <a:bodyPr/>
          <a:lstStyle/>
          <a:p>
            <a:pPr>
              <a:defRPr sz="1200" b="1"/>
            </a:pPr>
            <a:r>
              <a:rPr lang="en-US" sz="1200" b="1"/>
              <a:t>Height Capability (m)</a:t>
            </a:r>
          </a:p>
        </c:rich>
      </c:tx>
      <c:overlay val="0"/>
    </c:title>
    <c:autoTitleDeleted val="0"/>
    <c:plotArea>
      <c:layout/>
      <c:lineChart>
        <c:grouping val="standard"/>
        <c:varyColors val="0"/>
        <c:ser>
          <c:idx val="0"/>
          <c:order val="0"/>
          <c:tx>
            <c:strRef>
              <c:f>'Data'!$B$1</c:f>
              <c:strCache>
                <c:ptCount val="1"/>
                <c:pt idx="0">
                  <c:v>Insufficient</c:v>
                </c:pt>
              </c:strCache>
            </c:strRef>
          </c:tx>
          <c:spPr>
            <a:ln w="22000">
              <a:solidFill>
                <a:srgbClr val="1B474D"/>
              </a:solidFill>
            </a:ln>
          </c:spPr>
          <c:marker>
            <c:symbol val="none"/>
          </c:marker>
          <c:cat>
            <c:numRef>
              <c:f>'Data'!$A$2:$A$42</c:f>
              <c:numCache>
                <c:formatCode>General</c:formatCode>
                <c:ptCount val="41"/>
                <c:pt idx="0">
                  <c:v>0</c:v>
                </c:pt>
                <c:pt idx="1">
                  <c:v>20</c:v>
                </c:pt>
                <c:pt idx="2">
                  <c:v>40</c:v>
                </c:pt>
                <c:pt idx="3">
                  <c:v>60</c:v>
                </c:pt>
                <c:pt idx="4">
                  <c:v>80</c:v>
                </c:pt>
                <c:pt idx="5">
                  <c:v>100</c:v>
                </c:pt>
                <c:pt idx="6">
                  <c:v>120</c:v>
                </c:pt>
                <c:pt idx="7">
                  <c:v>140</c:v>
                </c:pt>
                <c:pt idx="8">
                  <c:v>160</c:v>
                </c:pt>
                <c:pt idx="9">
                  <c:v>180</c:v>
                </c:pt>
                <c:pt idx="10">
                  <c:v>200</c:v>
                </c:pt>
                <c:pt idx="11">
                  <c:v>220</c:v>
                </c:pt>
                <c:pt idx="12">
                  <c:v>240</c:v>
                </c:pt>
                <c:pt idx="13">
                  <c:v>260</c:v>
                </c:pt>
                <c:pt idx="14">
                  <c:v>280</c:v>
                </c:pt>
                <c:pt idx="15">
                  <c:v>300</c:v>
                </c:pt>
                <c:pt idx="16">
                  <c:v>320</c:v>
                </c:pt>
                <c:pt idx="17">
                  <c:v>340</c:v>
                </c:pt>
                <c:pt idx="18">
                  <c:v>360</c:v>
                </c:pt>
                <c:pt idx="19">
                  <c:v>380</c:v>
                </c:pt>
                <c:pt idx="20">
                  <c:v>400</c:v>
                </c:pt>
                <c:pt idx="21">
                  <c:v>420</c:v>
                </c:pt>
                <c:pt idx="22">
                  <c:v>440</c:v>
                </c:pt>
                <c:pt idx="23">
                  <c:v>460</c:v>
                </c:pt>
                <c:pt idx="24">
                  <c:v>480</c:v>
                </c:pt>
                <c:pt idx="25">
                  <c:v>500</c:v>
                </c:pt>
                <c:pt idx="26">
                  <c:v>520</c:v>
                </c:pt>
                <c:pt idx="27">
                  <c:v>540</c:v>
                </c:pt>
                <c:pt idx="28">
                  <c:v>560</c:v>
                </c:pt>
                <c:pt idx="29">
                  <c:v>580</c:v>
                </c:pt>
                <c:pt idx="30">
                  <c:v>600</c:v>
                </c:pt>
                <c:pt idx="31">
                  <c:v>620</c:v>
                </c:pt>
                <c:pt idx="32">
                  <c:v>640</c:v>
                </c:pt>
                <c:pt idx="33">
                  <c:v>660</c:v>
                </c:pt>
                <c:pt idx="34">
                  <c:v>680</c:v>
                </c:pt>
                <c:pt idx="35">
                  <c:v>700</c:v>
                </c:pt>
                <c:pt idx="36">
                  <c:v>720</c:v>
                </c:pt>
                <c:pt idx="37">
                  <c:v>740</c:v>
                </c:pt>
                <c:pt idx="38">
                  <c:v>760</c:v>
                </c:pt>
                <c:pt idx="39">
                  <c:v>780</c:v>
                </c:pt>
                <c:pt idx="40">
                  <c:v>800</c:v>
                </c:pt>
              </c:numCache>
            </c:numRef>
          </c:cat>
          <c:val>
            <c:numRef>
              <c:f>'Data'!$B$2:$B$42</c:f>
              <c:numCache>
                <c:formatCode>General</c:formatCode>
                <c:ptCount val="41"/>
                <c:pt idx="0">
                  <c:v>1</c:v>
                </c:pt>
                <c:pt idx="1">
                  <c:v>0.86699999999999999</c:v>
                </c:pt>
                <c:pt idx="2">
                  <c:v>0.73299999999999998</c:v>
                </c:pt>
                <c:pt idx="3">
                  <c:v>0.6</c:v>
                </c:pt>
                <c:pt idx="4">
                  <c:v>0.46700000000000003</c:v>
                </c:pt>
                <c:pt idx="5">
                  <c:v>0.33300000000000002</c:v>
                </c:pt>
                <c:pt idx="6">
                  <c:v>0.2</c:v>
                </c:pt>
                <c:pt idx="7">
                  <c:v>6.7000000000000004E-2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numCache>
            </c:numRef>
          </c:val>
          <c:smooth val="0"/>
          <c:extLst>
            <c:ext xmlns:c16="http://schemas.microsoft.com/office/drawing/2014/chart" uri="{C3380CC4-5D6E-409C-BE32-E72D297353CC}">
              <c16:uniqueId val="{00000000-B6D0-497A-8D17-C2513BF644D9}"/>
            </c:ext>
          </c:extLst>
        </c:ser>
        <c:ser>
          <c:idx val="1"/>
          <c:order val="1"/>
          <c:tx>
            <c:strRef>
              <c:f>'Data'!$C$1</c:f>
              <c:strCache>
                <c:ptCount val="1"/>
                <c:pt idx="0">
                  <c:v>Sufficient</c:v>
                </c:pt>
              </c:strCache>
            </c:strRef>
          </c:tx>
          <c:spPr>
            <a:ln w="22000">
              <a:solidFill>
                <a:srgbClr val="20808D"/>
              </a:solidFill>
            </a:ln>
          </c:spPr>
          <c:marker>
            <c:symbol val="none"/>
          </c:marker>
          <c:cat>
            <c:numRef>
              <c:f>'Data'!$A$2:$A$42</c:f>
              <c:numCache>
                <c:formatCode>General</c:formatCode>
                <c:ptCount val="41"/>
                <c:pt idx="0">
                  <c:v>0</c:v>
                </c:pt>
                <c:pt idx="1">
                  <c:v>20</c:v>
                </c:pt>
                <c:pt idx="2">
                  <c:v>40</c:v>
                </c:pt>
                <c:pt idx="3">
                  <c:v>60</c:v>
                </c:pt>
                <c:pt idx="4">
                  <c:v>80</c:v>
                </c:pt>
                <c:pt idx="5">
                  <c:v>100</c:v>
                </c:pt>
                <c:pt idx="6">
                  <c:v>120</c:v>
                </c:pt>
                <c:pt idx="7">
                  <c:v>140</c:v>
                </c:pt>
                <c:pt idx="8">
                  <c:v>160</c:v>
                </c:pt>
                <c:pt idx="9">
                  <c:v>180</c:v>
                </c:pt>
                <c:pt idx="10">
                  <c:v>200</c:v>
                </c:pt>
                <c:pt idx="11">
                  <c:v>220</c:v>
                </c:pt>
                <c:pt idx="12">
                  <c:v>240</c:v>
                </c:pt>
                <c:pt idx="13">
                  <c:v>260</c:v>
                </c:pt>
                <c:pt idx="14">
                  <c:v>280</c:v>
                </c:pt>
                <c:pt idx="15">
                  <c:v>300</c:v>
                </c:pt>
                <c:pt idx="16">
                  <c:v>320</c:v>
                </c:pt>
                <c:pt idx="17">
                  <c:v>340</c:v>
                </c:pt>
                <c:pt idx="18">
                  <c:v>360</c:v>
                </c:pt>
                <c:pt idx="19">
                  <c:v>380</c:v>
                </c:pt>
                <c:pt idx="20">
                  <c:v>400</c:v>
                </c:pt>
                <c:pt idx="21">
                  <c:v>420</c:v>
                </c:pt>
                <c:pt idx="22">
                  <c:v>440</c:v>
                </c:pt>
                <c:pt idx="23">
                  <c:v>460</c:v>
                </c:pt>
                <c:pt idx="24">
                  <c:v>480</c:v>
                </c:pt>
                <c:pt idx="25">
                  <c:v>500</c:v>
                </c:pt>
                <c:pt idx="26">
                  <c:v>520</c:v>
                </c:pt>
                <c:pt idx="27">
                  <c:v>540</c:v>
                </c:pt>
                <c:pt idx="28">
                  <c:v>560</c:v>
                </c:pt>
                <c:pt idx="29">
                  <c:v>580</c:v>
                </c:pt>
                <c:pt idx="30">
                  <c:v>600</c:v>
                </c:pt>
                <c:pt idx="31">
                  <c:v>620</c:v>
                </c:pt>
                <c:pt idx="32">
                  <c:v>640</c:v>
                </c:pt>
                <c:pt idx="33">
                  <c:v>660</c:v>
                </c:pt>
                <c:pt idx="34">
                  <c:v>680</c:v>
                </c:pt>
                <c:pt idx="35">
                  <c:v>700</c:v>
                </c:pt>
                <c:pt idx="36">
                  <c:v>720</c:v>
                </c:pt>
                <c:pt idx="37">
                  <c:v>740</c:v>
                </c:pt>
                <c:pt idx="38">
                  <c:v>760</c:v>
                </c:pt>
                <c:pt idx="39">
                  <c:v>780</c:v>
                </c:pt>
                <c:pt idx="40">
                  <c:v>800</c:v>
                </c:pt>
              </c:numCache>
            </c:numRef>
          </c:cat>
          <c:val>
            <c:numRef>
              <c:f>'Data'!$C$2:$C$42</c:f>
              <c:numCache>
                <c:formatCode>General</c:formatCode>
                <c:ptCount val="41"/>
                <c:pt idx="0">
                  <c:v>0</c:v>
                </c:pt>
                <c:pt idx="1">
                  <c:v>0</c:v>
                </c:pt>
                <c:pt idx="2">
                  <c:v>0</c:v>
                </c:pt>
                <c:pt idx="3">
                  <c:v>0</c:v>
                </c:pt>
                <c:pt idx="4">
                  <c:v>0</c:v>
                </c:pt>
                <c:pt idx="5">
                  <c:v>0</c:v>
                </c:pt>
                <c:pt idx="6">
                  <c:v>0.13300000000000001</c:v>
                </c:pt>
                <c:pt idx="7">
                  <c:v>0.26700000000000002</c:v>
                </c:pt>
                <c:pt idx="8">
                  <c:v>0.4</c:v>
                </c:pt>
                <c:pt idx="9">
                  <c:v>0.53300000000000003</c:v>
                </c:pt>
                <c:pt idx="10">
                  <c:v>0.66700000000000004</c:v>
                </c:pt>
                <c:pt idx="11">
                  <c:v>0.8</c:v>
                </c:pt>
                <c:pt idx="12">
                  <c:v>0.93300000000000005</c:v>
                </c:pt>
                <c:pt idx="13">
                  <c:v>0.95</c:v>
                </c:pt>
                <c:pt idx="14">
                  <c:v>0.85</c:v>
                </c:pt>
                <c:pt idx="15">
                  <c:v>0.75</c:v>
                </c:pt>
                <c:pt idx="16">
                  <c:v>0.65</c:v>
                </c:pt>
                <c:pt idx="17">
                  <c:v>0.55000000000000004</c:v>
                </c:pt>
                <c:pt idx="18">
                  <c:v>0.45</c:v>
                </c:pt>
                <c:pt idx="19">
                  <c:v>0.35</c:v>
                </c:pt>
                <c:pt idx="20">
                  <c:v>0.25</c:v>
                </c:pt>
                <c:pt idx="21">
                  <c:v>0.15</c:v>
                </c:pt>
                <c:pt idx="22">
                  <c:v>0.05</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numCache>
            </c:numRef>
          </c:val>
          <c:smooth val="0"/>
          <c:extLst>
            <c:ext xmlns:c16="http://schemas.microsoft.com/office/drawing/2014/chart" uri="{C3380CC4-5D6E-409C-BE32-E72D297353CC}">
              <c16:uniqueId val="{00000001-B6D0-497A-8D17-C2513BF644D9}"/>
            </c:ext>
          </c:extLst>
        </c:ser>
        <c:ser>
          <c:idx val="2"/>
          <c:order val="2"/>
          <c:tx>
            <c:strRef>
              <c:f>'Data'!$D$1</c:f>
              <c:strCache>
                <c:ptCount val="1"/>
                <c:pt idx="0">
                  <c:v>Optimal</c:v>
                </c:pt>
              </c:strCache>
            </c:strRef>
          </c:tx>
          <c:spPr>
            <a:ln w="22000">
              <a:solidFill>
                <a:srgbClr val="A84B2F"/>
              </a:solidFill>
            </a:ln>
          </c:spPr>
          <c:marker>
            <c:symbol val="none"/>
          </c:marker>
          <c:cat>
            <c:numRef>
              <c:f>'Data'!$A$2:$A$42</c:f>
              <c:numCache>
                <c:formatCode>General</c:formatCode>
                <c:ptCount val="41"/>
                <c:pt idx="0">
                  <c:v>0</c:v>
                </c:pt>
                <c:pt idx="1">
                  <c:v>20</c:v>
                </c:pt>
                <c:pt idx="2">
                  <c:v>40</c:v>
                </c:pt>
                <c:pt idx="3">
                  <c:v>60</c:v>
                </c:pt>
                <c:pt idx="4">
                  <c:v>80</c:v>
                </c:pt>
                <c:pt idx="5">
                  <c:v>100</c:v>
                </c:pt>
                <c:pt idx="6">
                  <c:v>120</c:v>
                </c:pt>
                <c:pt idx="7">
                  <c:v>140</c:v>
                </c:pt>
                <c:pt idx="8">
                  <c:v>160</c:v>
                </c:pt>
                <c:pt idx="9">
                  <c:v>180</c:v>
                </c:pt>
                <c:pt idx="10">
                  <c:v>200</c:v>
                </c:pt>
                <c:pt idx="11">
                  <c:v>220</c:v>
                </c:pt>
                <c:pt idx="12">
                  <c:v>240</c:v>
                </c:pt>
                <c:pt idx="13">
                  <c:v>260</c:v>
                </c:pt>
                <c:pt idx="14">
                  <c:v>280</c:v>
                </c:pt>
                <c:pt idx="15">
                  <c:v>300</c:v>
                </c:pt>
                <c:pt idx="16">
                  <c:v>320</c:v>
                </c:pt>
                <c:pt idx="17">
                  <c:v>340</c:v>
                </c:pt>
                <c:pt idx="18">
                  <c:v>360</c:v>
                </c:pt>
                <c:pt idx="19">
                  <c:v>380</c:v>
                </c:pt>
                <c:pt idx="20">
                  <c:v>400</c:v>
                </c:pt>
                <c:pt idx="21">
                  <c:v>420</c:v>
                </c:pt>
                <c:pt idx="22">
                  <c:v>440</c:v>
                </c:pt>
                <c:pt idx="23">
                  <c:v>460</c:v>
                </c:pt>
                <c:pt idx="24">
                  <c:v>480</c:v>
                </c:pt>
                <c:pt idx="25">
                  <c:v>500</c:v>
                </c:pt>
                <c:pt idx="26">
                  <c:v>520</c:v>
                </c:pt>
                <c:pt idx="27">
                  <c:v>540</c:v>
                </c:pt>
                <c:pt idx="28">
                  <c:v>560</c:v>
                </c:pt>
                <c:pt idx="29">
                  <c:v>580</c:v>
                </c:pt>
                <c:pt idx="30">
                  <c:v>600</c:v>
                </c:pt>
                <c:pt idx="31">
                  <c:v>620</c:v>
                </c:pt>
                <c:pt idx="32">
                  <c:v>640</c:v>
                </c:pt>
                <c:pt idx="33">
                  <c:v>660</c:v>
                </c:pt>
                <c:pt idx="34">
                  <c:v>680</c:v>
                </c:pt>
                <c:pt idx="35">
                  <c:v>700</c:v>
                </c:pt>
                <c:pt idx="36">
                  <c:v>720</c:v>
                </c:pt>
                <c:pt idx="37">
                  <c:v>740</c:v>
                </c:pt>
                <c:pt idx="38">
                  <c:v>760</c:v>
                </c:pt>
                <c:pt idx="39">
                  <c:v>780</c:v>
                </c:pt>
                <c:pt idx="40">
                  <c:v>800</c:v>
                </c:pt>
              </c:numCache>
            </c:numRef>
          </c:cat>
          <c:val>
            <c:numRef>
              <c:f>'Data'!$D$2:$D$42</c:f>
              <c:numCache>
                <c:formatCode>General</c:formatCode>
                <c:ptCount val="4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2.1999999999999999E-2</c:v>
                </c:pt>
                <c:pt idx="19">
                  <c:v>6.7000000000000004E-2</c:v>
                </c:pt>
                <c:pt idx="20">
                  <c:v>0.111</c:v>
                </c:pt>
                <c:pt idx="21">
                  <c:v>0.156</c:v>
                </c:pt>
                <c:pt idx="22">
                  <c:v>0.2</c:v>
                </c:pt>
                <c:pt idx="23">
                  <c:v>0.24399999999999999</c:v>
                </c:pt>
                <c:pt idx="24">
                  <c:v>0.28899999999999998</c:v>
                </c:pt>
                <c:pt idx="25">
                  <c:v>0.33300000000000002</c:v>
                </c:pt>
                <c:pt idx="26">
                  <c:v>0.378</c:v>
                </c:pt>
                <c:pt idx="27">
                  <c:v>0.42199999999999999</c:v>
                </c:pt>
                <c:pt idx="28">
                  <c:v>0.46700000000000003</c:v>
                </c:pt>
                <c:pt idx="29">
                  <c:v>0.51100000000000001</c:v>
                </c:pt>
                <c:pt idx="30">
                  <c:v>0.55600000000000005</c:v>
                </c:pt>
                <c:pt idx="31">
                  <c:v>0.6</c:v>
                </c:pt>
                <c:pt idx="32">
                  <c:v>0.64400000000000002</c:v>
                </c:pt>
                <c:pt idx="33">
                  <c:v>0.68899999999999995</c:v>
                </c:pt>
                <c:pt idx="34">
                  <c:v>0.73299999999999998</c:v>
                </c:pt>
                <c:pt idx="35">
                  <c:v>0.77800000000000002</c:v>
                </c:pt>
                <c:pt idx="36">
                  <c:v>0.82199999999999995</c:v>
                </c:pt>
                <c:pt idx="37">
                  <c:v>0.86699999999999999</c:v>
                </c:pt>
                <c:pt idx="38">
                  <c:v>0.91100000000000003</c:v>
                </c:pt>
                <c:pt idx="39">
                  <c:v>0.95599999999999996</c:v>
                </c:pt>
                <c:pt idx="40">
                  <c:v>1</c:v>
                </c:pt>
              </c:numCache>
            </c:numRef>
          </c:val>
          <c:smooth val="0"/>
          <c:extLst>
            <c:ext xmlns:c16="http://schemas.microsoft.com/office/drawing/2014/chart" uri="{C3380CC4-5D6E-409C-BE32-E72D297353CC}">
              <c16:uniqueId val="{00000002-B6D0-497A-8D17-C2513BF644D9}"/>
            </c:ext>
          </c:extLst>
        </c:ser>
        <c:dLbls>
          <c:showLegendKey val="0"/>
          <c:showVal val="0"/>
          <c:showCatName val="0"/>
          <c:showSerName val="0"/>
          <c:showPercent val="0"/>
          <c:showBubbleSize val="0"/>
        </c:dLbls>
        <c:smooth val="0"/>
        <c:axId val="111111111"/>
        <c:axId val="222222222"/>
      </c:lineChart>
      <c:valAx>
        <c:axId val="111111111"/>
        <c:scaling>
          <c:orientation val="minMax"/>
        </c:scaling>
        <c:delete val="0"/>
        <c:axPos val="b"/>
        <c:numFmt formatCode="General" sourceLinked="0"/>
        <c:majorTickMark val="cross"/>
        <c:minorTickMark val="cross"/>
        <c:tickLblPos val="nextTo"/>
        <c:txPr>
          <a:bodyPr/>
          <a:lstStyle/>
          <a:p>
            <a:pPr>
              <a:defRPr sz="800"/>
            </a:pPr>
            <a:endParaRPr lang="en-US"/>
          </a:p>
        </c:txPr>
        <c:crossAx val="222222222"/>
        <c:crosses val="autoZero"/>
        <c:crossBetween val="midCat"/>
      </c:valAx>
      <c:valAx>
        <c:axId val="222222222"/>
        <c:scaling>
          <c:orientation val="minMax"/>
        </c:scaling>
        <c:delete val="0"/>
        <c:axPos val="l"/>
        <c:majorGridlines/>
        <c:title>
          <c:tx>
            <c:rich>
              <a:bodyPr rot="-5400000" vert="horz"/>
              <a:lstStyle/>
              <a:p>
                <a:pPr>
                  <a:defRPr sz="900" b="1"/>
                </a:pPr>
                <a:r>
                  <a:rPr lang="en-US" sz="900" b="1"/>
                  <a:t>μ</a:t>
                </a:r>
              </a:p>
            </c:rich>
          </c:tx>
          <c:overlay val="0"/>
        </c:title>
        <c:numFmt formatCode="General" sourceLinked="0"/>
        <c:majorTickMark val="cross"/>
        <c:minorTickMark val="cross"/>
        <c:tickLblPos val="nextTo"/>
        <c:txPr>
          <a:bodyPr/>
          <a:lstStyle/>
          <a:p>
            <a:pPr>
              <a:defRPr sz="800"/>
            </a:pPr>
            <a:endParaRPr lang="en-US"/>
          </a:p>
        </c:txPr>
        <c:crossAx val="111111111"/>
        <c:crosses val="autoZero"/>
        <c:crossBetween val="midCat"/>
      </c:valAx>
    </c:plotArea>
    <c:legend>
      <c:legendPos val="b"/>
      <c:overlay val="0"/>
    </c:legend>
    <c:plotVisOnly val="1"/>
    <c:dispBlanksAs val="zero"/>
    <c:showDLblsOverMax val="1"/>
  </c:char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tx>
        <c:rich>
          <a:bodyPr/>
          <a:lstStyle/>
          <a:p>
            <a:pPr>
              <a:defRPr sz="1200" b="1"/>
            </a:pPr>
            <a:r>
              <a:rPr lang="en-US" sz="1200" b="1"/>
              <a:t>Ease of Installation (rating 1-10)</a:t>
            </a:r>
          </a:p>
        </c:rich>
      </c:tx>
      <c:overlay val="0"/>
    </c:title>
    <c:autoTitleDeleted val="0"/>
    <c:plotArea>
      <c:layout/>
      <c:lineChart>
        <c:grouping val="standard"/>
        <c:varyColors val="0"/>
        <c:ser>
          <c:idx val="0"/>
          <c:order val="0"/>
          <c:tx>
            <c:strRef>
              <c:f>'Data'!$B$1</c:f>
              <c:strCache>
                <c:ptCount val="1"/>
                <c:pt idx="0">
                  <c:v>Difficult</c:v>
                </c:pt>
              </c:strCache>
            </c:strRef>
          </c:tx>
          <c:spPr>
            <a:ln w="22000">
              <a:solidFill>
                <a:srgbClr val="1B474D"/>
              </a:solidFill>
            </a:ln>
          </c:spPr>
          <c:marker>
            <c:symbol val="none"/>
          </c:marker>
          <c:cat>
            <c:numRef>
              <c:f>'Data'!$A$2:$A$42</c:f>
              <c:numCache>
                <c:formatCode>General</c:formatCode>
                <c:ptCount val="41"/>
                <c:pt idx="0">
                  <c:v>1</c:v>
                </c:pt>
                <c:pt idx="1">
                  <c:v>1.2250000000000001</c:v>
                </c:pt>
                <c:pt idx="2">
                  <c:v>1.45</c:v>
                </c:pt>
                <c:pt idx="3">
                  <c:v>1.675</c:v>
                </c:pt>
                <c:pt idx="4">
                  <c:v>1.9</c:v>
                </c:pt>
                <c:pt idx="5">
                  <c:v>2.125</c:v>
                </c:pt>
                <c:pt idx="6">
                  <c:v>2.35</c:v>
                </c:pt>
                <c:pt idx="7">
                  <c:v>2.5750000000000002</c:v>
                </c:pt>
                <c:pt idx="8">
                  <c:v>2.8</c:v>
                </c:pt>
                <c:pt idx="9">
                  <c:v>3.0249999999999999</c:v>
                </c:pt>
                <c:pt idx="10">
                  <c:v>3.25</c:v>
                </c:pt>
                <c:pt idx="11">
                  <c:v>3.4750000000000001</c:v>
                </c:pt>
                <c:pt idx="12">
                  <c:v>3.7</c:v>
                </c:pt>
                <c:pt idx="13">
                  <c:v>3.9250000000000003</c:v>
                </c:pt>
                <c:pt idx="14">
                  <c:v>4.1500000000000004</c:v>
                </c:pt>
                <c:pt idx="15">
                  <c:v>4.375</c:v>
                </c:pt>
                <c:pt idx="16">
                  <c:v>4.5999999999999996</c:v>
                </c:pt>
                <c:pt idx="17">
                  <c:v>4.8250000000000002</c:v>
                </c:pt>
                <c:pt idx="18">
                  <c:v>5.05</c:v>
                </c:pt>
                <c:pt idx="19">
                  <c:v>5.2750000000000004</c:v>
                </c:pt>
                <c:pt idx="20">
                  <c:v>5.5</c:v>
                </c:pt>
                <c:pt idx="21">
                  <c:v>5.7250000000000005</c:v>
                </c:pt>
                <c:pt idx="22">
                  <c:v>5.95</c:v>
                </c:pt>
                <c:pt idx="23">
                  <c:v>6.1749999999999998</c:v>
                </c:pt>
                <c:pt idx="24">
                  <c:v>6.4</c:v>
                </c:pt>
                <c:pt idx="25">
                  <c:v>6.625</c:v>
                </c:pt>
                <c:pt idx="26">
                  <c:v>6.8500000000000005</c:v>
                </c:pt>
                <c:pt idx="27">
                  <c:v>7.0750000000000002</c:v>
                </c:pt>
                <c:pt idx="28">
                  <c:v>7.3</c:v>
                </c:pt>
                <c:pt idx="29">
                  <c:v>7.5250000000000004</c:v>
                </c:pt>
                <c:pt idx="30">
                  <c:v>7.75</c:v>
                </c:pt>
                <c:pt idx="31">
                  <c:v>7.9750000000000005</c:v>
                </c:pt>
                <c:pt idx="32">
                  <c:v>8.1999999999999993</c:v>
                </c:pt>
                <c:pt idx="33">
                  <c:v>8.4250000000000007</c:v>
                </c:pt>
                <c:pt idx="34">
                  <c:v>8.65</c:v>
                </c:pt>
                <c:pt idx="35">
                  <c:v>8.875</c:v>
                </c:pt>
                <c:pt idx="36">
                  <c:v>9.1</c:v>
                </c:pt>
                <c:pt idx="37">
                  <c:v>9.3250000000000011</c:v>
                </c:pt>
                <c:pt idx="38">
                  <c:v>9.5500000000000007</c:v>
                </c:pt>
                <c:pt idx="39">
                  <c:v>9.7750000000000004</c:v>
                </c:pt>
                <c:pt idx="40">
                  <c:v>10</c:v>
                </c:pt>
              </c:numCache>
            </c:numRef>
          </c:cat>
          <c:val>
            <c:numRef>
              <c:f>'Data'!$B$2:$B$42</c:f>
              <c:numCache>
                <c:formatCode>General</c:formatCode>
                <c:ptCount val="41"/>
                <c:pt idx="0">
                  <c:v>1</c:v>
                </c:pt>
                <c:pt idx="1">
                  <c:v>0.94399999999999995</c:v>
                </c:pt>
                <c:pt idx="2">
                  <c:v>0.88700000000000001</c:v>
                </c:pt>
                <c:pt idx="3">
                  <c:v>0.83099999999999996</c:v>
                </c:pt>
                <c:pt idx="4">
                  <c:v>0.77500000000000002</c:v>
                </c:pt>
                <c:pt idx="5">
                  <c:v>0.71899999999999997</c:v>
                </c:pt>
                <c:pt idx="6">
                  <c:v>0.66200000000000003</c:v>
                </c:pt>
                <c:pt idx="7">
                  <c:v>0.60599999999999998</c:v>
                </c:pt>
                <c:pt idx="8">
                  <c:v>0.55000000000000004</c:v>
                </c:pt>
                <c:pt idx="9">
                  <c:v>0.49399999999999999</c:v>
                </c:pt>
                <c:pt idx="10">
                  <c:v>0.438</c:v>
                </c:pt>
                <c:pt idx="11">
                  <c:v>0.38100000000000001</c:v>
                </c:pt>
                <c:pt idx="12">
                  <c:v>0.32500000000000001</c:v>
                </c:pt>
                <c:pt idx="13">
                  <c:v>0.26900000000000002</c:v>
                </c:pt>
                <c:pt idx="14">
                  <c:v>0.21199999999999999</c:v>
                </c:pt>
                <c:pt idx="15">
                  <c:v>0.156</c:v>
                </c:pt>
                <c:pt idx="16">
                  <c:v>0.1</c:v>
                </c:pt>
                <c:pt idx="17">
                  <c:v>4.3999999999999997E-2</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numCache>
            </c:numRef>
          </c:val>
          <c:smooth val="0"/>
          <c:extLst>
            <c:ext xmlns:c16="http://schemas.microsoft.com/office/drawing/2014/chart" uri="{C3380CC4-5D6E-409C-BE32-E72D297353CC}">
              <c16:uniqueId val="{00000000-D88C-48B5-A0CD-17C81AFB8512}"/>
            </c:ext>
          </c:extLst>
        </c:ser>
        <c:ser>
          <c:idx val="1"/>
          <c:order val="1"/>
          <c:tx>
            <c:strRef>
              <c:f>'Data'!$C$1</c:f>
              <c:strCache>
                <c:ptCount val="1"/>
                <c:pt idx="0">
                  <c:v>Moderate</c:v>
                </c:pt>
              </c:strCache>
            </c:strRef>
          </c:tx>
          <c:spPr>
            <a:ln w="22000">
              <a:solidFill>
                <a:srgbClr val="20808D"/>
              </a:solidFill>
            </a:ln>
          </c:spPr>
          <c:marker>
            <c:symbol val="none"/>
          </c:marker>
          <c:cat>
            <c:numRef>
              <c:f>'Data'!$A$2:$A$42</c:f>
              <c:numCache>
                <c:formatCode>General</c:formatCode>
                <c:ptCount val="41"/>
                <c:pt idx="0">
                  <c:v>1</c:v>
                </c:pt>
                <c:pt idx="1">
                  <c:v>1.2250000000000001</c:v>
                </c:pt>
                <c:pt idx="2">
                  <c:v>1.45</c:v>
                </c:pt>
                <c:pt idx="3">
                  <c:v>1.675</c:v>
                </c:pt>
                <c:pt idx="4">
                  <c:v>1.9</c:v>
                </c:pt>
                <c:pt idx="5">
                  <c:v>2.125</c:v>
                </c:pt>
                <c:pt idx="6">
                  <c:v>2.35</c:v>
                </c:pt>
                <c:pt idx="7">
                  <c:v>2.5750000000000002</c:v>
                </c:pt>
                <c:pt idx="8">
                  <c:v>2.8</c:v>
                </c:pt>
                <c:pt idx="9">
                  <c:v>3.0249999999999999</c:v>
                </c:pt>
                <c:pt idx="10">
                  <c:v>3.25</c:v>
                </c:pt>
                <c:pt idx="11">
                  <c:v>3.4750000000000001</c:v>
                </c:pt>
                <c:pt idx="12">
                  <c:v>3.7</c:v>
                </c:pt>
                <c:pt idx="13">
                  <c:v>3.9250000000000003</c:v>
                </c:pt>
                <c:pt idx="14">
                  <c:v>4.1500000000000004</c:v>
                </c:pt>
                <c:pt idx="15">
                  <c:v>4.375</c:v>
                </c:pt>
                <c:pt idx="16">
                  <c:v>4.5999999999999996</c:v>
                </c:pt>
                <c:pt idx="17">
                  <c:v>4.8250000000000002</c:v>
                </c:pt>
                <c:pt idx="18">
                  <c:v>5.05</c:v>
                </c:pt>
                <c:pt idx="19">
                  <c:v>5.2750000000000004</c:v>
                </c:pt>
                <c:pt idx="20">
                  <c:v>5.5</c:v>
                </c:pt>
                <c:pt idx="21">
                  <c:v>5.7250000000000005</c:v>
                </c:pt>
                <c:pt idx="22">
                  <c:v>5.95</c:v>
                </c:pt>
                <c:pt idx="23">
                  <c:v>6.1749999999999998</c:v>
                </c:pt>
                <c:pt idx="24">
                  <c:v>6.4</c:v>
                </c:pt>
                <c:pt idx="25">
                  <c:v>6.625</c:v>
                </c:pt>
                <c:pt idx="26">
                  <c:v>6.8500000000000005</c:v>
                </c:pt>
                <c:pt idx="27">
                  <c:v>7.0750000000000002</c:v>
                </c:pt>
                <c:pt idx="28">
                  <c:v>7.3</c:v>
                </c:pt>
                <c:pt idx="29">
                  <c:v>7.5250000000000004</c:v>
                </c:pt>
                <c:pt idx="30">
                  <c:v>7.75</c:v>
                </c:pt>
                <c:pt idx="31">
                  <c:v>7.9750000000000005</c:v>
                </c:pt>
                <c:pt idx="32">
                  <c:v>8.1999999999999993</c:v>
                </c:pt>
                <c:pt idx="33">
                  <c:v>8.4250000000000007</c:v>
                </c:pt>
                <c:pt idx="34">
                  <c:v>8.65</c:v>
                </c:pt>
                <c:pt idx="35">
                  <c:v>8.875</c:v>
                </c:pt>
                <c:pt idx="36">
                  <c:v>9.1</c:v>
                </c:pt>
                <c:pt idx="37">
                  <c:v>9.3250000000000011</c:v>
                </c:pt>
                <c:pt idx="38">
                  <c:v>9.5500000000000007</c:v>
                </c:pt>
                <c:pt idx="39">
                  <c:v>9.7750000000000004</c:v>
                </c:pt>
                <c:pt idx="40">
                  <c:v>10</c:v>
                </c:pt>
              </c:numCache>
            </c:numRef>
          </c:cat>
          <c:val>
            <c:numRef>
              <c:f>'Data'!$C$2:$C$42</c:f>
              <c:numCache>
                <c:formatCode>General</c:formatCode>
                <c:ptCount val="41"/>
                <c:pt idx="0">
                  <c:v>0</c:v>
                </c:pt>
                <c:pt idx="1">
                  <c:v>0</c:v>
                </c:pt>
                <c:pt idx="2">
                  <c:v>0</c:v>
                </c:pt>
                <c:pt idx="3">
                  <c:v>0</c:v>
                </c:pt>
                <c:pt idx="4">
                  <c:v>0</c:v>
                </c:pt>
                <c:pt idx="5">
                  <c:v>0</c:v>
                </c:pt>
                <c:pt idx="6">
                  <c:v>0</c:v>
                </c:pt>
                <c:pt idx="7">
                  <c:v>0</c:v>
                </c:pt>
                <c:pt idx="8">
                  <c:v>0</c:v>
                </c:pt>
                <c:pt idx="9">
                  <c:v>0.01</c:v>
                </c:pt>
                <c:pt idx="10">
                  <c:v>0.1</c:v>
                </c:pt>
                <c:pt idx="11">
                  <c:v>0.19</c:v>
                </c:pt>
                <c:pt idx="12">
                  <c:v>0.28000000000000003</c:v>
                </c:pt>
                <c:pt idx="13">
                  <c:v>0.37</c:v>
                </c:pt>
                <c:pt idx="14">
                  <c:v>0.46</c:v>
                </c:pt>
                <c:pt idx="15">
                  <c:v>0.55000000000000004</c:v>
                </c:pt>
                <c:pt idx="16">
                  <c:v>0.64</c:v>
                </c:pt>
                <c:pt idx="17">
                  <c:v>0.73</c:v>
                </c:pt>
                <c:pt idx="18">
                  <c:v>0.82</c:v>
                </c:pt>
                <c:pt idx="19">
                  <c:v>0.91</c:v>
                </c:pt>
                <c:pt idx="20">
                  <c:v>1</c:v>
                </c:pt>
                <c:pt idx="21">
                  <c:v>0.91</c:v>
                </c:pt>
                <c:pt idx="22">
                  <c:v>0.82</c:v>
                </c:pt>
                <c:pt idx="23">
                  <c:v>0.73</c:v>
                </c:pt>
                <c:pt idx="24">
                  <c:v>0.64</c:v>
                </c:pt>
                <c:pt idx="25">
                  <c:v>0.55000000000000004</c:v>
                </c:pt>
                <c:pt idx="26">
                  <c:v>0.46</c:v>
                </c:pt>
                <c:pt idx="27">
                  <c:v>0.37</c:v>
                </c:pt>
                <c:pt idx="28">
                  <c:v>0.28000000000000003</c:v>
                </c:pt>
                <c:pt idx="29">
                  <c:v>0.19</c:v>
                </c:pt>
                <c:pt idx="30">
                  <c:v>0.1</c:v>
                </c:pt>
                <c:pt idx="31">
                  <c:v>0.01</c:v>
                </c:pt>
                <c:pt idx="32">
                  <c:v>0</c:v>
                </c:pt>
                <c:pt idx="33">
                  <c:v>0</c:v>
                </c:pt>
                <c:pt idx="34">
                  <c:v>0</c:v>
                </c:pt>
                <c:pt idx="35">
                  <c:v>0</c:v>
                </c:pt>
                <c:pt idx="36">
                  <c:v>0</c:v>
                </c:pt>
                <c:pt idx="37">
                  <c:v>0</c:v>
                </c:pt>
                <c:pt idx="38">
                  <c:v>0</c:v>
                </c:pt>
                <c:pt idx="39">
                  <c:v>0</c:v>
                </c:pt>
                <c:pt idx="40">
                  <c:v>0</c:v>
                </c:pt>
              </c:numCache>
            </c:numRef>
          </c:val>
          <c:smooth val="0"/>
          <c:extLst>
            <c:ext xmlns:c16="http://schemas.microsoft.com/office/drawing/2014/chart" uri="{C3380CC4-5D6E-409C-BE32-E72D297353CC}">
              <c16:uniqueId val="{00000001-D88C-48B5-A0CD-17C81AFB8512}"/>
            </c:ext>
          </c:extLst>
        </c:ser>
        <c:ser>
          <c:idx val="2"/>
          <c:order val="2"/>
          <c:tx>
            <c:strRef>
              <c:f>'Data'!$D$1</c:f>
              <c:strCache>
                <c:ptCount val="1"/>
                <c:pt idx="0">
                  <c:v>Easy</c:v>
                </c:pt>
              </c:strCache>
            </c:strRef>
          </c:tx>
          <c:spPr>
            <a:ln w="22000">
              <a:solidFill>
                <a:srgbClr val="A84B2F"/>
              </a:solidFill>
            </a:ln>
          </c:spPr>
          <c:marker>
            <c:symbol val="none"/>
          </c:marker>
          <c:cat>
            <c:numRef>
              <c:f>'Data'!$A$2:$A$42</c:f>
              <c:numCache>
                <c:formatCode>General</c:formatCode>
                <c:ptCount val="41"/>
                <c:pt idx="0">
                  <c:v>1</c:v>
                </c:pt>
                <c:pt idx="1">
                  <c:v>1.2250000000000001</c:v>
                </c:pt>
                <c:pt idx="2">
                  <c:v>1.45</c:v>
                </c:pt>
                <c:pt idx="3">
                  <c:v>1.675</c:v>
                </c:pt>
                <c:pt idx="4">
                  <c:v>1.9</c:v>
                </c:pt>
                <c:pt idx="5">
                  <c:v>2.125</c:v>
                </c:pt>
                <c:pt idx="6">
                  <c:v>2.35</c:v>
                </c:pt>
                <c:pt idx="7">
                  <c:v>2.5750000000000002</c:v>
                </c:pt>
                <c:pt idx="8">
                  <c:v>2.8</c:v>
                </c:pt>
                <c:pt idx="9">
                  <c:v>3.0249999999999999</c:v>
                </c:pt>
                <c:pt idx="10">
                  <c:v>3.25</c:v>
                </c:pt>
                <c:pt idx="11">
                  <c:v>3.4750000000000001</c:v>
                </c:pt>
                <c:pt idx="12">
                  <c:v>3.7</c:v>
                </c:pt>
                <c:pt idx="13">
                  <c:v>3.9250000000000003</c:v>
                </c:pt>
                <c:pt idx="14">
                  <c:v>4.1500000000000004</c:v>
                </c:pt>
                <c:pt idx="15">
                  <c:v>4.375</c:v>
                </c:pt>
                <c:pt idx="16">
                  <c:v>4.5999999999999996</c:v>
                </c:pt>
                <c:pt idx="17">
                  <c:v>4.8250000000000002</c:v>
                </c:pt>
                <c:pt idx="18">
                  <c:v>5.05</c:v>
                </c:pt>
                <c:pt idx="19">
                  <c:v>5.2750000000000004</c:v>
                </c:pt>
                <c:pt idx="20">
                  <c:v>5.5</c:v>
                </c:pt>
                <c:pt idx="21">
                  <c:v>5.7250000000000005</c:v>
                </c:pt>
                <c:pt idx="22">
                  <c:v>5.95</c:v>
                </c:pt>
                <c:pt idx="23">
                  <c:v>6.1749999999999998</c:v>
                </c:pt>
                <c:pt idx="24">
                  <c:v>6.4</c:v>
                </c:pt>
                <c:pt idx="25">
                  <c:v>6.625</c:v>
                </c:pt>
                <c:pt idx="26">
                  <c:v>6.8500000000000005</c:v>
                </c:pt>
                <c:pt idx="27">
                  <c:v>7.0750000000000002</c:v>
                </c:pt>
                <c:pt idx="28">
                  <c:v>7.3</c:v>
                </c:pt>
                <c:pt idx="29">
                  <c:v>7.5250000000000004</c:v>
                </c:pt>
                <c:pt idx="30">
                  <c:v>7.75</c:v>
                </c:pt>
                <c:pt idx="31">
                  <c:v>7.9750000000000005</c:v>
                </c:pt>
                <c:pt idx="32">
                  <c:v>8.1999999999999993</c:v>
                </c:pt>
                <c:pt idx="33">
                  <c:v>8.4250000000000007</c:v>
                </c:pt>
                <c:pt idx="34">
                  <c:v>8.65</c:v>
                </c:pt>
                <c:pt idx="35">
                  <c:v>8.875</c:v>
                </c:pt>
                <c:pt idx="36">
                  <c:v>9.1</c:v>
                </c:pt>
                <c:pt idx="37">
                  <c:v>9.3250000000000011</c:v>
                </c:pt>
                <c:pt idx="38">
                  <c:v>9.5500000000000007</c:v>
                </c:pt>
                <c:pt idx="39">
                  <c:v>9.7750000000000004</c:v>
                </c:pt>
                <c:pt idx="40">
                  <c:v>10</c:v>
                </c:pt>
              </c:numCache>
            </c:numRef>
          </c:cat>
          <c:val>
            <c:numRef>
              <c:f>'Data'!$D$2:$D$42</c:f>
              <c:numCache>
                <c:formatCode>General</c:formatCode>
                <c:ptCount val="4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4.3999999999999997E-2</c:v>
                </c:pt>
                <c:pt idx="24">
                  <c:v>0.1</c:v>
                </c:pt>
                <c:pt idx="25">
                  <c:v>0.156</c:v>
                </c:pt>
                <c:pt idx="26">
                  <c:v>0.21299999999999999</c:v>
                </c:pt>
                <c:pt idx="27">
                  <c:v>0.26900000000000002</c:v>
                </c:pt>
                <c:pt idx="28">
                  <c:v>0.32500000000000001</c:v>
                </c:pt>
                <c:pt idx="29">
                  <c:v>0.38100000000000001</c:v>
                </c:pt>
                <c:pt idx="30">
                  <c:v>0.438</c:v>
                </c:pt>
                <c:pt idx="31">
                  <c:v>0.49399999999999999</c:v>
                </c:pt>
                <c:pt idx="32">
                  <c:v>0.55000000000000004</c:v>
                </c:pt>
                <c:pt idx="33">
                  <c:v>0.60599999999999998</c:v>
                </c:pt>
                <c:pt idx="34">
                  <c:v>0.66300000000000003</c:v>
                </c:pt>
                <c:pt idx="35">
                  <c:v>0.71899999999999997</c:v>
                </c:pt>
                <c:pt idx="36">
                  <c:v>0.77500000000000002</c:v>
                </c:pt>
                <c:pt idx="37">
                  <c:v>0.83099999999999996</c:v>
                </c:pt>
                <c:pt idx="38">
                  <c:v>0.88800000000000001</c:v>
                </c:pt>
                <c:pt idx="39">
                  <c:v>0.94399999999999995</c:v>
                </c:pt>
                <c:pt idx="40">
                  <c:v>1</c:v>
                </c:pt>
              </c:numCache>
            </c:numRef>
          </c:val>
          <c:smooth val="0"/>
          <c:extLst>
            <c:ext xmlns:c16="http://schemas.microsoft.com/office/drawing/2014/chart" uri="{C3380CC4-5D6E-409C-BE32-E72D297353CC}">
              <c16:uniqueId val="{00000002-D88C-48B5-A0CD-17C81AFB8512}"/>
            </c:ext>
          </c:extLst>
        </c:ser>
        <c:dLbls>
          <c:showLegendKey val="0"/>
          <c:showVal val="0"/>
          <c:showCatName val="0"/>
          <c:showSerName val="0"/>
          <c:showPercent val="0"/>
          <c:showBubbleSize val="0"/>
        </c:dLbls>
        <c:smooth val="0"/>
        <c:axId val="111111111"/>
        <c:axId val="222222222"/>
      </c:lineChart>
      <c:valAx>
        <c:axId val="111111111"/>
        <c:scaling>
          <c:orientation val="minMax"/>
        </c:scaling>
        <c:delete val="0"/>
        <c:axPos val="b"/>
        <c:numFmt formatCode="General" sourceLinked="0"/>
        <c:majorTickMark val="cross"/>
        <c:minorTickMark val="cross"/>
        <c:tickLblPos val="nextTo"/>
        <c:txPr>
          <a:bodyPr/>
          <a:lstStyle/>
          <a:p>
            <a:pPr>
              <a:defRPr sz="800"/>
            </a:pPr>
            <a:endParaRPr lang="en-US"/>
          </a:p>
        </c:txPr>
        <c:crossAx val="222222222"/>
        <c:crosses val="autoZero"/>
        <c:crossBetween val="midCat"/>
      </c:valAx>
      <c:valAx>
        <c:axId val="222222222"/>
        <c:scaling>
          <c:orientation val="minMax"/>
        </c:scaling>
        <c:delete val="0"/>
        <c:axPos val="l"/>
        <c:majorGridlines/>
        <c:title>
          <c:tx>
            <c:rich>
              <a:bodyPr rot="-5400000" vert="horz"/>
              <a:lstStyle/>
              <a:p>
                <a:pPr>
                  <a:defRPr sz="900" b="1"/>
                </a:pPr>
                <a:r>
                  <a:rPr lang="en-US" sz="900" b="1"/>
                  <a:t>μ</a:t>
                </a:r>
              </a:p>
            </c:rich>
          </c:tx>
          <c:overlay val="0"/>
        </c:title>
        <c:numFmt formatCode="General" sourceLinked="0"/>
        <c:majorTickMark val="cross"/>
        <c:minorTickMark val="cross"/>
        <c:tickLblPos val="nextTo"/>
        <c:txPr>
          <a:bodyPr/>
          <a:lstStyle/>
          <a:p>
            <a:pPr>
              <a:defRPr sz="800"/>
            </a:pPr>
            <a:endParaRPr lang="en-US"/>
          </a:p>
        </c:txPr>
        <c:crossAx val="111111111"/>
        <c:crosses val="autoZero"/>
        <c:crossBetween val="midCat"/>
      </c:valAx>
    </c:plotArea>
    <c:legend>
      <c:legendPos val="b"/>
      <c:overlay val="0"/>
    </c:legend>
    <c:plotVisOnly val="1"/>
    <c:dispBlanksAs val="zero"/>
    <c:showDLblsOverMax val="1"/>
  </c:char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tx>
        <c:rich>
          <a:bodyPr/>
          <a:lstStyle/>
          <a:p>
            <a:pPr>
              <a:defRPr sz="1200" b="1"/>
            </a:pPr>
            <a:r>
              <a:rPr lang="en-US" sz="1200" b="1"/>
              <a:t>Output Variable: Formwork/Equipment Suitability</a:t>
            </a:r>
          </a:p>
        </c:rich>
      </c:tx>
      <c:overlay val="0"/>
    </c:title>
    <c:autoTitleDeleted val="0"/>
    <c:plotArea>
      <c:layout/>
      <c:lineChart>
        <c:grouping val="standard"/>
        <c:varyColors val="0"/>
        <c:ser>
          <c:idx val="0"/>
          <c:order val="0"/>
          <c:tx>
            <c:strRef>
              <c:f>'Data'!$B$1</c:f>
              <c:strCache>
                <c:ptCount val="1"/>
                <c:pt idx="0">
                  <c:v>Unsuitable</c:v>
                </c:pt>
              </c:strCache>
            </c:strRef>
          </c:tx>
          <c:spPr>
            <a:ln w="22000">
              <a:solidFill>
                <a:srgbClr val="1B474D"/>
              </a:solidFill>
            </a:ln>
          </c:spPr>
          <c:marker>
            <c:symbol val="none"/>
          </c:marker>
          <c:cat>
            <c:numRef>
              <c:f>'Data'!$A$2:$A$52</c:f>
              <c:numCache>
                <c:formatCode>General</c:formatCode>
                <c:ptCount val="51"/>
                <c:pt idx="0">
                  <c:v>0</c:v>
                </c:pt>
                <c:pt idx="1">
                  <c:v>2</c:v>
                </c:pt>
                <c:pt idx="2">
                  <c:v>4</c:v>
                </c:pt>
                <c:pt idx="3">
                  <c:v>6</c:v>
                </c:pt>
                <c:pt idx="4">
                  <c:v>8</c:v>
                </c:pt>
                <c:pt idx="5">
                  <c:v>10</c:v>
                </c:pt>
                <c:pt idx="6">
                  <c:v>12</c:v>
                </c:pt>
                <c:pt idx="7">
                  <c:v>14</c:v>
                </c:pt>
                <c:pt idx="8">
                  <c:v>16</c:v>
                </c:pt>
                <c:pt idx="9">
                  <c:v>18</c:v>
                </c:pt>
                <c:pt idx="10">
                  <c:v>20</c:v>
                </c:pt>
                <c:pt idx="11">
                  <c:v>22</c:v>
                </c:pt>
                <c:pt idx="12">
                  <c:v>24</c:v>
                </c:pt>
                <c:pt idx="13">
                  <c:v>26</c:v>
                </c:pt>
                <c:pt idx="14">
                  <c:v>28</c:v>
                </c:pt>
                <c:pt idx="15">
                  <c:v>30</c:v>
                </c:pt>
                <c:pt idx="16">
                  <c:v>32</c:v>
                </c:pt>
                <c:pt idx="17">
                  <c:v>34</c:v>
                </c:pt>
                <c:pt idx="18">
                  <c:v>36</c:v>
                </c:pt>
                <c:pt idx="19">
                  <c:v>38</c:v>
                </c:pt>
                <c:pt idx="20">
                  <c:v>40</c:v>
                </c:pt>
                <c:pt idx="21">
                  <c:v>42</c:v>
                </c:pt>
                <c:pt idx="22">
                  <c:v>44</c:v>
                </c:pt>
                <c:pt idx="23">
                  <c:v>46</c:v>
                </c:pt>
                <c:pt idx="24">
                  <c:v>48</c:v>
                </c:pt>
                <c:pt idx="25">
                  <c:v>50</c:v>
                </c:pt>
                <c:pt idx="26">
                  <c:v>52</c:v>
                </c:pt>
                <c:pt idx="27">
                  <c:v>54</c:v>
                </c:pt>
                <c:pt idx="28">
                  <c:v>56</c:v>
                </c:pt>
                <c:pt idx="29">
                  <c:v>58</c:v>
                </c:pt>
                <c:pt idx="30">
                  <c:v>60</c:v>
                </c:pt>
                <c:pt idx="31">
                  <c:v>62</c:v>
                </c:pt>
                <c:pt idx="32">
                  <c:v>64</c:v>
                </c:pt>
                <c:pt idx="33">
                  <c:v>66</c:v>
                </c:pt>
                <c:pt idx="34">
                  <c:v>68</c:v>
                </c:pt>
                <c:pt idx="35">
                  <c:v>70</c:v>
                </c:pt>
                <c:pt idx="36">
                  <c:v>72</c:v>
                </c:pt>
                <c:pt idx="37">
                  <c:v>74</c:v>
                </c:pt>
                <c:pt idx="38">
                  <c:v>76</c:v>
                </c:pt>
                <c:pt idx="39">
                  <c:v>78</c:v>
                </c:pt>
                <c:pt idx="40">
                  <c:v>80</c:v>
                </c:pt>
                <c:pt idx="41">
                  <c:v>82</c:v>
                </c:pt>
                <c:pt idx="42">
                  <c:v>84</c:v>
                </c:pt>
                <c:pt idx="43">
                  <c:v>86</c:v>
                </c:pt>
                <c:pt idx="44">
                  <c:v>88</c:v>
                </c:pt>
                <c:pt idx="45">
                  <c:v>90</c:v>
                </c:pt>
                <c:pt idx="46">
                  <c:v>92</c:v>
                </c:pt>
                <c:pt idx="47">
                  <c:v>94</c:v>
                </c:pt>
                <c:pt idx="48">
                  <c:v>96</c:v>
                </c:pt>
                <c:pt idx="49">
                  <c:v>98</c:v>
                </c:pt>
                <c:pt idx="50">
                  <c:v>100</c:v>
                </c:pt>
              </c:numCache>
            </c:numRef>
          </c:cat>
          <c:val>
            <c:numRef>
              <c:f>'Data'!$B$2:$B$52</c:f>
              <c:numCache>
                <c:formatCode>General</c:formatCode>
                <c:ptCount val="51"/>
                <c:pt idx="0">
                  <c:v>1</c:v>
                </c:pt>
                <c:pt idx="1">
                  <c:v>0.92</c:v>
                </c:pt>
                <c:pt idx="2">
                  <c:v>0.84</c:v>
                </c:pt>
                <c:pt idx="3">
                  <c:v>0.76</c:v>
                </c:pt>
                <c:pt idx="4">
                  <c:v>0.68</c:v>
                </c:pt>
                <c:pt idx="5">
                  <c:v>0.6</c:v>
                </c:pt>
                <c:pt idx="6">
                  <c:v>0.52</c:v>
                </c:pt>
                <c:pt idx="7">
                  <c:v>0.44</c:v>
                </c:pt>
                <c:pt idx="8">
                  <c:v>0.36</c:v>
                </c:pt>
                <c:pt idx="9">
                  <c:v>0.28000000000000003</c:v>
                </c:pt>
                <c:pt idx="10">
                  <c:v>0.2</c:v>
                </c:pt>
                <c:pt idx="11">
                  <c:v>0.12</c:v>
                </c:pt>
                <c:pt idx="12">
                  <c:v>0.04</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numCache>
            </c:numRef>
          </c:val>
          <c:smooth val="0"/>
          <c:extLst>
            <c:ext xmlns:c16="http://schemas.microsoft.com/office/drawing/2014/chart" uri="{C3380CC4-5D6E-409C-BE32-E72D297353CC}">
              <c16:uniqueId val="{00000000-0B49-466F-A312-36566D62227A}"/>
            </c:ext>
          </c:extLst>
        </c:ser>
        <c:ser>
          <c:idx val="1"/>
          <c:order val="1"/>
          <c:tx>
            <c:strRef>
              <c:f>'Data'!$C$1</c:f>
              <c:strCache>
                <c:ptCount val="1"/>
                <c:pt idx="0">
                  <c:v>Marginally Suitable</c:v>
                </c:pt>
              </c:strCache>
            </c:strRef>
          </c:tx>
          <c:spPr>
            <a:ln w="22000">
              <a:solidFill>
                <a:srgbClr val="20808D"/>
              </a:solidFill>
            </a:ln>
          </c:spPr>
          <c:marker>
            <c:symbol val="none"/>
          </c:marker>
          <c:cat>
            <c:numRef>
              <c:f>'Data'!$A$2:$A$52</c:f>
              <c:numCache>
                <c:formatCode>General</c:formatCode>
                <c:ptCount val="51"/>
                <c:pt idx="0">
                  <c:v>0</c:v>
                </c:pt>
                <c:pt idx="1">
                  <c:v>2</c:v>
                </c:pt>
                <c:pt idx="2">
                  <c:v>4</c:v>
                </c:pt>
                <c:pt idx="3">
                  <c:v>6</c:v>
                </c:pt>
                <c:pt idx="4">
                  <c:v>8</c:v>
                </c:pt>
                <c:pt idx="5">
                  <c:v>10</c:v>
                </c:pt>
                <c:pt idx="6">
                  <c:v>12</c:v>
                </c:pt>
                <c:pt idx="7">
                  <c:v>14</c:v>
                </c:pt>
                <c:pt idx="8">
                  <c:v>16</c:v>
                </c:pt>
                <c:pt idx="9">
                  <c:v>18</c:v>
                </c:pt>
                <c:pt idx="10">
                  <c:v>20</c:v>
                </c:pt>
                <c:pt idx="11">
                  <c:v>22</c:v>
                </c:pt>
                <c:pt idx="12">
                  <c:v>24</c:v>
                </c:pt>
                <c:pt idx="13">
                  <c:v>26</c:v>
                </c:pt>
                <c:pt idx="14">
                  <c:v>28</c:v>
                </c:pt>
                <c:pt idx="15">
                  <c:v>30</c:v>
                </c:pt>
                <c:pt idx="16">
                  <c:v>32</c:v>
                </c:pt>
                <c:pt idx="17">
                  <c:v>34</c:v>
                </c:pt>
                <c:pt idx="18">
                  <c:v>36</c:v>
                </c:pt>
                <c:pt idx="19">
                  <c:v>38</c:v>
                </c:pt>
                <c:pt idx="20">
                  <c:v>40</c:v>
                </c:pt>
                <c:pt idx="21">
                  <c:v>42</c:v>
                </c:pt>
                <c:pt idx="22">
                  <c:v>44</c:v>
                </c:pt>
                <c:pt idx="23">
                  <c:v>46</c:v>
                </c:pt>
                <c:pt idx="24">
                  <c:v>48</c:v>
                </c:pt>
                <c:pt idx="25">
                  <c:v>50</c:v>
                </c:pt>
                <c:pt idx="26">
                  <c:v>52</c:v>
                </c:pt>
                <c:pt idx="27">
                  <c:v>54</c:v>
                </c:pt>
                <c:pt idx="28">
                  <c:v>56</c:v>
                </c:pt>
                <c:pt idx="29">
                  <c:v>58</c:v>
                </c:pt>
                <c:pt idx="30">
                  <c:v>60</c:v>
                </c:pt>
                <c:pt idx="31">
                  <c:v>62</c:v>
                </c:pt>
                <c:pt idx="32">
                  <c:v>64</c:v>
                </c:pt>
                <c:pt idx="33">
                  <c:v>66</c:v>
                </c:pt>
                <c:pt idx="34">
                  <c:v>68</c:v>
                </c:pt>
                <c:pt idx="35">
                  <c:v>70</c:v>
                </c:pt>
                <c:pt idx="36">
                  <c:v>72</c:v>
                </c:pt>
                <c:pt idx="37">
                  <c:v>74</c:v>
                </c:pt>
                <c:pt idx="38">
                  <c:v>76</c:v>
                </c:pt>
                <c:pt idx="39">
                  <c:v>78</c:v>
                </c:pt>
                <c:pt idx="40">
                  <c:v>80</c:v>
                </c:pt>
                <c:pt idx="41">
                  <c:v>82</c:v>
                </c:pt>
                <c:pt idx="42">
                  <c:v>84</c:v>
                </c:pt>
                <c:pt idx="43">
                  <c:v>86</c:v>
                </c:pt>
                <c:pt idx="44">
                  <c:v>88</c:v>
                </c:pt>
                <c:pt idx="45">
                  <c:v>90</c:v>
                </c:pt>
                <c:pt idx="46">
                  <c:v>92</c:v>
                </c:pt>
                <c:pt idx="47">
                  <c:v>94</c:v>
                </c:pt>
                <c:pt idx="48">
                  <c:v>96</c:v>
                </c:pt>
                <c:pt idx="49">
                  <c:v>98</c:v>
                </c:pt>
                <c:pt idx="50">
                  <c:v>100</c:v>
                </c:pt>
              </c:numCache>
            </c:numRef>
          </c:cat>
          <c:val>
            <c:numRef>
              <c:f>'Data'!$C$2:$C$52</c:f>
              <c:numCache>
                <c:formatCode>General</c:formatCode>
                <c:ptCount val="51"/>
                <c:pt idx="0">
                  <c:v>0</c:v>
                </c:pt>
                <c:pt idx="1">
                  <c:v>0</c:v>
                </c:pt>
                <c:pt idx="2">
                  <c:v>0</c:v>
                </c:pt>
                <c:pt idx="3">
                  <c:v>0</c:v>
                </c:pt>
                <c:pt idx="4">
                  <c:v>0</c:v>
                </c:pt>
                <c:pt idx="5">
                  <c:v>0</c:v>
                </c:pt>
                <c:pt idx="6">
                  <c:v>0</c:v>
                </c:pt>
                <c:pt idx="7">
                  <c:v>0</c:v>
                </c:pt>
                <c:pt idx="8">
                  <c:v>4.3999999999999997E-2</c:v>
                </c:pt>
                <c:pt idx="9">
                  <c:v>0.13300000000000001</c:v>
                </c:pt>
                <c:pt idx="10">
                  <c:v>0.222</c:v>
                </c:pt>
                <c:pt idx="11">
                  <c:v>0.311</c:v>
                </c:pt>
                <c:pt idx="12">
                  <c:v>0.4</c:v>
                </c:pt>
                <c:pt idx="13">
                  <c:v>0.48899999999999999</c:v>
                </c:pt>
                <c:pt idx="14">
                  <c:v>0.57799999999999996</c:v>
                </c:pt>
                <c:pt idx="15">
                  <c:v>0.66700000000000004</c:v>
                </c:pt>
                <c:pt idx="16">
                  <c:v>0.75600000000000001</c:v>
                </c:pt>
                <c:pt idx="17">
                  <c:v>0.84399999999999997</c:v>
                </c:pt>
                <c:pt idx="18">
                  <c:v>0.93300000000000005</c:v>
                </c:pt>
                <c:pt idx="19">
                  <c:v>0.97799999999999998</c:v>
                </c:pt>
                <c:pt idx="20">
                  <c:v>0.88900000000000001</c:v>
                </c:pt>
                <c:pt idx="21">
                  <c:v>0.8</c:v>
                </c:pt>
                <c:pt idx="22">
                  <c:v>0.71099999999999997</c:v>
                </c:pt>
                <c:pt idx="23">
                  <c:v>0.622</c:v>
                </c:pt>
                <c:pt idx="24">
                  <c:v>0.53300000000000003</c:v>
                </c:pt>
                <c:pt idx="25">
                  <c:v>0.44400000000000001</c:v>
                </c:pt>
                <c:pt idx="26">
                  <c:v>0.35599999999999998</c:v>
                </c:pt>
                <c:pt idx="27">
                  <c:v>0.26700000000000002</c:v>
                </c:pt>
                <c:pt idx="28">
                  <c:v>0.17799999999999999</c:v>
                </c:pt>
                <c:pt idx="29">
                  <c:v>8.8999999999999996E-2</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numCache>
            </c:numRef>
          </c:val>
          <c:smooth val="0"/>
          <c:extLst>
            <c:ext xmlns:c16="http://schemas.microsoft.com/office/drawing/2014/chart" uri="{C3380CC4-5D6E-409C-BE32-E72D297353CC}">
              <c16:uniqueId val="{00000001-0B49-466F-A312-36566D62227A}"/>
            </c:ext>
          </c:extLst>
        </c:ser>
        <c:ser>
          <c:idx val="2"/>
          <c:order val="2"/>
          <c:tx>
            <c:strRef>
              <c:f>'Data'!$D$1</c:f>
              <c:strCache>
                <c:ptCount val="1"/>
                <c:pt idx="0">
                  <c:v>Suitable</c:v>
                </c:pt>
              </c:strCache>
            </c:strRef>
          </c:tx>
          <c:spPr>
            <a:ln w="22000">
              <a:solidFill>
                <a:srgbClr val="FFC553"/>
              </a:solidFill>
            </a:ln>
          </c:spPr>
          <c:marker>
            <c:symbol val="none"/>
          </c:marker>
          <c:cat>
            <c:numRef>
              <c:f>'Data'!$A$2:$A$52</c:f>
              <c:numCache>
                <c:formatCode>General</c:formatCode>
                <c:ptCount val="51"/>
                <c:pt idx="0">
                  <c:v>0</c:v>
                </c:pt>
                <c:pt idx="1">
                  <c:v>2</c:v>
                </c:pt>
                <c:pt idx="2">
                  <c:v>4</c:v>
                </c:pt>
                <c:pt idx="3">
                  <c:v>6</c:v>
                </c:pt>
                <c:pt idx="4">
                  <c:v>8</c:v>
                </c:pt>
                <c:pt idx="5">
                  <c:v>10</c:v>
                </c:pt>
                <c:pt idx="6">
                  <c:v>12</c:v>
                </c:pt>
                <c:pt idx="7">
                  <c:v>14</c:v>
                </c:pt>
                <c:pt idx="8">
                  <c:v>16</c:v>
                </c:pt>
                <c:pt idx="9">
                  <c:v>18</c:v>
                </c:pt>
                <c:pt idx="10">
                  <c:v>20</c:v>
                </c:pt>
                <c:pt idx="11">
                  <c:v>22</c:v>
                </c:pt>
                <c:pt idx="12">
                  <c:v>24</c:v>
                </c:pt>
                <c:pt idx="13">
                  <c:v>26</c:v>
                </c:pt>
                <c:pt idx="14">
                  <c:v>28</c:v>
                </c:pt>
                <c:pt idx="15">
                  <c:v>30</c:v>
                </c:pt>
                <c:pt idx="16">
                  <c:v>32</c:v>
                </c:pt>
                <c:pt idx="17">
                  <c:v>34</c:v>
                </c:pt>
                <c:pt idx="18">
                  <c:v>36</c:v>
                </c:pt>
                <c:pt idx="19">
                  <c:v>38</c:v>
                </c:pt>
                <c:pt idx="20">
                  <c:v>40</c:v>
                </c:pt>
                <c:pt idx="21">
                  <c:v>42</c:v>
                </c:pt>
                <c:pt idx="22">
                  <c:v>44</c:v>
                </c:pt>
                <c:pt idx="23">
                  <c:v>46</c:v>
                </c:pt>
                <c:pt idx="24">
                  <c:v>48</c:v>
                </c:pt>
                <c:pt idx="25">
                  <c:v>50</c:v>
                </c:pt>
                <c:pt idx="26">
                  <c:v>52</c:v>
                </c:pt>
                <c:pt idx="27">
                  <c:v>54</c:v>
                </c:pt>
                <c:pt idx="28">
                  <c:v>56</c:v>
                </c:pt>
                <c:pt idx="29">
                  <c:v>58</c:v>
                </c:pt>
                <c:pt idx="30">
                  <c:v>60</c:v>
                </c:pt>
                <c:pt idx="31">
                  <c:v>62</c:v>
                </c:pt>
                <c:pt idx="32">
                  <c:v>64</c:v>
                </c:pt>
                <c:pt idx="33">
                  <c:v>66</c:v>
                </c:pt>
                <c:pt idx="34">
                  <c:v>68</c:v>
                </c:pt>
                <c:pt idx="35">
                  <c:v>70</c:v>
                </c:pt>
                <c:pt idx="36">
                  <c:v>72</c:v>
                </c:pt>
                <c:pt idx="37">
                  <c:v>74</c:v>
                </c:pt>
                <c:pt idx="38">
                  <c:v>76</c:v>
                </c:pt>
                <c:pt idx="39">
                  <c:v>78</c:v>
                </c:pt>
                <c:pt idx="40">
                  <c:v>80</c:v>
                </c:pt>
                <c:pt idx="41">
                  <c:v>82</c:v>
                </c:pt>
                <c:pt idx="42">
                  <c:v>84</c:v>
                </c:pt>
                <c:pt idx="43">
                  <c:v>86</c:v>
                </c:pt>
                <c:pt idx="44">
                  <c:v>88</c:v>
                </c:pt>
                <c:pt idx="45">
                  <c:v>90</c:v>
                </c:pt>
                <c:pt idx="46">
                  <c:v>92</c:v>
                </c:pt>
                <c:pt idx="47">
                  <c:v>94</c:v>
                </c:pt>
                <c:pt idx="48">
                  <c:v>96</c:v>
                </c:pt>
                <c:pt idx="49">
                  <c:v>98</c:v>
                </c:pt>
                <c:pt idx="50">
                  <c:v>100</c:v>
                </c:pt>
              </c:numCache>
            </c:numRef>
          </c:cat>
          <c:val>
            <c:numRef>
              <c:f>'Data'!$D$2:$D$52</c:f>
              <c:numCache>
                <c:formatCode>General</c:formatCode>
                <c:ptCount val="5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0.1</c:v>
                </c:pt>
                <c:pt idx="27">
                  <c:v>0.2</c:v>
                </c:pt>
                <c:pt idx="28">
                  <c:v>0.3</c:v>
                </c:pt>
                <c:pt idx="29">
                  <c:v>0.4</c:v>
                </c:pt>
                <c:pt idx="30">
                  <c:v>0.5</c:v>
                </c:pt>
                <c:pt idx="31">
                  <c:v>0.6</c:v>
                </c:pt>
                <c:pt idx="32">
                  <c:v>0.7</c:v>
                </c:pt>
                <c:pt idx="33">
                  <c:v>0.8</c:v>
                </c:pt>
                <c:pt idx="34">
                  <c:v>0.9</c:v>
                </c:pt>
                <c:pt idx="35">
                  <c:v>1</c:v>
                </c:pt>
                <c:pt idx="36">
                  <c:v>0.9</c:v>
                </c:pt>
                <c:pt idx="37">
                  <c:v>0.8</c:v>
                </c:pt>
                <c:pt idx="38">
                  <c:v>0.7</c:v>
                </c:pt>
                <c:pt idx="39">
                  <c:v>0.6</c:v>
                </c:pt>
                <c:pt idx="40">
                  <c:v>0.5</c:v>
                </c:pt>
                <c:pt idx="41">
                  <c:v>0.4</c:v>
                </c:pt>
                <c:pt idx="42">
                  <c:v>0.3</c:v>
                </c:pt>
                <c:pt idx="43">
                  <c:v>0.2</c:v>
                </c:pt>
                <c:pt idx="44">
                  <c:v>0.1</c:v>
                </c:pt>
                <c:pt idx="45">
                  <c:v>0</c:v>
                </c:pt>
                <c:pt idx="46">
                  <c:v>0</c:v>
                </c:pt>
                <c:pt idx="47">
                  <c:v>0</c:v>
                </c:pt>
                <c:pt idx="48">
                  <c:v>0</c:v>
                </c:pt>
                <c:pt idx="49">
                  <c:v>0</c:v>
                </c:pt>
                <c:pt idx="50">
                  <c:v>0</c:v>
                </c:pt>
              </c:numCache>
            </c:numRef>
          </c:val>
          <c:smooth val="0"/>
          <c:extLst>
            <c:ext xmlns:c16="http://schemas.microsoft.com/office/drawing/2014/chart" uri="{C3380CC4-5D6E-409C-BE32-E72D297353CC}">
              <c16:uniqueId val="{00000002-0B49-466F-A312-36566D62227A}"/>
            </c:ext>
          </c:extLst>
        </c:ser>
        <c:ser>
          <c:idx val="3"/>
          <c:order val="3"/>
          <c:tx>
            <c:strRef>
              <c:f>'Data'!$E$1</c:f>
              <c:strCache>
                <c:ptCount val="1"/>
                <c:pt idx="0">
                  <c:v>Highly Suitable</c:v>
                </c:pt>
              </c:strCache>
            </c:strRef>
          </c:tx>
          <c:spPr>
            <a:ln w="22000">
              <a:solidFill>
                <a:srgbClr val="A84B2F"/>
              </a:solidFill>
            </a:ln>
          </c:spPr>
          <c:marker>
            <c:symbol val="none"/>
          </c:marker>
          <c:cat>
            <c:numRef>
              <c:f>'Data'!$A$2:$A$52</c:f>
              <c:numCache>
                <c:formatCode>General</c:formatCode>
                <c:ptCount val="51"/>
                <c:pt idx="0">
                  <c:v>0</c:v>
                </c:pt>
                <c:pt idx="1">
                  <c:v>2</c:v>
                </c:pt>
                <c:pt idx="2">
                  <c:v>4</c:v>
                </c:pt>
                <c:pt idx="3">
                  <c:v>6</c:v>
                </c:pt>
                <c:pt idx="4">
                  <c:v>8</c:v>
                </c:pt>
                <c:pt idx="5">
                  <c:v>10</c:v>
                </c:pt>
                <c:pt idx="6">
                  <c:v>12</c:v>
                </c:pt>
                <c:pt idx="7">
                  <c:v>14</c:v>
                </c:pt>
                <c:pt idx="8">
                  <c:v>16</c:v>
                </c:pt>
                <c:pt idx="9">
                  <c:v>18</c:v>
                </c:pt>
                <c:pt idx="10">
                  <c:v>20</c:v>
                </c:pt>
                <c:pt idx="11">
                  <c:v>22</c:v>
                </c:pt>
                <c:pt idx="12">
                  <c:v>24</c:v>
                </c:pt>
                <c:pt idx="13">
                  <c:v>26</c:v>
                </c:pt>
                <c:pt idx="14">
                  <c:v>28</c:v>
                </c:pt>
                <c:pt idx="15">
                  <c:v>30</c:v>
                </c:pt>
                <c:pt idx="16">
                  <c:v>32</c:v>
                </c:pt>
                <c:pt idx="17">
                  <c:v>34</c:v>
                </c:pt>
                <c:pt idx="18">
                  <c:v>36</c:v>
                </c:pt>
                <c:pt idx="19">
                  <c:v>38</c:v>
                </c:pt>
                <c:pt idx="20">
                  <c:v>40</c:v>
                </c:pt>
                <c:pt idx="21">
                  <c:v>42</c:v>
                </c:pt>
                <c:pt idx="22">
                  <c:v>44</c:v>
                </c:pt>
                <c:pt idx="23">
                  <c:v>46</c:v>
                </c:pt>
                <c:pt idx="24">
                  <c:v>48</c:v>
                </c:pt>
                <c:pt idx="25">
                  <c:v>50</c:v>
                </c:pt>
                <c:pt idx="26">
                  <c:v>52</c:v>
                </c:pt>
                <c:pt idx="27">
                  <c:v>54</c:v>
                </c:pt>
                <c:pt idx="28">
                  <c:v>56</c:v>
                </c:pt>
                <c:pt idx="29">
                  <c:v>58</c:v>
                </c:pt>
                <c:pt idx="30">
                  <c:v>60</c:v>
                </c:pt>
                <c:pt idx="31">
                  <c:v>62</c:v>
                </c:pt>
                <c:pt idx="32">
                  <c:v>64</c:v>
                </c:pt>
                <c:pt idx="33">
                  <c:v>66</c:v>
                </c:pt>
                <c:pt idx="34">
                  <c:v>68</c:v>
                </c:pt>
                <c:pt idx="35">
                  <c:v>70</c:v>
                </c:pt>
                <c:pt idx="36">
                  <c:v>72</c:v>
                </c:pt>
                <c:pt idx="37">
                  <c:v>74</c:v>
                </c:pt>
                <c:pt idx="38">
                  <c:v>76</c:v>
                </c:pt>
                <c:pt idx="39">
                  <c:v>78</c:v>
                </c:pt>
                <c:pt idx="40">
                  <c:v>80</c:v>
                </c:pt>
                <c:pt idx="41">
                  <c:v>82</c:v>
                </c:pt>
                <c:pt idx="42">
                  <c:v>84</c:v>
                </c:pt>
                <c:pt idx="43">
                  <c:v>86</c:v>
                </c:pt>
                <c:pt idx="44">
                  <c:v>88</c:v>
                </c:pt>
                <c:pt idx="45">
                  <c:v>90</c:v>
                </c:pt>
                <c:pt idx="46">
                  <c:v>92</c:v>
                </c:pt>
                <c:pt idx="47">
                  <c:v>94</c:v>
                </c:pt>
                <c:pt idx="48">
                  <c:v>96</c:v>
                </c:pt>
                <c:pt idx="49">
                  <c:v>98</c:v>
                </c:pt>
                <c:pt idx="50">
                  <c:v>100</c:v>
                </c:pt>
              </c:numCache>
            </c:numRef>
          </c:cat>
          <c:val>
            <c:numRef>
              <c:f>'Data'!$E$2:$E$52</c:f>
              <c:numCache>
                <c:formatCode>General</c:formatCode>
                <c:ptCount val="5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0.1</c:v>
                </c:pt>
                <c:pt idx="42">
                  <c:v>0.2</c:v>
                </c:pt>
                <c:pt idx="43">
                  <c:v>0.3</c:v>
                </c:pt>
                <c:pt idx="44">
                  <c:v>0.4</c:v>
                </c:pt>
                <c:pt idx="45">
                  <c:v>0.5</c:v>
                </c:pt>
                <c:pt idx="46">
                  <c:v>0.6</c:v>
                </c:pt>
                <c:pt idx="47">
                  <c:v>0.7</c:v>
                </c:pt>
                <c:pt idx="48">
                  <c:v>0.8</c:v>
                </c:pt>
                <c:pt idx="49">
                  <c:v>0.9</c:v>
                </c:pt>
                <c:pt idx="50">
                  <c:v>1</c:v>
                </c:pt>
              </c:numCache>
            </c:numRef>
          </c:val>
          <c:smooth val="0"/>
          <c:extLst>
            <c:ext xmlns:c16="http://schemas.microsoft.com/office/drawing/2014/chart" uri="{C3380CC4-5D6E-409C-BE32-E72D297353CC}">
              <c16:uniqueId val="{00000003-0B49-466F-A312-36566D62227A}"/>
            </c:ext>
          </c:extLst>
        </c:ser>
        <c:dLbls>
          <c:showLegendKey val="0"/>
          <c:showVal val="0"/>
          <c:showCatName val="0"/>
          <c:showSerName val="0"/>
          <c:showPercent val="0"/>
          <c:showBubbleSize val="0"/>
        </c:dLbls>
        <c:smooth val="0"/>
        <c:axId val="111111111"/>
        <c:axId val="222222222"/>
      </c:lineChart>
      <c:valAx>
        <c:axId val="111111111"/>
        <c:scaling>
          <c:orientation val="minMax"/>
        </c:scaling>
        <c:delete val="0"/>
        <c:axPos val="b"/>
        <c:title>
          <c:tx>
            <c:rich>
              <a:bodyPr/>
              <a:lstStyle/>
              <a:p>
                <a:pPr>
                  <a:defRPr sz="900" b="1"/>
                </a:pPr>
                <a:r>
                  <a:rPr lang="en-US" sz="900" b="1"/>
                  <a:t>Suitability score (0–100)</a:t>
                </a:r>
              </a:p>
            </c:rich>
          </c:tx>
          <c:overlay val="0"/>
        </c:title>
        <c:numFmt formatCode="General" sourceLinked="0"/>
        <c:majorTickMark val="cross"/>
        <c:minorTickMark val="cross"/>
        <c:tickLblPos val="nextTo"/>
        <c:txPr>
          <a:bodyPr/>
          <a:lstStyle/>
          <a:p>
            <a:pPr>
              <a:defRPr sz="800"/>
            </a:pPr>
            <a:endParaRPr lang="en-US"/>
          </a:p>
        </c:txPr>
        <c:crossAx val="222222222"/>
        <c:crosses val="autoZero"/>
        <c:crossBetween val="midCat"/>
      </c:valAx>
      <c:valAx>
        <c:axId val="222222222"/>
        <c:scaling>
          <c:orientation val="minMax"/>
        </c:scaling>
        <c:delete val="0"/>
        <c:axPos val="l"/>
        <c:majorGridlines/>
        <c:title>
          <c:tx>
            <c:rich>
              <a:bodyPr rot="-5400000" vert="horz"/>
              <a:lstStyle/>
              <a:p>
                <a:pPr>
                  <a:defRPr sz="900" b="1"/>
                </a:pPr>
                <a:r>
                  <a:rPr lang="en-US" sz="900" b="1"/>
                  <a:t>μ</a:t>
                </a:r>
              </a:p>
            </c:rich>
          </c:tx>
          <c:overlay val="0"/>
        </c:title>
        <c:numFmt formatCode="General" sourceLinked="0"/>
        <c:majorTickMark val="cross"/>
        <c:minorTickMark val="cross"/>
        <c:tickLblPos val="nextTo"/>
        <c:txPr>
          <a:bodyPr/>
          <a:lstStyle/>
          <a:p>
            <a:pPr>
              <a:defRPr sz="800"/>
            </a:pPr>
            <a:endParaRPr lang="en-US"/>
          </a:p>
        </c:txPr>
        <c:crossAx val="111111111"/>
        <c:crosses val="autoZero"/>
        <c:crossBetween val="midCat"/>
      </c:valAx>
    </c:plotArea>
    <c:legend>
      <c:legendPos val="b"/>
      <c:overlay val="0"/>
    </c:legend>
    <c:plotVisOnly val="1"/>
    <c:dispBlanksAs val="zero"/>
    <c:showDLblsOverMax val="1"/>
  </c:char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tx>
        <c:rich>
          <a:bodyPr/>
          <a:lstStyle/>
          <a:p>
            <a:pPr>
              <a:defRPr sz="1200" b="1"/>
            </a:pPr>
            <a:r>
              <a:rPr lang="en-US" sz="1200" b="1"/>
              <a:t>Weighted Rule Base of the Fuzzy Inference System</a:t>
            </a:r>
          </a:p>
        </c:rich>
      </c:tx>
      <c:overlay val="0"/>
    </c:title>
    <c:autoTitleDeleted val="0"/>
    <c:plotArea>
      <c:layout/>
      <c:barChart>
        <c:barDir val="bar"/>
        <c:grouping val="clustered"/>
        <c:varyColors val="1"/>
        <c:ser>
          <c:idx val="0"/>
          <c:order val="0"/>
          <c:tx>
            <c:strRef>
              <c:f>'Data'!$B$1</c:f>
              <c:strCache>
                <c:ptCount val="1"/>
                <c:pt idx="0">
                  <c:v>Rule weight</c:v>
                </c:pt>
              </c:strCache>
            </c:strRef>
          </c:tx>
          <c:spPr>
            <a:solidFill>
              <a:srgbClr val="20808D"/>
            </a:solidFill>
          </c:spPr>
          <c:invertIfNegative val="0"/>
          <c:dPt>
            <c:idx val="0"/>
            <c:invertIfNegative val="0"/>
            <c:bubble3D val="0"/>
            <c:spPr>
              <a:solidFill>
                <a:srgbClr val="A84B2F"/>
              </a:solidFill>
            </c:spPr>
            <c:extLst>
              <c:ext xmlns:c16="http://schemas.microsoft.com/office/drawing/2014/chart" uri="{C3380CC4-5D6E-409C-BE32-E72D297353CC}">
                <c16:uniqueId val="{00000001-F025-4184-A8FE-472B7E1DD3B8}"/>
              </c:ext>
            </c:extLst>
          </c:dPt>
          <c:dPt>
            <c:idx val="1"/>
            <c:invertIfNegative val="0"/>
            <c:bubble3D val="0"/>
            <c:spPr>
              <a:solidFill>
                <a:srgbClr val="A84B2F"/>
              </a:solidFill>
            </c:spPr>
            <c:extLst>
              <c:ext xmlns:c16="http://schemas.microsoft.com/office/drawing/2014/chart" uri="{C3380CC4-5D6E-409C-BE32-E72D297353CC}">
                <c16:uniqueId val="{00000003-F025-4184-A8FE-472B7E1DD3B8}"/>
              </c:ext>
            </c:extLst>
          </c:dPt>
          <c:dPt>
            <c:idx val="2"/>
            <c:invertIfNegative val="0"/>
            <c:bubble3D val="0"/>
            <c:extLst>
              <c:ext xmlns:c16="http://schemas.microsoft.com/office/drawing/2014/chart" uri="{C3380CC4-5D6E-409C-BE32-E72D297353CC}">
                <c16:uniqueId val="{00000005-F025-4184-A8FE-472B7E1DD3B8}"/>
              </c:ext>
            </c:extLst>
          </c:dPt>
          <c:dPt>
            <c:idx val="3"/>
            <c:invertIfNegative val="0"/>
            <c:bubble3D val="0"/>
            <c:extLst>
              <c:ext xmlns:c16="http://schemas.microsoft.com/office/drawing/2014/chart" uri="{C3380CC4-5D6E-409C-BE32-E72D297353CC}">
                <c16:uniqueId val="{00000007-F025-4184-A8FE-472B7E1DD3B8}"/>
              </c:ext>
            </c:extLst>
          </c:dPt>
          <c:dPt>
            <c:idx val="4"/>
            <c:invertIfNegative val="0"/>
            <c:bubble3D val="0"/>
            <c:spPr>
              <a:solidFill>
                <a:srgbClr val="1B474D"/>
              </a:solidFill>
            </c:spPr>
            <c:extLst>
              <c:ext xmlns:c16="http://schemas.microsoft.com/office/drawing/2014/chart" uri="{C3380CC4-5D6E-409C-BE32-E72D297353CC}">
                <c16:uniqueId val="{00000009-F025-4184-A8FE-472B7E1DD3B8}"/>
              </c:ext>
            </c:extLst>
          </c:dPt>
          <c:dPt>
            <c:idx val="5"/>
            <c:invertIfNegative val="0"/>
            <c:bubble3D val="0"/>
            <c:spPr>
              <a:solidFill>
                <a:srgbClr val="1B474D"/>
              </a:solidFill>
            </c:spPr>
            <c:extLst>
              <c:ext xmlns:c16="http://schemas.microsoft.com/office/drawing/2014/chart" uri="{C3380CC4-5D6E-409C-BE32-E72D297353CC}">
                <c16:uniqueId val="{0000000B-F025-4184-A8FE-472B7E1DD3B8}"/>
              </c:ext>
            </c:extLst>
          </c:dPt>
          <c:dPt>
            <c:idx val="6"/>
            <c:invertIfNegative val="0"/>
            <c:bubble3D val="0"/>
            <c:extLst>
              <c:ext xmlns:c16="http://schemas.microsoft.com/office/drawing/2014/chart" uri="{C3380CC4-5D6E-409C-BE32-E72D297353CC}">
                <c16:uniqueId val="{0000000D-F025-4184-A8FE-472B7E1DD3B8}"/>
              </c:ext>
            </c:extLst>
          </c:dPt>
          <c:dPt>
            <c:idx val="7"/>
            <c:invertIfNegative val="0"/>
            <c:bubble3D val="0"/>
            <c:extLst>
              <c:ext xmlns:c16="http://schemas.microsoft.com/office/drawing/2014/chart" uri="{C3380CC4-5D6E-409C-BE32-E72D297353CC}">
                <c16:uniqueId val="{0000000F-F025-4184-A8FE-472B7E1DD3B8}"/>
              </c:ext>
            </c:extLst>
          </c:dPt>
          <c:cat>
            <c:strRef>
              <c:f>'Data'!$A$2:$A$9</c:f>
              <c:strCache>
                <c:ptCount val="8"/>
                <c:pt idx="0">
                  <c:v>R1: Safety = Poor → Unsuitable</c:v>
                </c:pt>
                <c:pt idx="1">
                  <c:v>R2: Height = Insufficient → Unsuitable</c:v>
                </c:pt>
                <c:pt idx="2">
                  <c:v>R3: Safety = Avg, Height = Suff, Mod inputs → Marginal</c:v>
                </c:pt>
                <c:pt idx="3">
                  <c:v>R4: Safety = Good, Height = Suff, Mod inputs → Suitable</c:v>
                </c:pt>
                <c:pt idx="4">
                  <c:v>R5: Safety = Good, Height = Opt, all favourable → Highly Suitable</c:v>
                </c:pt>
                <c:pt idx="5">
                  <c:v>R6: Safety = Good, Height = Opt, ≥1 strong → Suitable</c:v>
                </c:pt>
                <c:pt idx="6">
                  <c:v>R7: Safety = Avg, Diff/Low/High inputs → Marginal</c:v>
                </c:pt>
                <c:pt idx="7">
                  <c:v>R8: Safety = Good, Height = Opt, Moderate inputs → Suitable</c:v>
                </c:pt>
              </c:strCache>
            </c:strRef>
          </c:cat>
          <c:val>
            <c:numRef>
              <c:f>'Data'!$B$2:$B$9</c:f>
              <c:numCache>
                <c:formatCode>General</c:formatCode>
                <c:ptCount val="8"/>
                <c:pt idx="0">
                  <c:v>-1</c:v>
                </c:pt>
                <c:pt idx="1">
                  <c:v>-1</c:v>
                </c:pt>
                <c:pt idx="2">
                  <c:v>0.6</c:v>
                </c:pt>
                <c:pt idx="3">
                  <c:v>0.8</c:v>
                </c:pt>
                <c:pt idx="4">
                  <c:v>1</c:v>
                </c:pt>
                <c:pt idx="5">
                  <c:v>0.9</c:v>
                </c:pt>
                <c:pt idx="6">
                  <c:v>0.4</c:v>
                </c:pt>
                <c:pt idx="7">
                  <c:v>0.8</c:v>
                </c:pt>
              </c:numCache>
            </c:numRef>
          </c:val>
          <c:extLst>
            <c:ext xmlns:c16="http://schemas.microsoft.com/office/drawing/2014/chart" uri="{C3380CC4-5D6E-409C-BE32-E72D297353CC}">
              <c16:uniqueId val="{00000010-F025-4184-A8FE-472B7E1DD3B8}"/>
            </c:ext>
          </c:extLst>
        </c:ser>
        <c:dLbls>
          <c:showLegendKey val="0"/>
          <c:showVal val="0"/>
          <c:showCatName val="0"/>
          <c:showSerName val="0"/>
          <c:showPercent val="0"/>
          <c:showBubbleSize val="0"/>
        </c:dLbls>
        <c:gapWidth val="60"/>
        <c:axId val="111111111"/>
        <c:axId val="222222222"/>
      </c:barChart>
      <c:catAx>
        <c:axId val="111111111"/>
        <c:scaling>
          <c:orientation val="maxMin"/>
        </c:scaling>
        <c:delete val="0"/>
        <c:axPos val="l"/>
        <c:numFmt formatCode="General" sourceLinked="0"/>
        <c:majorTickMark val="cross"/>
        <c:minorTickMark val="cross"/>
        <c:tickLblPos val="nextTo"/>
        <c:txPr>
          <a:bodyPr/>
          <a:lstStyle/>
          <a:p>
            <a:pPr>
              <a:defRPr sz="700"/>
            </a:pPr>
            <a:endParaRPr lang="en-US"/>
          </a:p>
        </c:txPr>
        <c:crossAx val="222222222"/>
        <c:crosses val="autoZero"/>
        <c:auto val="1"/>
        <c:lblAlgn val="ctr"/>
        <c:lblOffset val="100"/>
        <c:tickLblSkip val="1"/>
        <c:tickMarkSkip val="1"/>
        <c:noMultiLvlLbl val="1"/>
      </c:catAx>
      <c:valAx>
        <c:axId val="222222222"/>
        <c:scaling>
          <c:orientation val="minMax"/>
          <c:max val="1.2"/>
          <c:min val="-1.2"/>
        </c:scaling>
        <c:delete val="0"/>
        <c:axPos val="t"/>
        <c:majorGridlines/>
        <c:title>
          <c:tx>
            <c:rich>
              <a:bodyPr/>
              <a:lstStyle/>
              <a:p>
                <a:pPr>
                  <a:defRPr sz="900" b="1"/>
                </a:pPr>
                <a:r>
                  <a:rPr lang="en-US" sz="900" b="1"/>
                  <a:t>Rule Weight (−1 = strong negative, +1 = strong positive)</a:t>
                </a:r>
              </a:p>
            </c:rich>
          </c:tx>
          <c:overlay val="0"/>
        </c:title>
        <c:numFmt formatCode="0.0" sourceLinked="0"/>
        <c:majorTickMark val="cross"/>
        <c:minorTickMark val="cross"/>
        <c:tickLblPos val="nextTo"/>
        <c:txPr>
          <a:bodyPr/>
          <a:lstStyle/>
          <a:p>
            <a:pPr>
              <a:defRPr sz="900"/>
            </a:pPr>
            <a:endParaRPr lang="en-US"/>
          </a:p>
        </c:txPr>
        <c:crossAx val="111111111"/>
        <c:crosses val="autoZero"/>
        <c:crossBetween val="between"/>
      </c:valAx>
    </c:plotArea>
    <c:plotVisOnly val="1"/>
    <c:dispBlanksAs val="zero"/>
    <c:showDLblsOverMax val="1"/>
  </c:char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tx>
        <c:rich>
          <a:bodyPr/>
          <a:lstStyle/>
          <a:p>
            <a:pPr>
              <a:defRPr sz="1400" b="1"/>
            </a:pPr>
            <a:r>
              <a:rPr lang="en-US" sz="1400" b="1"/>
              <a:t>Suitability Scores by Formwork System Across Project Cases</a:t>
            </a:r>
          </a:p>
        </c:rich>
      </c:tx>
      <c:overlay val="0"/>
    </c:title>
    <c:autoTitleDeleted val="0"/>
    <c:plotArea>
      <c:layout/>
      <c:barChart>
        <c:barDir val="col"/>
        <c:grouping val="clustered"/>
        <c:varyColors val="0"/>
        <c:ser>
          <c:idx val="0"/>
          <c:order val="0"/>
          <c:tx>
            <c:strRef>
              <c:f>'Data'!$B$1</c:f>
              <c:strCache>
                <c:ptCount val="1"/>
                <c:pt idx="0">
                  <c:v>10-storey case</c:v>
                </c:pt>
              </c:strCache>
            </c:strRef>
          </c:tx>
          <c:spPr>
            <a:solidFill>
              <a:srgbClr val="FFC553"/>
            </a:solidFill>
            <a:ln>
              <a:noFill/>
            </a:ln>
          </c:spPr>
          <c:invertIfNegative val="0"/>
          <c:cat>
            <c:strRef>
              <c:f>'Data'!$A$2:$A$7</c:f>
              <c:strCache>
                <c:ptCount val="6"/>
                <c:pt idx="0">
                  <c:v>Timber/Plywood</c:v>
                </c:pt>
                <c:pt idx="1">
                  <c:v>Steel</c:v>
                </c:pt>
                <c:pt idx="2">
                  <c:v>Aluminum</c:v>
                </c:pt>
                <c:pt idx="3">
                  <c:v>Plastic</c:v>
                </c:pt>
                <c:pt idx="4">
                  <c:v>Fabric</c:v>
                </c:pt>
                <c:pt idx="5">
                  <c:v>Engineered Systems</c:v>
                </c:pt>
              </c:strCache>
            </c:strRef>
          </c:cat>
          <c:val>
            <c:numRef>
              <c:f>'Data'!$B$2:$B$7</c:f>
              <c:numCache>
                <c:formatCode>General</c:formatCode>
                <c:ptCount val="6"/>
                <c:pt idx="0">
                  <c:v>72</c:v>
                </c:pt>
                <c:pt idx="1">
                  <c:v>58</c:v>
                </c:pt>
                <c:pt idx="2">
                  <c:v>45</c:v>
                </c:pt>
                <c:pt idx="3">
                  <c:v>68</c:v>
                </c:pt>
                <c:pt idx="4">
                  <c:v>80</c:v>
                </c:pt>
                <c:pt idx="5">
                  <c:v>38</c:v>
                </c:pt>
              </c:numCache>
            </c:numRef>
          </c:val>
          <c:extLst>
            <c:ext xmlns:c16="http://schemas.microsoft.com/office/drawing/2014/chart" uri="{C3380CC4-5D6E-409C-BE32-E72D297353CC}">
              <c16:uniqueId val="{00000000-85AA-4A42-8F8D-7C160E992D8B}"/>
            </c:ext>
          </c:extLst>
        </c:ser>
        <c:ser>
          <c:idx val="1"/>
          <c:order val="1"/>
          <c:tx>
            <c:strRef>
              <c:f>'Data'!$C$1</c:f>
              <c:strCache>
                <c:ptCount val="1"/>
                <c:pt idx="0">
                  <c:v>45-storey case</c:v>
                </c:pt>
              </c:strCache>
            </c:strRef>
          </c:tx>
          <c:spPr>
            <a:solidFill>
              <a:srgbClr val="20808D"/>
            </a:solidFill>
            <a:ln>
              <a:noFill/>
            </a:ln>
          </c:spPr>
          <c:invertIfNegative val="0"/>
          <c:cat>
            <c:strRef>
              <c:f>'Data'!$A$2:$A$7</c:f>
              <c:strCache>
                <c:ptCount val="6"/>
                <c:pt idx="0">
                  <c:v>Timber/Plywood</c:v>
                </c:pt>
                <c:pt idx="1">
                  <c:v>Steel</c:v>
                </c:pt>
                <c:pt idx="2">
                  <c:v>Aluminum</c:v>
                </c:pt>
                <c:pt idx="3">
                  <c:v>Plastic</c:v>
                </c:pt>
                <c:pt idx="4">
                  <c:v>Fabric</c:v>
                </c:pt>
                <c:pt idx="5">
                  <c:v>Engineered Systems</c:v>
                </c:pt>
              </c:strCache>
            </c:strRef>
          </c:cat>
          <c:val>
            <c:numRef>
              <c:f>'Data'!$C$2:$C$7</c:f>
              <c:numCache>
                <c:formatCode>General</c:formatCode>
                <c:ptCount val="6"/>
                <c:pt idx="0">
                  <c:v>38</c:v>
                </c:pt>
                <c:pt idx="1">
                  <c:v>76</c:v>
                </c:pt>
                <c:pt idx="2">
                  <c:v>82</c:v>
                </c:pt>
                <c:pt idx="3">
                  <c:v>55</c:v>
                </c:pt>
                <c:pt idx="4">
                  <c:v>42</c:v>
                </c:pt>
                <c:pt idx="5">
                  <c:v>60</c:v>
                </c:pt>
              </c:numCache>
            </c:numRef>
          </c:val>
          <c:extLst>
            <c:ext xmlns:c16="http://schemas.microsoft.com/office/drawing/2014/chart" uri="{C3380CC4-5D6E-409C-BE32-E72D297353CC}">
              <c16:uniqueId val="{00000001-85AA-4A42-8F8D-7C160E992D8B}"/>
            </c:ext>
          </c:extLst>
        </c:ser>
        <c:ser>
          <c:idx val="2"/>
          <c:order val="2"/>
          <c:tx>
            <c:strRef>
              <c:f>'Data'!$D$1</c:f>
              <c:strCache>
                <c:ptCount val="1"/>
                <c:pt idx="0">
                  <c:v>90-storey case</c:v>
                </c:pt>
              </c:strCache>
            </c:strRef>
          </c:tx>
          <c:spPr>
            <a:solidFill>
              <a:srgbClr val="1B474D"/>
            </a:solidFill>
            <a:ln>
              <a:noFill/>
            </a:ln>
          </c:spPr>
          <c:invertIfNegative val="0"/>
          <c:cat>
            <c:strRef>
              <c:f>'Data'!$A$2:$A$7</c:f>
              <c:strCache>
                <c:ptCount val="6"/>
                <c:pt idx="0">
                  <c:v>Timber/Plywood</c:v>
                </c:pt>
                <c:pt idx="1">
                  <c:v>Steel</c:v>
                </c:pt>
                <c:pt idx="2">
                  <c:v>Aluminum</c:v>
                </c:pt>
                <c:pt idx="3">
                  <c:v>Plastic</c:v>
                </c:pt>
                <c:pt idx="4">
                  <c:v>Fabric</c:v>
                </c:pt>
                <c:pt idx="5">
                  <c:v>Engineered Systems</c:v>
                </c:pt>
              </c:strCache>
            </c:strRef>
          </c:cat>
          <c:val>
            <c:numRef>
              <c:f>'Data'!$D$2:$D$7</c:f>
              <c:numCache>
                <c:formatCode>General</c:formatCode>
                <c:ptCount val="6"/>
                <c:pt idx="0">
                  <c:v>12</c:v>
                </c:pt>
                <c:pt idx="1">
                  <c:v>84</c:v>
                </c:pt>
                <c:pt idx="2">
                  <c:v>90</c:v>
                </c:pt>
                <c:pt idx="3">
                  <c:v>22</c:v>
                </c:pt>
                <c:pt idx="4">
                  <c:v>35</c:v>
                </c:pt>
                <c:pt idx="5">
                  <c:v>88</c:v>
                </c:pt>
              </c:numCache>
            </c:numRef>
          </c:val>
          <c:extLst>
            <c:ext xmlns:c16="http://schemas.microsoft.com/office/drawing/2014/chart" uri="{C3380CC4-5D6E-409C-BE32-E72D297353CC}">
              <c16:uniqueId val="{00000002-85AA-4A42-8F8D-7C160E992D8B}"/>
            </c:ext>
          </c:extLst>
        </c:ser>
        <c:dLbls>
          <c:showLegendKey val="0"/>
          <c:showVal val="0"/>
          <c:showCatName val="0"/>
          <c:showSerName val="0"/>
          <c:showPercent val="0"/>
          <c:showBubbleSize val="0"/>
        </c:dLbls>
        <c:gapWidth val="60"/>
        <c:axId val="111111111"/>
        <c:axId val="222222222"/>
      </c:barChart>
      <c:lineChart>
        <c:grouping val="standard"/>
        <c:varyColors val="0"/>
        <c:ser>
          <c:idx val="3"/>
          <c:order val="3"/>
          <c:tx>
            <c:strRef>
              <c:f>'Data'!$E$1</c:f>
              <c:strCache>
                <c:ptCount val="1"/>
                <c:pt idx="0">
                  <c:v>Suitable threshold (≥75)</c:v>
                </c:pt>
              </c:strCache>
            </c:strRef>
          </c:tx>
          <c:spPr>
            <a:ln w="19050">
              <a:solidFill>
                <a:srgbClr val="A13544"/>
              </a:solidFill>
              <a:prstDash val="dash"/>
            </a:ln>
          </c:spPr>
          <c:marker>
            <c:symbol val="none"/>
          </c:marker>
          <c:cat>
            <c:strRef>
              <c:f>'Data'!$A$2:$A$7</c:f>
              <c:strCache>
                <c:ptCount val="6"/>
                <c:pt idx="0">
                  <c:v>Timber/Plywood</c:v>
                </c:pt>
                <c:pt idx="1">
                  <c:v>Steel</c:v>
                </c:pt>
                <c:pt idx="2">
                  <c:v>Aluminum</c:v>
                </c:pt>
                <c:pt idx="3">
                  <c:v>Plastic</c:v>
                </c:pt>
                <c:pt idx="4">
                  <c:v>Fabric</c:v>
                </c:pt>
                <c:pt idx="5">
                  <c:v>Engineered Systems</c:v>
                </c:pt>
              </c:strCache>
            </c:strRef>
          </c:cat>
          <c:val>
            <c:numRef>
              <c:f>'Data'!$E$2:$E$7</c:f>
              <c:numCache>
                <c:formatCode>General</c:formatCode>
                <c:ptCount val="6"/>
                <c:pt idx="0">
                  <c:v>75</c:v>
                </c:pt>
                <c:pt idx="1">
                  <c:v>75</c:v>
                </c:pt>
                <c:pt idx="2">
                  <c:v>75</c:v>
                </c:pt>
                <c:pt idx="3">
                  <c:v>75</c:v>
                </c:pt>
                <c:pt idx="4">
                  <c:v>75</c:v>
                </c:pt>
                <c:pt idx="5">
                  <c:v>75</c:v>
                </c:pt>
              </c:numCache>
            </c:numRef>
          </c:val>
          <c:smooth val="0"/>
          <c:extLst>
            <c:ext xmlns:c16="http://schemas.microsoft.com/office/drawing/2014/chart" uri="{C3380CC4-5D6E-409C-BE32-E72D297353CC}">
              <c16:uniqueId val="{00000003-85AA-4A42-8F8D-7C160E992D8B}"/>
            </c:ext>
          </c:extLst>
        </c:ser>
        <c:dLbls>
          <c:showLegendKey val="0"/>
          <c:showVal val="0"/>
          <c:showCatName val="0"/>
          <c:showSerName val="0"/>
          <c:showPercent val="0"/>
          <c:showBubbleSize val="0"/>
        </c:dLbls>
        <c:marker val="1"/>
        <c:smooth val="0"/>
        <c:axId val="111111111"/>
        <c:axId val="222222222"/>
      </c:lineChart>
      <c:catAx>
        <c:axId val="111111111"/>
        <c:scaling>
          <c:orientation val="minMax"/>
        </c:scaling>
        <c:delete val="0"/>
        <c:axPos val="b"/>
        <c:numFmt formatCode="General" sourceLinked="0"/>
        <c:majorTickMark val="cross"/>
        <c:minorTickMark val="cross"/>
        <c:tickLblPos val="nextTo"/>
        <c:txPr>
          <a:bodyPr/>
          <a:lstStyle/>
          <a:p>
            <a:pPr>
              <a:defRPr sz="900"/>
            </a:pPr>
            <a:endParaRPr lang="en-US"/>
          </a:p>
        </c:txPr>
        <c:crossAx val="222222222"/>
        <c:crosses val="autoZero"/>
        <c:auto val="1"/>
        <c:lblAlgn val="ctr"/>
        <c:lblOffset val="100"/>
        <c:noMultiLvlLbl val="1"/>
      </c:catAx>
      <c:valAx>
        <c:axId val="222222222"/>
        <c:scaling>
          <c:orientation val="minMax"/>
          <c:max val="100"/>
        </c:scaling>
        <c:delete val="0"/>
        <c:axPos val="l"/>
        <c:majorGridlines/>
        <c:title>
          <c:tx>
            <c:rich>
              <a:bodyPr rot="-5400000" vert="horz"/>
              <a:lstStyle/>
              <a:p>
                <a:pPr>
                  <a:defRPr sz="1000" b="1"/>
                </a:pPr>
                <a:r>
                  <a:rPr lang="en-US" sz="1000" b="1"/>
                  <a:t>Suitability Score (0–100)</a:t>
                </a:r>
              </a:p>
            </c:rich>
          </c:tx>
          <c:overlay val="0"/>
        </c:title>
        <c:numFmt formatCode="General" sourceLinked="0"/>
        <c:majorTickMark val="cross"/>
        <c:minorTickMark val="cross"/>
        <c:tickLblPos val="nextTo"/>
        <c:txPr>
          <a:bodyPr/>
          <a:lstStyle/>
          <a:p>
            <a:pPr>
              <a:defRPr sz="900"/>
            </a:pPr>
            <a:endParaRPr lang="en-US"/>
          </a:p>
        </c:txPr>
        <c:crossAx val="111111111"/>
        <c:crosses val="autoZero"/>
        <c:crossBetween val="between"/>
      </c:valAx>
    </c:plotArea>
    <c:legend>
      <c:legendPos val="b"/>
      <c:overlay val="0"/>
    </c:legend>
    <c:plotVisOnly val="1"/>
    <c:dispBlanksAs val="zero"/>
    <c:showDLblsOverMax val="1"/>
  </c:char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3903</Words>
  <Characters>22253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pooja mishra</cp:lastModifiedBy>
  <cp:revision>2</cp:revision>
  <dcterms:created xsi:type="dcterms:W3CDTF">2026-09-16T07:46:00Z</dcterms:created>
  <dcterms:modified xsi:type="dcterms:W3CDTF">2026-09-16T07:46:00Z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305950a2-5360-49f4-80ed-cba118283c43</vt:lpwstr>
  </property>
</Properties>
</file>