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Design Phase-II</w:t>
        <w:br/>
      </w:r>
      <w:r>
        <w:rPr>
          <w:rFonts w:ascii="Arial" w:hAnsi="Arial"/>
          <w:b/>
          <w:sz w:val="30"/>
        </w:rPr>
        <w:t>Technology Stack (Architecture &amp; Stack)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Technical Architecture:</w:t>
      </w:r>
    </w:p>
    <w:p>
      <w:r>
        <w:t>The Deliverable includes the architectural diagram below and the information as per Table 1 &amp; Table 2:</w:t>
      </w:r>
    </w:p>
    <w:p>
      <w:r>
        <w:drawing>
          <wp:inline xmlns:a="http://schemas.openxmlformats.org/drawingml/2006/main" xmlns:pic="http://schemas.openxmlformats.org/drawingml/2006/picture">
            <wp:extent cx="5669280" cy="4001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ology_stack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1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2.4: Multi-Tier ServiceNow Technical Architecture</w:t>
        <w:br/>
      </w:r>
    </w:p>
    <w:p>
      <w:r>
        <w:rPr>
          <w:b/>
          <w:sz w:val="21"/>
        </w:rPr>
        <w:t>Table-1 : Components &amp; Technologies: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Technology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User Interface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Self-service web intake portal for network requests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ServiceNow Service Portal (/sp) &amp; Classic UI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 Catalog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Catalog item capturing contact, connection, amount, address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 Catalog (sc_cat_item: 'Network Request1')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Client Validation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Conditional visibility and mandatory checking on Existing 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Catalog UI Policy ('visible/hide of ID field')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Workflow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Low-code orchestration coordinating trigger, data, approvals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Workflow Studio / Flow Designer ('Network Request1')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 Persistence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Custom table persisting request details independently of cart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Database Table1 (u_database_table1)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Approval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Multi-tier approval routing for managers and administrators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Flow Action: Ask for Approval &amp; sysapproval_approver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System Relationship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Custom query script linking approval records to custom rows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System Relationship ('Approval request1' on sys_relationship)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Notification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Automated HTML email generation on creation and approval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Flow Action: Send Email &amp; ServiceNow sys_email</w:t>
            </w:r>
          </w:p>
        </w:tc>
      </w:tr>
    </w:tbl>
    <w:p>
      <w:pPr>
        <w:spacing w:before="160"/>
      </w:pPr>
      <w:r>
        <w:rPr>
          <w:b/>
          <w:sz w:val="21"/>
        </w:rPr>
        <w:t>Table-2: Application Characteristics: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Characteristics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Technology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Cloud Infrastructure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Multi-tenant cloud platform hosting instance dev251577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ServiceNow Enterprise Cloud PaaS/SaaS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Security Implementation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Role-Based Access Control protecting admin functions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RBAC: System Administrator, ITIL User, End User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Scalable Architecture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Decoupled multi-tier service management architecture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ServiceNow Multi-Tier Service Architecture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Relational Data Model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Referential integrity, data pills, and auto-numbering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MariaDB-backed ServiceNow DB (sys_db_object)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 &amp; Compliance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Automated activity stream, timestamps, and email 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Built-in Sys Audit, Activity Stream, sys_email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