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4CA8" w14:textId="77777777" w:rsidR="00CD59D8" w:rsidRDefault="00000000">
      <w:pPr>
        <w:spacing w:line="259" w:lineRule="auto"/>
        <w:ind w:left="-5" w:right="0"/>
        <w:jc w:val="left"/>
      </w:pPr>
      <w:r>
        <w:rPr>
          <w:b/>
          <w:sz w:val="28"/>
        </w:rPr>
        <w:t xml:space="preserve">Project Report </w:t>
      </w:r>
    </w:p>
    <w:p w14:paraId="3170B049" w14:textId="77777777" w:rsidR="00CD59D8" w:rsidRDefault="00000000">
      <w:pPr>
        <w:spacing w:line="259" w:lineRule="auto"/>
        <w:ind w:left="-5" w:right="0"/>
        <w:jc w:val="left"/>
      </w:pPr>
      <w:r>
        <w:rPr>
          <w:b/>
          <w:sz w:val="28"/>
        </w:rPr>
        <w:t xml:space="preserve">BF550: Programming in Python, Fall 2022 </w:t>
      </w:r>
    </w:p>
    <w:p w14:paraId="4B279F89" w14:textId="77777777" w:rsidR="00CD59D8" w:rsidRDefault="00000000">
      <w:pPr>
        <w:spacing w:line="259" w:lineRule="auto"/>
        <w:ind w:left="-5" w:right="0"/>
        <w:jc w:val="left"/>
      </w:pPr>
      <w:r>
        <w:rPr>
          <w:b/>
          <w:sz w:val="28"/>
        </w:rPr>
        <w:t xml:space="preserve">Pooja Paresh Savla </w:t>
      </w:r>
    </w:p>
    <w:p w14:paraId="4A201B64" w14:textId="77777777" w:rsidR="00CD59D8" w:rsidRDefault="00000000">
      <w:pPr>
        <w:spacing w:after="71"/>
      </w:pPr>
      <w:r>
        <w:t xml:space="preserve">Research Paper: A generalization of t-SNE and UMAP to single-cell multimodal omics DOI: </w:t>
      </w:r>
      <w:hyperlink r:id="rId5">
        <w:r>
          <w:rPr>
            <w:color w:val="0000FF"/>
            <w:u w:val="single" w:color="0000FF"/>
          </w:rPr>
          <w:t>https://doi.org/10.1186/s13059</w:t>
        </w:r>
      </w:hyperlink>
      <w:hyperlink r:id="rId6">
        <w:r>
          <w:rPr>
            <w:color w:val="0000FF"/>
            <w:u w:val="single" w:color="0000FF"/>
          </w:rPr>
          <w:t>-</w:t>
        </w:r>
      </w:hyperlink>
      <w:hyperlink r:id="rId7">
        <w:r>
          <w:rPr>
            <w:color w:val="0000FF"/>
            <w:u w:val="single" w:color="0000FF"/>
          </w:rPr>
          <w:t>021</w:t>
        </w:r>
      </w:hyperlink>
      <w:hyperlink r:id="rId8">
        <w:r>
          <w:rPr>
            <w:color w:val="0000FF"/>
            <w:u w:val="single" w:color="0000FF"/>
          </w:rPr>
          <w:t>-</w:t>
        </w:r>
      </w:hyperlink>
      <w:hyperlink r:id="rId9">
        <w:r>
          <w:rPr>
            <w:color w:val="0000FF"/>
            <w:u w:val="single" w:color="0000FF"/>
          </w:rPr>
          <w:t>02356</w:t>
        </w:r>
      </w:hyperlink>
      <w:hyperlink r:id="rId10">
        <w:r>
          <w:rPr>
            <w:color w:val="0000FF"/>
            <w:u w:val="single" w:color="0000FF"/>
          </w:rPr>
          <w:t>-</w:t>
        </w:r>
      </w:hyperlink>
      <w:hyperlink r:id="rId11">
        <w:r>
          <w:rPr>
            <w:color w:val="0000FF"/>
            <w:u w:val="single" w:color="0000FF"/>
          </w:rPr>
          <w:t>5</w:t>
        </w:r>
      </w:hyperlink>
      <w:hyperlink r:id="rId12">
        <w:r>
          <w:t xml:space="preserve"> </w:t>
        </w:r>
      </w:hyperlink>
    </w:p>
    <w:p w14:paraId="4CC7B640" w14:textId="77777777" w:rsidR="00CD59D8" w:rsidRDefault="00000000">
      <w:pPr>
        <w:spacing w:line="259" w:lineRule="auto"/>
        <w:ind w:left="0" w:right="0" w:firstLine="0"/>
        <w:jc w:val="left"/>
      </w:pPr>
      <w:r>
        <w:rPr>
          <w:b/>
          <w:sz w:val="32"/>
        </w:rPr>
        <w:t xml:space="preserve"> </w:t>
      </w:r>
    </w:p>
    <w:p w14:paraId="24A796CF" w14:textId="77777777" w:rsidR="00CD59D8" w:rsidRDefault="00000000">
      <w:pPr>
        <w:spacing w:line="259" w:lineRule="auto"/>
        <w:ind w:left="-5" w:right="0"/>
        <w:jc w:val="left"/>
      </w:pPr>
      <w:r>
        <w:rPr>
          <w:b/>
          <w:sz w:val="32"/>
        </w:rPr>
        <w:t xml:space="preserve">Introduction: </w:t>
      </w:r>
    </w:p>
    <w:p w14:paraId="4C5149B5" w14:textId="5E64C662" w:rsidR="00CD59D8" w:rsidRDefault="00000000">
      <w:pPr>
        <w:ind w:right="0"/>
      </w:pPr>
      <w:r>
        <w:t xml:space="preserve">The paper that I selected to replicate images is titled: “A generalization of t-SNE and UMAP to single-cell multimodal omics”. Emerging single-cell technologies profile multiple types of molecules within individual cells. A fundamental step in the analysis of the produced </w:t>
      </w:r>
      <w:r w:rsidR="00B860D3">
        <w:t>high dimensional</w:t>
      </w:r>
      <w:r>
        <w:t xml:space="preserve"> data is their visualization using dimensionality reduction techniques such as tSNE and UMAP. The motivation behind this paper is to introduce j-SNE and j-UMAP as their natural generalizations to the joint visualization of multimodal omics data. </w:t>
      </w:r>
      <w:r w:rsidR="00B860D3">
        <w:t>However,</w:t>
      </w:r>
      <w:r>
        <w:t xml:space="preserve"> in our figures we will just use the UMAP technique to model our visualizations. </w:t>
      </w:r>
    </w:p>
    <w:p w14:paraId="65857BAB" w14:textId="77777777" w:rsidR="00CD59D8" w:rsidRDefault="00000000">
      <w:pPr>
        <w:spacing w:after="57" w:line="259" w:lineRule="auto"/>
        <w:ind w:left="0" w:right="0" w:firstLine="0"/>
        <w:jc w:val="left"/>
      </w:pPr>
      <w:r>
        <w:t xml:space="preserve"> </w:t>
      </w:r>
    </w:p>
    <w:p w14:paraId="4CE643EF" w14:textId="77777777" w:rsidR="00CD59D8" w:rsidRDefault="00000000">
      <w:pPr>
        <w:spacing w:line="259" w:lineRule="auto"/>
        <w:ind w:left="-5" w:right="0"/>
        <w:jc w:val="left"/>
      </w:pPr>
      <w:r>
        <w:rPr>
          <w:b/>
          <w:sz w:val="32"/>
        </w:rPr>
        <w:t xml:space="preserve">Data Analysis: </w:t>
      </w:r>
    </w:p>
    <w:p w14:paraId="38C9087C" w14:textId="6BF30BB7" w:rsidR="00CD59D8" w:rsidRDefault="00000000">
      <w:pPr>
        <w:spacing w:line="259" w:lineRule="auto"/>
        <w:ind w:left="0" w:right="0" w:firstLine="0"/>
        <w:jc w:val="left"/>
      </w:pPr>
      <w:r>
        <w:rPr>
          <w:sz w:val="28"/>
          <w:u w:val="single" w:color="000000"/>
        </w:rPr>
        <w:t>UMAP Principle:</w:t>
      </w:r>
      <w:r>
        <w:rPr>
          <w:sz w:val="28"/>
        </w:rPr>
        <w:t xml:space="preserve"> </w:t>
      </w:r>
    </w:p>
    <w:p w14:paraId="13573CAA" w14:textId="77777777" w:rsidR="00CD59D8" w:rsidRDefault="00000000">
      <w:pPr>
        <w:ind w:right="0"/>
      </w:pPr>
      <w:r>
        <w:t xml:space="preserve">UMAP (Uniform Manifold Approximation and Projection) is a novel manifold learning technique for dimension reduction.  The algorithm is founded on three assumptions about the data: </w:t>
      </w:r>
    </w:p>
    <w:p w14:paraId="14BF0167" w14:textId="77777777" w:rsidR="00CD59D8" w:rsidRDefault="00000000">
      <w:pPr>
        <w:numPr>
          <w:ilvl w:val="0"/>
          <w:numId w:val="1"/>
        </w:numPr>
        <w:shd w:val="clear" w:color="auto" w:fill="FDFDFD"/>
        <w:spacing w:line="259" w:lineRule="auto"/>
        <w:ind w:right="0" w:hanging="360"/>
        <w:jc w:val="left"/>
      </w:pPr>
      <w:r>
        <w:t xml:space="preserve">The data is uniformly distributed on a Riemannian </w:t>
      </w:r>
      <w:proofErr w:type="gramStart"/>
      <w:r>
        <w:t>manifold;</w:t>
      </w:r>
      <w:proofErr w:type="gramEnd"/>
      <w:r>
        <w:t xml:space="preserve"> </w:t>
      </w:r>
    </w:p>
    <w:p w14:paraId="7EA5965E" w14:textId="77777777" w:rsidR="00CD59D8" w:rsidRDefault="00000000">
      <w:pPr>
        <w:numPr>
          <w:ilvl w:val="0"/>
          <w:numId w:val="1"/>
        </w:numPr>
        <w:shd w:val="clear" w:color="auto" w:fill="FDFDFD"/>
        <w:spacing w:line="259" w:lineRule="auto"/>
        <w:ind w:right="0" w:hanging="360"/>
        <w:jc w:val="left"/>
      </w:pPr>
      <w:r>
        <w:t>The Riemannian metric is locally constant (or can be approximated as such</w:t>
      </w:r>
      <w:proofErr w:type="gramStart"/>
      <w:r>
        <w:t>);</w:t>
      </w:r>
      <w:proofErr w:type="gramEnd"/>
      <w:r>
        <w:t xml:space="preserve"> </w:t>
      </w:r>
    </w:p>
    <w:p w14:paraId="31869F11" w14:textId="77777777" w:rsidR="00CD59D8" w:rsidRDefault="00000000">
      <w:pPr>
        <w:numPr>
          <w:ilvl w:val="0"/>
          <w:numId w:val="1"/>
        </w:numPr>
        <w:shd w:val="clear" w:color="auto" w:fill="FDFDFD"/>
        <w:spacing w:line="259" w:lineRule="auto"/>
        <w:ind w:right="0" w:hanging="360"/>
        <w:jc w:val="left"/>
      </w:pPr>
      <w:r>
        <w:t xml:space="preserve">The manifold is locally connected </w:t>
      </w:r>
    </w:p>
    <w:p w14:paraId="14912007" w14:textId="77777777" w:rsidR="00CD59D8" w:rsidRDefault="00000000">
      <w:pPr>
        <w:spacing w:line="259" w:lineRule="auto"/>
        <w:ind w:left="0" w:right="0" w:firstLine="0"/>
        <w:jc w:val="left"/>
      </w:pPr>
      <w:r>
        <w:t xml:space="preserve"> </w:t>
      </w:r>
    </w:p>
    <w:p w14:paraId="1E865FA5" w14:textId="287DD4F2" w:rsidR="00CD59D8" w:rsidRDefault="00000000">
      <w:pPr>
        <w:ind w:right="0"/>
      </w:pPr>
      <w:r>
        <w:t xml:space="preserve">In this paper they have also introduced a modified version of UMAP called j-UMAP available in the </w:t>
      </w:r>
      <w:proofErr w:type="spellStart"/>
      <w:r>
        <w:t>JVis</w:t>
      </w:r>
      <w:proofErr w:type="spellEnd"/>
      <w:r>
        <w:t xml:space="preserve"> Python package as their natural generalizations to the joint visualization of multimodal omics data. This approach automatically learns the relative contribution of each modality to a concise representation of cellular identity that promotes discriminative features but suppresses noise</w:t>
      </w:r>
      <w:r w:rsidR="003B36C8">
        <w:t>.</w:t>
      </w:r>
      <w:r>
        <w:rPr>
          <w:rFonts w:ascii="Arial" w:eastAsia="Arial" w:hAnsi="Arial" w:cs="Arial"/>
          <w:color w:val="464646"/>
          <w:sz w:val="22"/>
        </w:rPr>
        <w:t xml:space="preserve"> </w:t>
      </w:r>
    </w:p>
    <w:p w14:paraId="24101223" w14:textId="77777777" w:rsidR="00CD59D8" w:rsidRDefault="00000000">
      <w:pPr>
        <w:spacing w:line="259" w:lineRule="auto"/>
        <w:ind w:left="0" w:right="0" w:firstLine="0"/>
        <w:jc w:val="left"/>
      </w:pPr>
      <w:r>
        <w:t xml:space="preserve"> </w:t>
      </w:r>
    </w:p>
    <w:p w14:paraId="17949059" w14:textId="6671BBDE" w:rsidR="00CD59D8" w:rsidRDefault="00000000">
      <w:pPr>
        <w:ind w:right="0"/>
      </w:pPr>
      <w:r>
        <w:t xml:space="preserve">The result is a practical scalable algorithm that applies to real world data. The UMAP and JUMAP algorithms are competitive with t-SNE and J-tSNE for visualization quality, and arguably preserve more of the global structure with superior run time performance. Furthermore, UMAP/ J-UMAP have no computational restrictions on embedding dimension, making it viable as a </w:t>
      </w:r>
      <w:r w:rsidR="0068412E">
        <w:t>general-purpose</w:t>
      </w:r>
      <w:r>
        <w:t xml:space="preserve"> dimension reduction technique for machine learning. </w:t>
      </w:r>
    </w:p>
    <w:p w14:paraId="397272AF" w14:textId="77777777" w:rsidR="00CD59D8" w:rsidRDefault="00000000">
      <w:pPr>
        <w:spacing w:line="259" w:lineRule="auto"/>
        <w:ind w:left="0" w:right="0" w:firstLine="0"/>
        <w:jc w:val="left"/>
      </w:pPr>
      <w:r>
        <w:t xml:space="preserve"> </w:t>
      </w:r>
    </w:p>
    <w:p w14:paraId="76A680EF" w14:textId="0B1B5661" w:rsidR="00CD59D8" w:rsidRDefault="00000000">
      <w:pPr>
        <w:ind w:right="0"/>
      </w:pPr>
      <w:r>
        <w:t xml:space="preserve">I recreated </w:t>
      </w:r>
      <w:r w:rsidR="00C95D8F">
        <w:t xml:space="preserve">the first four </w:t>
      </w:r>
      <w:r>
        <w:t xml:space="preserve">clusters from the supplementary images from Figure 14 using UMAP clustering algorithm. In the figure S14, the UMAP/j-UMAP visualization was done of the Human Peripheral Blood Mononuclear cells (PBM cells). There were two cluster labels identified by Specter shown on the top rows of this figure and CiteFuse shown on the bottom row of this figure. The embeddings were computed in three different </w:t>
      </w:r>
      <w:r w:rsidR="00B860D3">
        <w:t>ways.</w:t>
      </w:r>
      <w:r>
        <w:t xml:space="preserve">  </w:t>
      </w:r>
    </w:p>
    <w:p w14:paraId="6CAD3719" w14:textId="77777777" w:rsidR="00CD59D8" w:rsidRDefault="00000000">
      <w:pPr>
        <w:numPr>
          <w:ilvl w:val="0"/>
          <w:numId w:val="2"/>
        </w:numPr>
        <w:ind w:right="0" w:hanging="360"/>
      </w:pPr>
      <w:r>
        <w:t xml:space="preserve">RNA measurements alone (left side of S14) </w:t>
      </w:r>
    </w:p>
    <w:p w14:paraId="4C27B809" w14:textId="77777777" w:rsidR="00CD59D8" w:rsidRDefault="00000000">
      <w:pPr>
        <w:numPr>
          <w:ilvl w:val="0"/>
          <w:numId w:val="2"/>
        </w:numPr>
        <w:ind w:right="0" w:hanging="360"/>
      </w:pPr>
      <w:r>
        <w:t xml:space="preserve">Protein expression (ADT) alone (middle side of S14) </w:t>
      </w:r>
    </w:p>
    <w:p w14:paraId="72C72C57" w14:textId="1AF38405" w:rsidR="00CD59D8" w:rsidRDefault="00CD59D8">
      <w:pPr>
        <w:spacing w:line="259" w:lineRule="auto"/>
        <w:ind w:left="0" w:right="396" w:firstLine="0"/>
        <w:jc w:val="right"/>
      </w:pPr>
    </w:p>
    <w:p w14:paraId="5DFCEAD5" w14:textId="2F9308B1" w:rsidR="00CD59D8" w:rsidRDefault="001E4A9D">
      <w:pPr>
        <w:spacing w:after="47" w:line="259" w:lineRule="auto"/>
        <w:ind w:left="-756" w:right="0" w:firstLine="0"/>
        <w:jc w:val="left"/>
      </w:pPr>
      <w:r>
        <w:rPr>
          <w:noProof/>
        </w:rPr>
        <w:lastRenderedPageBreak/>
        <w:drawing>
          <wp:anchor distT="0" distB="0" distL="114300" distR="114300" simplePos="0" relativeHeight="251659264" behindDoc="1" locked="0" layoutInCell="1" allowOverlap="1" wp14:anchorId="6FCFEC91" wp14:editId="31543FDD">
            <wp:simplePos x="0" y="0"/>
            <wp:positionH relativeFrom="column">
              <wp:posOffset>342900</wp:posOffset>
            </wp:positionH>
            <wp:positionV relativeFrom="paragraph">
              <wp:posOffset>22860</wp:posOffset>
            </wp:positionV>
            <wp:extent cx="3528060" cy="3302000"/>
            <wp:effectExtent l="0" t="0" r="0" b="0"/>
            <wp:wrapTopAndBottom/>
            <wp:docPr id="1" name="Picture 1"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r="38476"/>
                    <a:stretch/>
                  </pic:blipFill>
                  <pic:spPr bwMode="auto">
                    <a:xfrm>
                      <a:off x="0" y="0"/>
                      <a:ext cx="3528060" cy="330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0C0B326" wp14:editId="66AB618A">
            <wp:simplePos x="0" y="0"/>
            <wp:positionH relativeFrom="column">
              <wp:posOffset>3901440</wp:posOffset>
            </wp:positionH>
            <wp:positionV relativeFrom="paragraph">
              <wp:posOffset>0</wp:posOffset>
            </wp:positionV>
            <wp:extent cx="883920" cy="3356610"/>
            <wp:effectExtent l="0" t="0" r="0" b="0"/>
            <wp:wrapTight wrapText="bothSides">
              <wp:wrapPolygon edited="0">
                <wp:start x="0" y="0"/>
                <wp:lineTo x="0" y="21453"/>
                <wp:lineTo x="20948" y="21453"/>
                <wp:lineTo x="20948" y="0"/>
                <wp:lineTo x="0" y="0"/>
              </wp:wrapPolygon>
            </wp:wrapTight>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rotWithShape="1">
                    <a:blip r:embed="rId13">
                      <a:extLst>
                        <a:ext uri="{28A0092B-C50C-407E-A947-70E740481C1C}">
                          <a14:useLocalDpi xmlns:a14="http://schemas.microsoft.com/office/drawing/2010/main" val="0"/>
                        </a:ext>
                      </a:extLst>
                    </a:blip>
                    <a:srcRect l="84935"/>
                    <a:stretch/>
                  </pic:blipFill>
                  <pic:spPr bwMode="auto">
                    <a:xfrm>
                      <a:off x="0" y="0"/>
                      <a:ext cx="883920" cy="3356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C9D681" w14:textId="1E6EE46D" w:rsidR="00CD59D8" w:rsidRDefault="00000000">
      <w:pPr>
        <w:spacing w:line="259" w:lineRule="auto"/>
        <w:ind w:left="-5" w:right="0"/>
        <w:jc w:val="left"/>
      </w:pPr>
      <w:r>
        <w:rPr>
          <w:b/>
          <w:sz w:val="32"/>
        </w:rPr>
        <w:t xml:space="preserve">Methodology </w:t>
      </w:r>
    </w:p>
    <w:p w14:paraId="3C36E6A2" w14:textId="0AA62C42" w:rsidR="00CD59D8" w:rsidRDefault="00000000">
      <w:pPr>
        <w:spacing w:after="183"/>
        <w:ind w:right="0"/>
      </w:pPr>
      <w:r>
        <w:t xml:space="preserve">The thought process for clustering used in the project was as follows: </w:t>
      </w:r>
    </w:p>
    <w:p w14:paraId="213AB18A" w14:textId="342120AB" w:rsidR="00CD59D8" w:rsidRDefault="00000000">
      <w:pPr>
        <w:ind w:right="0"/>
      </w:pPr>
      <w:r>
        <w:t>Specter: adopts and extends recent algorithmic advances in (fast) spectral clustering. In contrast to methods that cluster a (random) subsample of the data, Specter adopts the idea of landmarks that are used to create a sparse representation of the full data from which a spectral embedding can then be computed in linear time.</w:t>
      </w:r>
      <w:r>
        <w:rPr>
          <w:rFonts w:ascii="Calibri" w:eastAsia="Calibri" w:hAnsi="Calibri" w:cs="Calibri"/>
          <w:sz w:val="22"/>
        </w:rPr>
        <w:t xml:space="preserve"> </w:t>
      </w:r>
      <w:r>
        <w:t xml:space="preserve">CiteFuse: is a streamlined package consisting of a suite of tools for doublet detection, modality integration, clustering, differential RNA and protein expression analysis, antibody-derived tag evaluation, ligand– receptor interaction analysis and interactive web-based visualization of CITE-seq data. Both Specter and CiteFuse are clustering algorithms; they have provided pre-processed data to use where the author has already used these algorithms. </w:t>
      </w:r>
    </w:p>
    <w:p w14:paraId="63B9C90E" w14:textId="77777777" w:rsidR="00CD59D8" w:rsidRDefault="00000000">
      <w:pPr>
        <w:spacing w:line="259" w:lineRule="auto"/>
        <w:ind w:left="0" w:right="0" w:firstLine="0"/>
        <w:jc w:val="left"/>
      </w:pPr>
      <w:r>
        <w:t xml:space="preserve"> </w:t>
      </w:r>
    </w:p>
    <w:p w14:paraId="69631AB1" w14:textId="56AF4398" w:rsidR="00CD59D8" w:rsidRDefault="00000000">
      <w:pPr>
        <w:numPr>
          <w:ilvl w:val="0"/>
          <w:numId w:val="3"/>
        </w:numPr>
        <w:ind w:right="0" w:hanging="360"/>
      </w:pPr>
      <w:r>
        <w:t xml:space="preserve">We used </w:t>
      </w:r>
      <w:proofErr w:type="spellStart"/>
      <w:r>
        <w:t>JVis</w:t>
      </w:r>
      <w:proofErr w:type="spellEnd"/>
      <w:r>
        <w:t xml:space="preserve"> package to compute a joint embedding of accessible chromatin and gene expression measured simultaneously by SNARE-seq in 1047 single cells from cultured human cell lines BJ, H1, K562, and GM</w:t>
      </w:r>
      <w:proofErr w:type="gramStart"/>
      <w:r>
        <w:t>12878.(</w:t>
      </w:r>
      <w:proofErr w:type="gramEnd"/>
      <w:r>
        <w:t xml:space="preserve">The SNARE-seq and CBMC CITE-seq data sets were downloaded from Gene Expression Omnibus with accession codes GSE126074 and GSE126310, respectively). </w:t>
      </w:r>
    </w:p>
    <w:p w14:paraId="1A03D4C4" w14:textId="387F6173" w:rsidR="00CD59D8" w:rsidRDefault="00000000">
      <w:pPr>
        <w:numPr>
          <w:ilvl w:val="0"/>
          <w:numId w:val="3"/>
        </w:numPr>
        <w:ind w:right="0" w:hanging="360"/>
      </w:pPr>
      <w:r>
        <w:t xml:space="preserve">Part A) For the figures A and D, we used </w:t>
      </w:r>
      <w:proofErr w:type="gramStart"/>
      <w:r>
        <w:t>an</w:t>
      </w:r>
      <w:proofErr w:type="gramEnd"/>
      <w:r>
        <w:t xml:space="preserve"> </w:t>
      </w:r>
      <w:proofErr w:type="spellStart"/>
      <w:r>
        <w:t>rna_matrix</w:t>
      </w:r>
      <w:proofErr w:type="spellEnd"/>
      <w:r>
        <w:t xml:space="preserve"> that we got from the data/pbmc_rna_pca.csv path. Part B) For the figures B and E, we used an </w:t>
      </w:r>
      <w:proofErr w:type="spellStart"/>
      <w:r>
        <w:t>adt_matrix</w:t>
      </w:r>
      <w:proofErr w:type="spellEnd"/>
      <w:r>
        <w:t xml:space="preserve"> that we got from the data/pbmc_adt_pca.csv path. </w:t>
      </w:r>
    </w:p>
    <w:p w14:paraId="20061C3A" w14:textId="5282D5DD" w:rsidR="00CD59D8" w:rsidRDefault="00000000">
      <w:pPr>
        <w:numPr>
          <w:ilvl w:val="0"/>
          <w:numId w:val="3"/>
        </w:numPr>
        <w:ind w:right="0" w:hanging="360"/>
      </w:pPr>
      <w:r>
        <w:t xml:space="preserve">I found that clustering method with the Euclidean distance measurement produced the most similar UMAP to the one produced in the paper. </w:t>
      </w:r>
    </w:p>
    <w:p w14:paraId="25759951" w14:textId="55C0C816" w:rsidR="00CD59D8" w:rsidRDefault="00000000">
      <w:pPr>
        <w:numPr>
          <w:ilvl w:val="0"/>
          <w:numId w:val="3"/>
        </w:numPr>
        <w:ind w:right="0" w:hanging="360"/>
      </w:pPr>
      <w:r>
        <w:t xml:space="preserve">The </w:t>
      </w:r>
      <w:proofErr w:type="spellStart"/>
      <w:r>
        <w:t>neighborhood</w:t>
      </w:r>
      <w:proofErr w:type="spellEnd"/>
      <w:r>
        <w:t xml:space="preserve"> graph was </w:t>
      </w:r>
      <w:proofErr w:type="spellStart"/>
      <w:r>
        <w:t>contructed</w:t>
      </w:r>
      <w:proofErr w:type="spellEnd"/>
      <w:r>
        <w:t xml:space="preserve"> with n=30 </w:t>
      </w:r>
      <w:proofErr w:type="spellStart"/>
      <w:r>
        <w:t>neighbors</w:t>
      </w:r>
      <w:proofErr w:type="spellEnd"/>
      <w:r>
        <w:t xml:space="preserve">, using all the principal components using the nearest </w:t>
      </w:r>
      <w:proofErr w:type="spellStart"/>
      <w:r>
        <w:t>neighbors</w:t>
      </w:r>
      <w:proofErr w:type="spellEnd"/>
      <w:r>
        <w:t xml:space="preserve"> (</w:t>
      </w:r>
      <w:proofErr w:type="spellStart"/>
      <w:r>
        <w:t>n_neighbors</w:t>
      </w:r>
      <w:proofErr w:type="spellEnd"/>
      <w:r>
        <w:t xml:space="preserve"> = 30). This is the data upon which the UMAP is generated. </w:t>
      </w:r>
    </w:p>
    <w:p w14:paraId="2B876D67" w14:textId="07B98989" w:rsidR="00CD59D8" w:rsidRDefault="00000000">
      <w:pPr>
        <w:numPr>
          <w:ilvl w:val="0"/>
          <w:numId w:val="3"/>
        </w:numPr>
        <w:ind w:right="0" w:hanging="360"/>
      </w:pPr>
      <w:r>
        <w:t xml:space="preserve">As you can see in the </w:t>
      </w:r>
      <w:proofErr w:type="gramStart"/>
      <w:r>
        <w:t>code</w:t>
      </w:r>
      <w:proofErr w:type="gramEnd"/>
      <w:r>
        <w:t xml:space="preserve"> I incorporated a </w:t>
      </w:r>
      <w:proofErr w:type="spellStart"/>
      <w:r>
        <w:t>color</w:t>
      </w:r>
      <w:proofErr w:type="spellEnd"/>
      <w:r>
        <w:t xml:space="preserve"> map to identify different cell types and visually </w:t>
      </w:r>
      <w:proofErr w:type="spellStart"/>
      <w:r>
        <w:t>color</w:t>
      </w:r>
      <w:proofErr w:type="spellEnd"/>
      <w:r>
        <w:t xml:space="preserve"> them to understand the UMAP clearly. I plotted a scatter plot of the </w:t>
      </w:r>
      <w:proofErr w:type="spellStart"/>
      <w:r>
        <w:lastRenderedPageBreak/>
        <w:t>dataframe</w:t>
      </w:r>
      <w:proofErr w:type="spellEnd"/>
      <w:r>
        <w:t xml:space="preserve"> created after dimensionality reduction (UMAP) in the notebook for each Specter and </w:t>
      </w:r>
      <w:proofErr w:type="spellStart"/>
      <w:r>
        <w:t>Citefuse</w:t>
      </w:r>
      <w:proofErr w:type="spellEnd"/>
      <w:r>
        <w:t xml:space="preserve">  </w:t>
      </w:r>
    </w:p>
    <w:p w14:paraId="057CCC02" w14:textId="41999C65" w:rsidR="00CD59D8" w:rsidRDefault="00000000">
      <w:pPr>
        <w:numPr>
          <w:ilvl w:val="0"/>
          <w:numId w:val="3"/>
        </w:numPr>
        <w:ind w:right="0" w:hanging="360"/>
      </w:pPr>
      <w:r>
        <w:t xml:space="preserve">For both Part A, Part B we used the methods of Specter and </w:t>
      </w:r>
      <w:proofErr w:type="spellStart"/>
      <w:r>
        <w:t>Citefuse</w:t>
      </w:r>
      <w:proofErr w:type="spellEnd"/>
      <w:r>
        <w:t xml:space="preserve"> found in the path of 'data/pbmc_jointspecter_labels.csv' and 'data/pbmc_citefuse_labels.csv' respectively. This was done because the cell type associated with Specter and </w:t>
      </w:r>
      <w:proofErr w:type="spellStart"/>
      <w:r>
        <w:t>Citefuse</w:t>
      </w:r>
      <w:proofErr w:type="spellEnd"/>
      <w:r>
        <w:t xml:space="preserve"> are different. </w:t>
      </w:r>
    </w:p>
    <w:p w14:paraId="1FAB160F" w14:textId="7FFDC194" w:rsidR="00CD59D8" w:rsidRDefault="00000000">
      <w:pPr>
        <w:numPr>
          <w:ilvl w:val="0"/>
          <w:numId w:val="3"/>
        </w:numPr>
        <w:spacing w:after="107"/>
        <w:ind w:right="0" w:hanging="360"/>
      </w:pPr>
      <w:r>
        <w:t xml:space="preserve">The UMAP was generated and stored in a </w:t>
      </w:r>
      <w:proofErr w:type="spellStart"/>
      <w:r>
        <w:t>dataframe</w:t>
      </w:r>
      <w:proofErr w:type="spellEnd"/>
      <w:r>
        <w:t xml:space="preserve">. Using the columns in this </w:t>
      </w:r>
      <w:proofErr w:type="spellStart"/>
      <w:r>
        <w:t>dataframe</w:t>
      </w:r>
      <w:proofErr w:type="spellEnd"/>
      <w:r>
        <w:t xml:space="preserve">, a scatter plot was created visually displaying the clusters of Human Peripheral Blood Mononuclear cells (PBM cells). </w:t>
      </w:r>
    </w:p>
    <w:p w14:paraId="017A132C" w14:textId="0364FA3F" w:rsidR="00CD59D8" w:rsidRDefault="00000000">
      <w:pPr>
        <w:spacing w:line="259" w:lineRule="auto"/>
        <w:ind w:left="0" w:right="0" w:firstLine="0"/>
        <w:jc w:val="left"/>
      </w:pPr>
      <w:r>
        <w:rPr>
          <w:b/>
          <w:sz w:val="36"/>
        </w:rPr>
        <w:t xml:space="preserve"> </w:t>
      </w:r>
    </w:p>
    <w:p w14:paraId="433E2AAB" w14:textId="77777777" w:rsidR="00CD59D8" w:rsidRDefault="00000000">
      <w:pPr>
        <w:spacing w:line="259" w:lineRule="auto"/>
        <w:ind w:left="-5" w:right="0"/>
        <w:jc w:val="left"/>
      </w:pPr>
      <w:r>
        <w:rPr>
          <w:b/>
          <w:sz w:val="36"/>
          <w:u w:val="single" w:color="000000"/>
        </w:rPr>
        <w:t>Figures</w:t>
      </w:r>
      <w:r>
        <w:rPr>
          <w:b/>
          <w:sz w:val="36"/>
        </w:rPr>
        <w:t xml:space="preserve"> </w:t>
      </w:r>
    </w:p>
    <w:p w14:paraId="42F7B7FD" w14:textId="5295F2BF" w:rsidR="00CD59D8" w:rsidRDefault="00000000">
      <w:pPr>
        <w:spacing w:after="15" w:line="248" w:lineRule="auto"/>
        <w:ind w:left="-5" w:right="0"/>
        <w:jc w:val="left"/>
      </w:pPr>
      <w:r>
        <w:rPr>
          <w:b/>
          <w:sz w:val="28"/>
          <w:u w:val="single" w:color="000000"/>
        </w:rPr>
        <w:t xml:space="preserve">Part A) S14: Figure A </w:t>
      </w:r>
      <w:r w:rsidR="003D6180">
        <w:rPr>
          <w:b/>
          <w:sz w:val="28"/>
          <w:u w:val="single" w:color="000000"/>
        </w:rPr>
        <w:t>-</w:t>
      </w:r>
      <w:r>
        <w:rPr>
          <w:b/>
          <w:sz w:val="28"/>
          <w:u w:val="single" w:color="000000"/>
        </w:rPr>
        <w:t xml:space="preserve"> D</w:t>
      </w:r>
      <w:r>
        <w:rPr>
          <w:b/>
          <w:sz w:val="28"/>
        </w:rPr>
        <w:t xml:space="preserve">  </w:t>
      </w:r>
    </w:p>
    <w:p w14:paraId="345A505C" w14:textId="26146B70" w:rsidR="00CD59D8" w:rsidRDefault="00000000">
      <w:pPr>
        <w:spacing w:line="259" w:lineRule="auto"/>
        <w:ind w:left="-360" w:right="-232" w:firstLine="0"/>
        <w:jc w:val="left"/>
      </w:pPr>
      <w:r>
        <w:t xml:space="preserve"> </w:t>
      </w:r>
    </w:p>
    <w:p w14:paraId="07C99F09" w14:textId="41C08F03" w:rsidR="00CD59D8" w:rsidRDefault="00000000">
      <w:pPr>
        <w:spacing w:after="19" w:line="259" w:lineRule="auto"/>
        <w:ind w:left="0" w:right="0" w:firstLine="0"/>
        <w:jc w:val="left"/>
      </w:pPr>
      <w:r>
        <w:t xml:space="preserve"> </w:t>
      </w:r>
    </w:p>
    <w:p w14:paraId="5CE6C5EE" w14:textId="3FD9F906" w:rsidR="00CD59D8" w:rsidRDefault="003D6180">
      <w:pPr>
        <w:spacing w:after="15" w:line="248" w:lineRule="auto"/>
        <w:ind w:left="-5" w:right="0"/>
        <w:jc w:val="left"/>
      </w:pPr>
      <w:r w:rsidRPr="003D6180">
        <w:drawing>
          <wp:inline distT="0" distB="0" distL="0" distR="0" wp14:anchorId="5FD7BFC2" wp14:editId="72E46A96">
            <wp:extent cx="5220152" cy="461812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4"/>
                    <a:stretch>
                      <a:fillRect/>
                    </a:stretch>
                  </pic:blipFill>
                  <pic:spPr>
                    <a:xfrm>
                      <a:off x="0" y="0"/>
                      <a:ext cx="5220152" cy="4618120"/>
                    </a:xfrm>
                    <a:prstGeom prst="rect">
                      <a:avLst/>
                    </a:prstGeom>
                  </pic:spPr>
                </pic:pic>
              </a:graphicData>
            </a:graphic>
          </wp:inline>
        </w:drawing>
      </w:r>
    </w:p>
    <w:p w14:paraId="283330D3" w14:textId="20660FE5" w:rsidR="003D6180" w:rsidRDefault="003D6180">
      <w:pPr>
        <w:spacing w:after="15" w:line="248" w:lineRule="auto"/>
        <w:ind w:left="-5" w:right="0"/>
        <w:jc w:val="left"/>
      </w:pPr>
      <w:r w:rsidRPr="003D6180">
        <w:lastRenderedPageBreak/>
        <w:drawing>
          <wp:inline distT="0" distB="0" distL="0" distR="0" wp14:anchorId="067C7580" wp14:editId="6FB4508A">
            <wp:extent cx="5441152" cy="4458086"/>
            <wp:effectExtent l="0" t="0" r="762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5"/>
                    <a:stretch>
                      <a:fillRect/>
                    </a:stretch>
                  </pic:blipFill>
                  <pic:spPr>
                    <a:xfrm>
                      <a:off x="0" y="0"/>
                      <a:ext cx="5441152" cy="4458086"/>
                    </a:xfrm>
                    <a:prstGeom prst="rect">
                      <a:avLst/>
                    </a:prstGeom>
                  </pic:spPr>
                </pic:pic>
              </a:graphicData>
            </a:graphic>
          </wp:inline>
        </w:drawing>
      </w:r>
    </w:p>
    <w:p w14:paraId="1C441501" w14:textId="1093D05D" w:rsidR="00CD59D8" w:rsidRDefault="00CD59D8">
      <w:pPr>
        <w:spacing w:line="259" w:lineRule="auto"/>
        <w:ind w:left="0" w:right="-462" w:firstLine="0"/>
        <w:jc w:val="left"/>
      </w:pPr>
    </w:p>
    <w:p w14:paraId="316B8D5E" w14:textId="77777777" w:rsidR="00CD59D8" w:rsidRDefault="00000000">
      <w:pPr>
        <w:spacing w:line="259" w:lineRule="auto"/>
        <w:ind w:left="-5" w:right="0"/>
        <w:jc w:val="left"/>
      </w:pPr>
      <w:r>
        <w:rPr>
          <w:b/>
          <w:sz w:val="36"/>
          <w:u w:val="single" w:color="000000"/>
        </w:rPr>
        <w:t>Results and Conclusions:</w:t>
      </w:r>
      <w:r>
        <w:rPr>
          <w:b/>
          <w:sz w:val="36"/>
        </w:rPr>
        <w:t xml:space="preserve"> </w:t>
      </w:r>
    </w:p>
    <w:p w14:paraId="061B3009" w14:textId="2ECAF5C0" w:rsidR="00CD59D8" w:rsidRDefault="00000000">
      <w:pPr>
        <w:spacing w:after="107"/>
        <w:ind w:right="0"/>
      </w:pPr>
      <w:r>
        <w:t xml:space="preserve">In these figures it can be concluded that there is a high density of clusters of CD8+ T. The FCGR3A+ Mono and CD14+ Mono </w:t>
      </w:r>
      <w:proofErr w:type="gramStart"/>
      <w:r>
        <w:t>are</w:t>
      </w:r>
      <w:proofErr w:type="gramEnd"/>
      <w:r>
        <w:t xml:space="preserve"> an island and are away from the other </w:t>
      </w:r>
      <w:proofErr w:type="spellStart"/>
      <w:r>
        <w:t>cell_types</w:t>
      </w:r>
      <w:proofErr w:type="spellEnd"/>
      <w:r>
        <w:t xml:space="preserve">. Perhaps, we can do a </w:t>
      </w:r>
      <w:proofErr w:type="spellStart"/>
      <w:r>
        <w:t>dendogram</w:t>
      </w:r>
      <w:proofErr w:type="spellEnd"/>
      <w:r>
        <w:t xml:space="preserve"> and find more significance because they are not related to the other </w:t>
      </w:r>
      <w:proofErr w:type="spellStart"/>
      <w:r>
        <w:t>cell_types</w:t>
      </w:r>
      <w:proofErr w:type="spellEnd"/>
      <w:r>
        <w:t xml:space="preserve"> by method of Specter or </w:t>
      </w:r>
      <w:proofErr w:type="spellStart"/>
      <w:r>
        <w:t>Citefuse</w:t>
      </w:r>
      <w:proofErr w:type="spellEnd"/>
      <w:r>
        <w:t xml:space="preserve">. </w:t>
      </w:r>
    </w:p>
    <w:p w14:paraId="5C0E776D" w14:textId="77777777" w:rsidR="00CD59D8" w:rsidRDefault="00000000">
      <w:pPr>
        <w:spacing w:line="259" w:lineRule="auto"/>
        <w:ind w:left="0" w:right="0" w:firstLine="0"/>
        <w:jc w:val="left"/>
      </w:pPr>
      <w:r>
        <w:rPr>
          <w:b/>
          <w:sz w:val="36"/>
        </w:rPr>
        <w:t xml:space="preserve"> </w:t>
      </w:r>
    </w:p>
    <w:p w14:paraId="3208663E" w14:textId="6D94D1BE" w:rsidR="00CD59D8" w:rsidRDefault="00000000">
      <w:pPr>
        <w:ind w:right="0"/>
      </w:pPr>
      <w:r>
        <w:t xml:space="preserve">Higher expected levels of noise in the measurements can be counteracted by smaller regularization coefficients λ that allow to </w:t>
      </w:r>
      <w:proofErr w:type="spellStart"/>
      <w:r>
        <w:t>downweight</w:t>
      </w:r>
      <w:proofErr w:type="spellEnd"/>
      <w:r>
        <w:t xml:space="preserve"> noisy modalities. Not surprisingly, projecting RNA and protein velocities into the joint embedding of both modalities yielded less noisy acceleration landscapes compared to embeddings of mRNA measurements alone.  This projection serves as a useful analogy to understand how UMAP prioritizes global vs local structure depending on its parameters because I used both </w:t>
      </w:r>
      <w:proofErr w:type="spellStart"/>
      <w:r>
        <w:t>n_NN</w:t>
      </w:r>
      <w:proofErr w:type="spellEnd"/>
      <w:r>
        <w:t xml:space="preserve"> as 5,10, 15 and then 30 to get the final plot as shown in paper. As </w:t>
      </w:r>
      <w:proofErr w:type="spellStart"/>
      <w:r>
        <w:t>n_neighbors</w:t>
      </w:r>
      <w:proofErr w:type="spellEnd"/>
      <w:r>
        <w:t xml:space="preserve"> </w:t>
      </w:r>
      <w:proofErr w:type="gramStart"/>
      <w:r>
        <w:t>increases</w:t>
      </w:r>
      <w:proofErr w:type="gramEnd"/>
      <w:r>
        <w:t xml:space="preserve">, UMAP connects more and more </w:t>
      </w:r>
      <w:proofErr w:type="spellStart"/>
      <w:r>
        <w:t>neighboring</w:t>
      </w:r>
      <w:proofErr w:type="spellEnd"/>
      <w:r>
        <w:t xml:space="preserve"> points when constructing the graph representation of the high-dimensional data, which leads to a projection that more accurately reflects the global structure of the data. At very low values, any notion of global structure is almost completely lost. As the </w:t>
      </w:r>
      <w:proofErr w:type="spellStart"/>
      <w:r>
        <w:t>min_dist</w:t>
      </w:r>
      <w:proofErr w:type="spellEnd"/>
      <w:r>
        <w:t xml:space="preserve"> parameter increases, UMAP tends to "spread out" the projected points, leading to decreased clustering of the data and less emphasis on global structure. After using </w:t>
      </w:r>
      <w:proofErr w:type="spellStart"/>
      <w:r>
        <w:t>n_NN</w:t>
      </w:r>
      <w:proofErr w:type="spellEnd"/>
      <w:r>
        <w:t xml:space="preserve"> I was able to get a graph that was represented exactly like the one shown in the research paper. </w:t>
      </w:r>
    </w:p>
    <w:p w14:paraId="013F50CD" w14:textId="77777777" w:rsidR="0012280B" w:rsidRDefault="0012280B">
      <w:pPr>
        <w:ind w:right="0"/>
      </w:pPr>
    </w:p>
    <w:p w14:paraId="0747239B" w14:textId="77777777" w:rsidR="00CD59D8" w:rsidRDefault="00000000">
      <w:pPr>
        <w:spacing w:after="42" w:line="259" w:lineRule="auto"/>
        <w:ind w:left="0" w:right="0" w:firstLine="0"/>
        <w:jc w:val="left"/>
      </w:pPr>
      <w:r>
        <w:t xml:space="preserve"> </w:t>
      </w:r>
    </w:p>
    <w:p w14:paraId="4F2DA4EF" w14:textId="77777777" w:rsidR="00CD59D8" w:rsidRDefault="00000000">
      <w:pPr>
        <w:ind w:right="0"/>
      </w:pPr>
      <w:r>
        <w:lastRenderedPageBreak/>
        <w:t>References:</w:t>
      </w:r>
      <w:r>
        <w:rPr>
          <w:b/>
          <w:sz w:val="32"/>
        </w:rPr>
        <w:t xml:space="preserve"> </w:t>
      </w:r>
    </w:p>
    <w:p w14:paraId="251D446F" w14:textId="77777777" w:rsidR="00CD59D8" w:rsidRDefault="00000000">
      <w:pPr>
        <w:numPr>
          <w:ilvl w:val="0"/>
          <w:numId w:val="4"/>
        </w:numPr>
        <w:ind w:right="0" w:hanging="360"/>
      </w:pPr>
      <w:r>
        <w:t>PMID: 33941244, Do et al, A generalization of t-SNE and UMAP to single-cell multimodal omics (2021) DOI:</w:t>
      </w:r>
      <w:hyperlink r:id="rId16">
        <w:r>
          <w:t xml:space="preserve"> </w:t>
        </w:r>
      </w:hyperlink>
      <w:hyperlink r:id="rId17">
        <w:r>
          <w:t>10.1186/s13059</w:t>
        </w:r>
      </w:hyperlink>
      <w:hyperlink r:id="rId18">
        <w:r>
          <w:t>-</w:t>
        </w:r>
      </w:hyperlink>
      <w:hyperlink r:id="rId19">
        <w:r>
          <w:t>021</w:t>
        </w:r>
      </w:hyperlink>
      <w:hyperlink r:id="rId20">
        <w:r>
          <w:t>-</w:t>
        </w:r>
      </w:hyperlink>
      <w:hyperlink r:id="rId21">
        <w:r>
          <w:t>02356</w:t>
        </w:r>
      </w:hyperlink>
      <w:hyperlink r:id="rId22">
        <w:r>
          <w:t>-</w:t>
        </w:r>
      </w:hyperlink>
      <w:hyperlink r:id="rId23">
        <w:r>
          <w:t>5</w:t>
        </w:r>
      </w:hyperlink>
      <w:hyperlink r:id="rId24">
        <w:r>
          <w:t xml:space="preserve"> </w:t>
        </w:r>
      </w:hyperlink>
    </w:p>
    <w:p w14:paraId="6ED72778" w14:textId="77777777" w:rsidR="00CD59D8" w:rsidRDefault="00000000">
      <w:pPr>
        <w:numPr>
          <w:ilvl w:val="0"/>
          <w:numId w:val="4"/>
        </w:numPr>
        <w:ind w:right="0" w:hanging="360"/>
      </w:pPr>
      <w:hyperlink r:id="rId25">
        <w:r>
          <w:t>https://umap</w:t>
        </w:r>
      </w:hyperlink>
      <w:hyperlink r:id="rId26">
        <w:r>
          <w:t>-</w:t>
        </w:r>
      </w:hyperlink>
      <w:hyperlink r:id="rId27">
        <w:r>
          <w:t>learn.readthedocs.io/en/latest/parameters.html</w:t>
        </w:r>
      </w:hyperlink>
      <w:hyperlink r:id="rId28">
        <w:r>
          <w:t xml:space="preserve"> </w:t>
        </w:r>
      </w:hyperlink>
    </w:p>
    <w:p w14:paraId="4F121BEE" w14:textId="77777777" w:rsidR="00CD59D8" w:rsidRDefault="00000000">
      <w:pPr>
        <w:numPr>
          <w:ilvl w:val="0"/>
          <w:numId w:val="4"/>
        </w:numPr>
        <w:ind w:right="0" w:hanging="360"/>
      </w:pPr>
      <w:hyperlink r:id="rId29">
        <w:r>
          <w:t>https://pubmed.ncbi.nlm.nih.gov/34963591/</w:t>
        </w:r>
      </w:hyperlink>
      <w:hyperlink r:id="rId30">
        <w:r>
          <w:t xml:space="preserve"> </w:t>
        </w:r>
      </w:hyperlink>
      <w:r>
        <w:t xml:space="preserve">(The application of Uniform Manifold Approximation and Projection (UMAP) for unconstrained ordination and </w:t>
      </w:r>
    </w:p>
    <w:p w14:paraId="04C664B0" w14:textId="77777777" w:rsidR="00CD59D8" w:rsidRDefault="00000000">
      <w:pPr>
        <w:ind w:left="730" w:right="0"/>
      </w:pPr>
      <w:r>
        <w:t xml:space="preserve">classification of biological indicators in aquatic ecology) </w:t>
      </w:r>
    </w:p>
    <w:p w14:paraId="4A1164A4" w14:textId="77777777" w:rsidR="00CD59D8" w:rsidRDefault="00000000">
      <w:pPr>
        <w:numPr>
          <w:ilvl w:val="0"/>
          <w:numId w:val="4"/>
        </w:numPr>
        <w:spacing w:after="28"/>
        <w:ind w:right="0" w:hanging="360"/>
      </w:pPr>
      <w:r>
        <w:t xml:space="preserve">What is SNARE sequencing: single-nucleus chromatin accessibility and mRNA expression sequencing:  a method that can link a cell’s transcriptome with its accessible chromatin for sequencing at scale </w:t>
      </w:r>
      <w:hyperlink r:id="rId31" w:anchor=":~:text=Here%2C%20we%20describe%20droplet-based%20single-nucleus%20chromatin%20accessibility%20and,with%20its%20accessible%20chromatin%20for%20sequencing%20at%20scale.">
        <w:r>
          <w:t>(</w:t>
        </w:r>
      </w:hyperlink>
      <w:hyperlink r:id="rId32" w:anchor=":~:text=Here%2C%20we%20describe%20droplet-based%20single-nucleus%20chromatin%20accessibility%20and,with%20its%20accessible%20chromatin%20for%20sequencing%20at%20scale.">
        <w:r>
          <w:rPr>
            <w:rFonts w:ascii="Calibri" w:eastAsia="Calibri" w:hAnsi="Calibri" w:cs="Calibri"/>
            <w:color w:val="0000FF"/>
            <w:sz w:val="22"/>
            <w:u w:val="single" w:color="0000FF"/>
          </w:rPr>
          <w:t>High</w:t>
        </w:r>
      </w:hyperlink>
      <w:hyperlink r:id="rId33" w:anchor=":~:text=Here%2C%20we%20describe%20droplet-based%20single-nucleus%20chromatin%20accessibility%20and,with%20its%20accessible%20chromatin%20for%20sequencing%20at%20scale.">
        <w:r>
          <w:rPr>
            <w:rFonts w:ascii="Calibri" w:eastAsia="Calibri" w:hAnsi="Calibri" w:cs="Calibri"/>
            <w:color w:val="0000FF"/>
            <w:sz w:val="22"/>
            <w:u w:val="single" w:color="0000FF"/>
          </w:rPr>
          <w:t>-</w:t>
        </w:r>
      </w:hyperlink>
      <w:hyperlink r:id="rId34" w:anchor=":~:text=Here%2C%20we%20describe%20droplet-based%20single-nucleus%20chromatin%20accessibility%20and,with%20its%20accessible%20chromatin%20for%20sequencing%20at%20scale.">
        <w:r>
          <w:rPr>
            <w:rFonts w:ascii="Calibri" w:eastAsia="Calibri" w:hAnsi="Calibri" w:cs="Calibri"/>
            <w:color w:val="0000FF"/>
            <w:sz w:val="22"/>
            <w:u w:val="single" w:color="0000FF"/>
          </w:rPr>
          <w:t>throughput sequencing of the</w:t>
        </w:r>
      </w:hyperlink>
      <w:hyperlink r:id="rId35" w:anchor=":~:text=Here%2C%20we%20describe%20droplet-based%20single-nucleus%20chromatin%20accessibility%20and,with%20its%20accessible%20chromatin%20for%20sequencing%20at%20scale.">
        <w:r>
          <w:rPr>
            <w:rFonts w:ascii="Calibri" w:eastAsia="Calibri" w:hAnsi="Calibri" w:cs="Calibri"/>
            <w:color w:val="0000FF"/>
            <w:sz w:val="22"/>
          </w:rPr>
          <w:t xml:space="preserve"> </w:t>
        </w:r>
      </w:hyperlink>
      <w:hyperlink r:id="rId36" w:anchor=":~:text=Here%2C%20we%20describe%20droplet-based%20single-nucleus%20chromatin%20accessibility%20and,with%20its%20accessible%20chromatin%20for%20sequencing%20at%20scale.">
        <w:r>
          <w:rPr>
            <w:rFonts w:ascii="Calibri" w:eastAsia="Calibri" w:hAnsi="Calibri" w:cs="Calibri"/>
            <w:color w:val="0000FF"/>
            <w:sz w:val="22"/>
            <w:u w:val="single" w:color="0000FF"/>
          </w:rPr>
          <w:t>transcriptome and chromatin accessibility in the same cell | Nature Biotechnology</w:t>
        </w:r>
      </w:hyperlink>
      <w:hyperlink r:id="rId37" w:anchor=":~:text=Here%2C%20we%20describe%20droplet-based%20single-nucleus%20chromatin%20accessibility%20and,with%20its%20accessible%20chromatin%20for%20sequencing%20at%20scale.">
        <w:r>
          <w:rPr>
            <w:rFonts w:ascii="Calibri" w:eastAsia="Calibri" w:hAnsi="Calibri" w:cs="Calibri"/>
            <w:sz w:val="22"/>
          </w:rPr>
          <w:t>)</w:t>
        </w:r>
      </w:hyperlink>
      <w:r>
        <w:t xml:space="preserve"> </w:t>
      </w:r>
    </w:p>
    <w:p w14:paraId="184EC3F8" w14:textId="77777777" w:rsidR="00CD59D8" w:rsidRDefault="00000000">
      <w:pPr>
        <w:numPr>
          <w:ilvl w:val="0"/>
          <w:numId w:val="4"/>
        </w:numPr>
        <w:spacing w:line="274" w:lineRule="auto"/>
        <w:ind w:right="0" w:hanging="360"/>
      </w:pPr>
      <w:proofErr w:type="spellStart"/>
      <w:r>
        <w:t>Zenodo</w:t>
      </w:r>
      <w:proofErr w:type="spellEnd"/>
      <w:r>
        <w:t xml:space="preserve"> Link to the Data: </w:t>
      </w:r>
      <w:hyperlink r:id="rId38" w:anchor=".Y5fhMFHMJEY">
        <w:r>
          <w:rPr>
            <w:rFonts w:ascii="Calibri" w:eastAsia="Calibri" w:hAnsi="Calibri" w:cs="Calibri"/>
            <w:color w:val="0000FF"/>
            <w:sz w:val="22"/>
            <w:u w:val="single" w:color="0000FF"/>
          </w:rPr>
          <w:t>A generalization of t</w:t>
        </w:r>
      </w:hyperlink>
      <w:hyperlink r:id="rId39" w:anchor=".Y5fhMFHMJEY">
        <w:r>
          <w:rPr>
            <w:rFonts w:ascii="Calibri" w:eastAsia="Calibri" w:hAnsi="Calibri" w:cs="Calibri"/>
            <w:color w:val="0000FF"/>
            <w:sz w:val="22"/>
            <w:u w:val="single" w:color="0000FF"/>
          </w:rPr>
          <w:t>-</w:t>
        </w:r>
      </w:hyperlink>
      <w:hyperlink r:id="rId40" w:anchor=".Y5fhMFHMJEY">
        <w:r>
          <w:rPr>
            <w:rFonts w:ascii="Calibri" w:eastAsia="Calibri" w:hAnsi="Calibri" w:cs="Calibri"/>
            <w:color w:val="0000FF"/>
            <w:sz w:val="22"/>
            <w:u w:val="single" w:color="0000FF"/>
          </w:rPr>
          <w:t>SNE and UMAP to single</w:t>
        </w:r>
      </w:hyperlink>
      <w:hyperlink r:id="rId41" w:anchor=".Y5fhMFHMJEY">
        <w:r>
          <w:rPr>
            <w:rFonts w:ascii="Calibri" w:eastAsia="Calibri" w:hAnsi="Calibri" w:cs="Calibri"/>
            <w:color w:val="0000FF"/>
            <w:sz w:val="22"/>
            <w:u w:val="single" w:color="0000FF"/>
          </w:rPr>
          <w:t>-</w:t>
        </w:r>
      </w:hyperlink>
      <w:hyperlink r:id="rId42" w:anchor=".Y5fhMFHMJEY">
        <w:r>
          <w:rPr>
            <w:rFonts w:ascii="Calibri" w:eastAsia="Calibri" w:hAnsi="Calibri" w:cs="Calibri"/>
            <w:color w:val="0000FF"/>
            <w:sz w:val="22"/>
            <w:u w:val="single" w:color="0000FF"/>
          </w:rPr>
          <w:t>cell multimodal</w:t>
        </w:r>
      </w:hyperlink>
      <w:hyperlink r:id="rId43" w:anchor=".Y5fhMFHMJEY">
        <w:r>
          <w:rPr>
            <w:rFonts w:ascii="Calibri" w:eastAsia="Calibri" w:hAnsi="Calibri" w:cs="Calibri"/>
            <w:color w:val="0000FF"/>
            <w:sz w:val="22"/>
          </w:rPr>
          <w:t xml:space="preserve"> </w:t>
        </w:r>
      </w:hyperlink>
      <w:hyperlink r:id="rId44" w:anchor=".Y5fhMFHMJEY">
        <w:r>
          <w:rPr>
            <w:rFonts w:ascii="Calibri" w:eastAsia="Calibri" w:hAnsi="Calibri" w:cs="Calibri"/>
            <w:color w:val="0000FF"/>
            <w:sz w:val="22"/>
            <w:u w:val="single" w:color="0000FF"/>
          </w:rPr>
          <w:t xml:space="preserve">omics | </w:t>
        </w:r>
        <w:proofErr w:type="spellStart"/>
        <w:r>
          <w:rPr>
            <w:rFonts w:ascii="Calibri" w:eastAsia="Calibri" w:hAnsi="Calibri" w:cs="Calibri"/>
            <w:color w:val="0000FF"/>
            <w:sz w:val="22"/>
            <w:u w:val="single" w:color="0000FF"/>
          </w:rPr>
          <w:t>Zenodo</w:t>
        </w:r>
        <w:proofErr w:type="spellEnd"/>
      </w:hyperlink>
      <w:hyperlink r:id="rId45" w:anchor=".Y5fhMFHMJEY">
        <w:r>
          <w:t xml:space="preserve"> </w:t>
        </w:r>
      </w:hyperlink>
    </w:p>
    <w:sectPr w:rsidR="00CD59D8">
      <w:pgSz w:w="11906" w:h="16838"/>
      <w:pgMar w:top="1442" w:right="1435"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E1F81"/>
    <w:multiLevelType w:val="hybridMultilevel"/>
    <w:tmpl w:val="8A42B1C0"/>
    <w:lvl w:ilvl="0" w:tplc="9772922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B4E4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CE49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5E2F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B6A7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F4902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E43E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055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CCA6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FE24DF"/>
    <w:multiLevelType w:val="hybridMultilevel"/>
    <w:tmpl w:val="4F08790A"/>
    <w:lvl w:ilvl="0" w:tplc="0632E46C">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BC76F0">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2E4A4">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A4FAAE">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5A04DE">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841538">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B0E760">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F639F6">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A90CA">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253186E"/>
    <w:multiLevelType w:val="hybridMultilevel"/>
    <w:tmpl w:val="E5D849A6"/>
    <w:lvl w:ilvl="0" w:tplc="DA0EECB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80F6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E6F4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46BE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E83E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02A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699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AE53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B425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1D5294"/>
    <w:multiLevelType w:val="hybridMultilevel"/>
    <w:tmpl w:val="75805502"/>
    <w:lvl w:ilvl="0" w:tplc="C43838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BA9D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3CBE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3672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EE0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160A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6C7C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AE93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8276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61352055">
    <w:abstractNumId w:val="1"/>
  </w:num>
  <w:num w:numId="2" w16cid:durableId="1331257913">
    <w:abstractNumId w:val="3"/>
  </w:num>
  <w:num w:numId="3" w16cid:durableId="232739687">
    <w:abstractNumId w:val="2"/>
  </w:num>
  <w:num w:numId="4" w16cid:durableId="85171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9D8"/>
    <w:rsid w:val="0012280B"/>
    <w:rsid w:val="001E4A9D"/>
    <w:rsid w:val="0021002C"/>
    <w:rsid w:val="003B36C8"/>
    <w:rsid w:val="003D6180"/>
    <w:rsid w:val="004B63D2"/>
    <w:rsid w:val="005F598B"/>
    <w:rsid w:val="00644372"/>
    <w:rsid w:val="0068412E"/>
    <w:rsid w:val="00B860D3"/>
    <w:rsid w:val="00C95D8F"/>
    <w:rsid w:val="00CD5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4267"/>
  <w15:docId w15:val="{950AF922-458C-41E1-8226-54C07F33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right="8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86/s13059-021-02356-5" TargetMode="External"/><Relationship Id="rId13" Type="http://schemas.openxmlformats.org/officeDocument/2006/relationships/image" Target="media/image1.jpg"/><Relationship Id="rId18" Type="http://schemas.openxmlformats.org/officeDocument/2006/relationships/hyperlink" Target="https://doi.org/10.1186/s13059-021-02356-5" TargetMode="External"/><Relationship Id="rId26" Type="http://schemas.openxmlformats.org/officeDocument/2006/relationships/hyperlink" Target="https://umap-learn.readthedocs.io/en/latest/parameters.html" TargetMode="External"/><Relationship Id="rId39" Type="http://schemas.openxmlformats.org/officeDocument/2006/relationships/hyperlink" Target="https://zenodo.org/record/4682805" TargetMode="External"/><Relationship Id="rId3" Type="http://schemas.openxmlformats.org/officeDocument/2006/relationships/settings" Target="settings.xml"/><Relationship Id="rId21" Type="http://schemas.openxmlformats.org/officeDocument/2006/relationships/hyperlink" Target="https://doi.org/10.1186/s13059-021-02356-5" TargetMode="External"/><Relationship Id="rId34" Type="http://schemas.openxmlformats.org/officeDocument/2006/relationships/hyperlink" Target="https://www.nature.com/articles/s41587-019-0290-0" TargetMode="External"/><Relationship Id="rId42" Type="http://schemas.openxmlformats.org/officeDocument/2006/relationships/hyperlink" Target="https://zenodo.org/record/4682805" TargetMode="External"/><Relationship Id="rId47" Type="http://schemas.openxmlformats.org/officeDocument/2006/relationships/theme" Target="theme/theme1.xml"/><Relationship Id="rId7" Type="http://schemas.openxmlformats.org/officeDocument/2006/relationships/hyperlink" Target="https://doi.org/10.1186/s13059-021-02356-5" TargetMode="External"/><Relationship Id="rId12" Type="http://schemas.openxmlformats.org/officeDocument/2006/relationships/hyperlink" Target="https://doi.org/10.1186/s13059-021-02356-5" TargetMode="External"/><Relationship Id="rId17" Type="http://schemas.openxmlformats.org/officeDocument/2006/relationships/hyperlink" Target="https://doi.org/10.1186/s13059-021-02356-5" TargetMode="External"/><Relationship Id="rId25" Type="http://schemas.openxmlformats.org/officeDocument/2006/relationships/hyperlink" Target="https://umap-learn.readthedocs.io/en/latest/parameters.html" TargetMode="External"/><Relationship Id="rId33" Type="http://schemas.openxmlformats.org/officeDocument/2006/relationships/hyperlink" Target="https://www.nature.com/articles/s41587-019-0290-0" TargetMode="External"/><Relationship Id="rId38" Type="http://schemas.openxmlformats.org/officeDocument/2006/relationships/hyperlink" Target="https://zenodo.org/record/4682805"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86/s13059-021-02356-5" TargetMode="External"/><Relationship Id="rId20" Type="http://schemas.openxmlformats.org/officeDocument/2006/relationships/hyperlink" Target="https://doi.org/10.1186/s13059-021-02356-5" TargetMode="External"/><Relationship Id="rId29" Type="http://schemas.openxmlformats.org/officeDocument/2006/relationships/hyperlink" Target="https://pubmed.ncbi.nlm.nih.gov/34963591/" TargetMode="External"/><Relationship Id="rId41" Type="http://schemas.openxmlformats.org/officeDocument/2006/relationships/hyperlink" Target="https://zenodo.org/record/4682805" TargetMode="External"/><Relationship Id="rId1" Type="http://schemas.openxmlformats.org/officeDocument/2006/relationships/numbering" Target="numbering.xml"/><Relationship Id="rId6" Type="http://schemas.openxmlformats.org/officeDocument/2006/relationships/hyperlink" Target="https://doi.org/10.1186/s13059-021-02356-5" TargetMode="External"/><Relationship Id="rId11" Type="http://schemas.openxmlformats.org/officeDocument/2006/relationships/hyperlink" Target="https://doi.org/10.1186/s13059-021-02356-5" TargetMode="External"/><Relationship Id="rId24" Type="http://schemas.openxmlformats.org/officeDocument/2006/relationships/hyperlink" Target="https://doi.org/10.1186/s13059-021-02356-5" TargetMode="External"/><Relationship Id="rId32" Type="http://schemas.openxmlformats.org/officeDocument/2006/relationships/hyperlink" Target="https://www.nature.com/articles/s41587-019-0290-0" TargetMode="External"/><Relationship Id="rId37" Type="http://schemas.openxmlformats.org/officeDocument/2006/relationships/hyperlink" Target="https://www.nature.com/articles/s41587-019-0290-0" TargetMode="External"/><Relationship Id="rId40" Type="http://schemas.openxmlformats.org/officeDocument/2006/relationships/hyperlink" Target="https://zenodo.org/record/4682805" TargetMode="External"/><Relationship Id="rId45" Type="http://schemas.openxmlformats.org/officeDocument/2006/relationships/hyperlink" Target="https://zenodo.org/record/4682805" TargetMode="External"/><Relationship Id="rId5" Type="http://schemas.openxmlformats.org/officeDocument/2006/relationships/hyperlink" Target="https://doi.org/10.1186/s13059-021-02356-5" TargetMode="External"/><Relationship Id="rId15" Type="http://schemas.openxmlformats.org/officeDocument/2006/relationships/image" Target="media/image3.png"/><Relationship Id="rId23" Type="http://schemas.openxmlformats.org/officeDocument/2006/relationships/hyperlink" Target="https://doi.org/10.1186/s13059-021-02356-5" TargetMode="External"/><Relationship Id="rId28" Type="http://schemas.openxmlformats.org/officeDocument/2006/relationships/hyperlink" Target="https://umap-learn.readthedocs.io/en/latest/parameters.html" TargetMode="External"/><Relationship Id="rId36" Type="http://schemas.openxmlformats.org/officeDocument/2006/relationships/hyperlink" Target="https://www.nature.com/articles/s41587-019-0290-0" TargetMode="External"/><Relationship Id="rId10" Type="http://schemas.openxmlformats.org/officeDocument/2006/relationships/hyperlink" Target="https://doi.org/10.1186/s13059-021-02356-5" TargetMode="External"/><Relationship Id="rId19" Type="http://schemas.openxmlformats.org/officeDocument/2006/relationships/hyperlink" Target="https://doi.org/10.1186/s13059-021-02356-5" TargetMode="External"/><Relationship Id="rId31" Type="http://schemas.openxmlformats.org/officeDocument/2006/relationships/hyperlink" Target="https://www.nature.com/articles/s41587-019-0290-0" TargetMode="External"/><Relationship Id="rId44" Type="http://schemas.openxmlformats.org/officeDocument/2006/relationships/hyperlink" Target="https://zenodo.org/record/4682805" TargetMode="External"/><Relationship Id="rId4" Type="http://schemas.openxmlformats.org/officeDocument/2006/relationships/webSettings" Target="webSettings.xml"/><Relationship Id="rId9" Type="http://schemas.openxmlformats.org/officeDocument/2006/relationships/hyperlink" Target="https://doi.org/10.1186/s13059-021-02356-5" TargetMode="External"/><Relationship Id="rId14" Type="http://schemas.openxmlformats.org/officeDocument/2006/relationships/image" Target="media/image2.png"/><Relationship Id="rId22" Type="http://schemas.openxmlformats.org/officeDocument/2006/relationships/hyperlink" Target="https://doi.org/10.1186/s13059-021-02356-5" TargetMode="External"/><Relationship Id="rId27" Type="http://schemas.openxmlformats.org/officeDocument/2006/relationships/hyperlink" Target="https://umap-learn.readthedocs.io/en/latest/parameters.html" TargetMode="External"/><Relationship Id="rId30" Type="http://schemas.openxmlformats.org/officeDocument/2006/relationships/hyperlink" Target="https://pubmed.ncbi.nlm.nih.gov/34963591/" TargetMode="External"/><Relationship Id="rId35" Type="http://schemas.openxmlformats.org/officeDocument/2006/relationships/hyperlink" Target="https://www.nature.com/articles/s41587-019-0290-0" TargetMode="External"/><Relationship Id="rId43" Type="http://schemas.openxmlformats.org/officeDocument/2006/relationships/hyperlink" Target="https://zenodo.org/record/4682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Savla</dc:creator>
  <cp:keywords/>
  <cp:lastModifiedBy>Pooja Savla</cp:lastModifiedBy>
  <cp:revision>12</cp:revision>
  <dcterms:created xsi:type="dcterms:W3CDTF">2022-12-22T06:07:00Z</dcterms:created>
  <dcterms:modified xsi:type="dcterms:W3CDTF">2022-12-22T06:14:00Z</dcterms:modified>
</cp:coreProperties>
</file>