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9ABE" w14:textId="6B7DC006" w:rsidR="00583707" w:rsidRDefault="008E791D" w:rsidP="001868A5">
      <w:pPr>
        <w:jc w:val="center"/>
      </w:pPr>
      <w:r>
        <w:rPr>
          <w:noProof/>
        </w:rPr>
        <w:drawing>
          <wp:inline distT="0" distB="0" distL="0" distR="0" wp14:anchorId="1A9EF2C6" wp14:editId="52952F8E">
            <wp:extent cx="5891960" cy="3344333"/>
            <wp:effectExtent l="0" t="0" r="0" b="8890"/>
            <wp:docPr id="75857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960" cy="3355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3E08EC" w14:textId="574E7461" w:rsidR="001868A5" w:rsidRDefault="001868A5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 w:rsidRPr="001868A5">
        <w:rPr>
          <w:rFonts w:ascii="Times New Roman" w:hAnsi="Times New Roman" w:cs="Times New Roman"/>
          <w:b/>
          <w:bCs/>
          <w:sz w:val="24"/>
          <w:szCs w:val="24"/>
        </w:rPr>
        <w:t>Figure 1</w:t>
      </w:r>
      <w:r w:rsidRPr="001868A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Utilised pipeline in present study.</w:t>
      </w:r>
    </w:p>
    <w:p w14:paraId="1C9C15AA" w14:textId="6F94B366" w:rsidR="001868A5" w:rsidRPr="001868A5" w:rsidRDefault="001868A5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A0117" wp14:editId="06E7EC99">
            <wp:extent cx="6451569" cy="1986879"/>
            <wp:effectExtent l="0" t="0" r="6985" b="0"/>
            <wp:docPr id="620609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49" cy="2003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F04157" w14:textId="1ED82761" w:rsidR="001868A5" w:rsidRDefault="001868A5" w:rsidP="001868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8A5">
        <w:rPr>
          <w:rFonts w:ascii="Times New Roman" w:hAnsi="Times New Roman" w:cs="Times New Roman"/>
          <w:b/>
          <w:bCs/>
          <w:sz w:val="24"/>
          <w:szCs w:val="24"/>
        </w:rPr>
        <w:t>Figure 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1868A5">
        <w:rPr>
          <w:rFonts w:ascii="Times New Roman" w:hAnsi="Times New Roman" w:cs="Times New Roman"/>
          <w:sz w:val="24"/>
          <w:szCs w:val="24"/>
          <w:lang w:val="en-US"/>
        </w:rPr>
        <w:t>Expression values comparison among high-grade serous ovarian cancer. (</w:t>
      </w:r>
      <w:r w:rsidRPr="003421D3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1868A5">
        <w:rPr>
          <w:rFonts w:ascii="Times New Roman" w:hAnsi="Times New Roman" w:cs="Times New Roman"/>
          <w:sz w:val="24"/>
          <w:szCs w:val="24"/>
          <w:lang w:val="en-US"/>
        </w:rPr>
        <w:t>) After the integration and without joint normalization. (</w:t>
      </w:r>
      <w:r w:rsidRPr="003421D3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1868A5">
        <w:rPr>
          <w:rFonts w:ascii="Times New Roman" w:hAnsi="Times New Roman" w:cs="Times New Roman"/>
          <w:sz w:val="24"/>
          <w:szCs w:val="24"/>
          <w:lang w:val="en-US"/>
        </w:rPr>
        <w:t>) After the integration and joint normalization.</w:t>
      </w:r>
    </w:p>
    <w:p w14:paraId="4682BF77" w14:textId="32DD9B0D" w:rsidR="001868A5" w:rsidRDefault="001868A5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C56C95" wp14:editId="33179E37">
            <wp:extent cx="6023952" cy="4551592"/>
            <wp:effectExtent l="0" t="0" r="0" b="0"/>
            <wp:docPr id="1222167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873" cy="4569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4B7A3D" w14:textId="0A9D3195" w:rsidR="000C00FA" w:rsidRDefault="001868A5" w:rsidP="000C00F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8A5">
        <w:rPr>
          <w:rFonts w:ascii="Times New Roman" w:hAnsi="Times New Roman" w:cs="Times New Roman"/>
          <w:b/>
          <w:bCs/>
          <w:sz w:val="24"/>
          <w:szCs w:val="24"/>
        </w:rPr>
        <w:t>Figure 3:</w:t>
      </w:r>
      <w:r w:rsidRPr="001868A5">
        <w:rPr>
          <w:rFonts w:eastAsiaTheme="minorEastAsia"/>
          <w:color w:val="000000" w:themeColor="text1"/>
          <w:kern w:val="24"/>
          <w:sz w:val="36"/>
          <w:szCs w:val="36"/>
          <w:lang w:val="en-US"/>
        </w:rPr>
        <w:t xml:space="preserve"> </w:t>
      </w:r>
      <w:r w:rsidRPr="001868A5">
        <w:rPr>
          <w:rFonts w:ascii="Times New Roman" w:hAnsi="Times New Roman" w:cs="Times New Roman"/>
          <w:sz w:val="24"/>
          <w:szCs w:val="24"/>
          <w:lang w:val="en-US"/>
        </w:rPr>
        <w:t>Reconstruction of PPI network for dysregulated genes. A graph representation of PPI network for dysregulated genes using STRING database with confidence score &gt; 0.70 involving 1804 nodes as proteins and 8821 edges as interaction between them.</w:t>
      </w:r>
    </w:p>
    <w:p w14:paraId="28B23D37" w14:textId="114DB438" w:rsidR="000C00FA" w:rsidRPr="000C00FA" w:rsidRDefault="000C00FA" w:rsidP="000C00F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00FA">
        <w:rPr>
          <w:rFonts w:ascii="Times New Roman" w:hAnsi="Times New Roman" w:cs="Times New Roman"/>
          <w:b/>
          <w:bCs/>
          <w:sz w:val="24"/>
          <w:szCs w:val="24"/>
          <w:lang w:val="en-US"/>
        </w:rPr>
        <w:t>(A)</w:t>
      </w:r>
    </w:p>
    <w:p w14:paraId="4807BE32" w14:textId="7E5B97E9" w:rsidR="000C00FA" w:rsidRDefault="000C00FA" w:rsidP="000C00F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AAB68F" wp14:editId="1922F649">
            <wp:extent cx="5534740" cy="2767370"/>
            <wp:effectExtent l="0" t="0" r="8890" b="0"/>
            <wp:docPr id="2002634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229" cy="276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F555" w14:textId="77777777" w:rsidR="000C00FA" w:rsidRDefault="000C00FA" w:rsidP="000C00F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E50594" w14:textId="54B8193A" w:rsidR="000C00FA" w:rsidRPr="000C00FA" w:rsidRDefault="000C00FA" w:rsidP="000C00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00F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(B)</w:t>
      </w:r>
    </w:p>
    <w:p w14:paraId="3B41104C" w14:textId="4E2E5C24" w:rsidR="000C00FA" w:rsidRDefault="000C00FA" w:rsidP="001868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09BA9" wp14:editId="7A152B16">
            <wp:extent cx="5731510" cy="2865755"/>
            <wp:effectExtent l="0" t="0" r="2540" b="0"/>
            <wp:docPr id="760506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6863" name="Picture 7605068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C21E" w14:textId="420A2296" w:rsidR="00E135FA" w:rsidRPr="001868A5" w:rsidRDefault="000C00FA" w:rsidP="00E135FA">
      <w:pPr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="00E135FA">
        <w:rPr>
          <w:rFonts w:ascii="Times New Roman" w:hAnsi="Times New Roman" w:cs="Times New Roman"/>
          <w:sz w:val="24"/>
          <w:szCs w:val="24"/>
        </w:rPr>
        <w:t xml:space="preserve"> </w:t>
      </w:r>
      <w:r w:rsidR="00E135FA" w:rsidRPr="00E135FA">
        <w:rPr>
          <w:b/>
          <w:bCs/>
          <w:noProof/>
        </w:rPr>
        <w:drawing>
          <wp:inline distT="0" distB="0" distL="0" distR="0" wp14:anchorId="08C5BF3D" wp14:editId="5E59142C">
            <wp:extent cx="5731510" cy="2865755"/>
            <wp:effectExtent l="0" t="0" r="2540" b="0"/>
            <wp:docPr id="2029985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FA" w:rsidRPr="00E135FA">
        <w:rPr>
          <w:rFonts w:ascii="Times New Roman" w:hAnsi="Times New Roman" w:cs="Times New Roman"/>
          <w:b/>
          <w:bCs/>
          <w:sz w:val="24"/>
          <w:szCs w:val="24"/>
        </w:rPr>
        <w:lastRenderedPageBreak/>
        <w:t>(D)</w:t>
      </w:r>
      <w:r w:rsidR="00E135FA" w:rsidRPr="00E135FA">
        <w:t xml:space="preserve"> </w:t>
      </w:r>
      <w:r w:rsidR="00E135FA">
        <w:rPr>
          <w:noProof/>
        </w:rPr>
        <w:drawing>
          <wp:inline distT="0" distB="0" distL="0" distR="0" wp14:anchorId="67EC74C9" wp14:editId="7A60603E">
            <wp:extent cx="5731510" cy="2865755"/>
            <wp:effectExtent l="0" t="0" r="2540" b="0"/>
            <wp:docPr id="664548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99BF" w14:textId="4793A92D" w:rsidR="006B3C46" w:rsidRDefault="00167B55" w:rsidP="00167B55">
      <w:pPr>
        <w:jc w:val="both"/>
        <w:rPr>
          <w:rFonts w:ascii="Times New Roman" w:hAnsi="Times New Roman" w:cs="Times New Roman"/>
          <w:sz w:val="24"/>
          <w:szCs w:val="24"/>
        </w:rPr>
      </w:pPr>
      <w:r w:rsidRPr="009B118E">
        <w:rPr>
          <w:rFonts w:ascii="Times New Roman" w:hAnsi="Times New Roman" w:cs="Times New Roman"/>
          <w:b/>
          <w:bCs/>
          <w:sz w:val="24"/>
          <w:szCs w:val="24"/>
        </w:rPr>
        <w:t>Figure 4</w:t>
      </w:r>
      <w:r w:rsidRPr="00167B55">
        <w:rPr>
          <w:rFonts w:ascii="Times New Roman" w:hAnsi="Times New Roman" w:cs="Times New Roman"/>
          <w:sz w:val="24"/>
          <w:szCs w:val="24"/>
        </w:rPr>
        <w:t xml:space="preserve">: Enrichment analysis of the identified </w:t>
      </w:r>
      <w:r w:rsidR="009D64F4">
        <w:rPr>
          <w:rFonts w:ascii="Times New Roman" w:hAnsi="Times New Roman" w:cs="Times New Roman"/>
          <w:sz w:val="24"/>
          <w:szCs w:val="24"/>
        </w:rPr>
        <w:t>candidate</w:t>
      </w:r>
      <w:r w:rsidRPr="00167B55">
        <w:rPr>
          <w:rFonts w:ascii="Times New Roman" w:hAnsi="Times New Roman" w:cs="Times New Roman"/>
          <w:sz w:val="24"/>
          <w:szCs w:val="24"/>
        </w:rPr>
        <w:t xml:space="preserve"> genes. Bubble plots show the top 10 enriched terms for KEGG pathways (</w:t>
      </w:r>
      <w:r w:rsidRPr="0022553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167B55">
        <w:rPr>
          <w:rFonts w:ascii="Times New Roman" w:hAnsi="Times New Roman" w:cs="Times New Roman"/>
          <w:sz w:val="24"/>
          <w:szCs w:val="24"/>
        </w:rPr>
        <w:t xml:space="preserve">), Gene </w:t>
      </w:r>
      <w:r w:rsidR="008E2317">
        <w:rPr>
          <w:rFonts w:ascii="Times New Roman" w:hAnsi="Times New Roman" w:cs="Times New Roman"/>
          <w:sz w:val="24"/>
          <w:szCs w:val="24"/>
        </w:rPr>
        <w:t>o</w:t>
      </w:r>
      <w:r w:rsidRPr="00167B55">
        <w:rPr>
          <w:rFonts w:ascii="Times New Roman" w:hAnsi="Times New Roman" w:cs="Times New Roman"/>
          <w:sz w:val="24"/>
          <w:szCs w:val="24"/>
        </w:rPr>
        <w:t>ntology biological processes (</w:t>
      </w:r>
      <w:r w:rsidRPr="00225537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167B55">
        <w:rPr>
          <w:rFonts w:ascii="Times New Roman" w:hAnsi="Times New Roman" w:cs="Times New Roman"/>
          <w:sz w:val="24"/>
          <w:szCs w:val="24"/>
        </w:rPr>
        <w:t>), molecular functions (</w:t>
      </w:r>
      <w:r w:rsidRPr="0022553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167B55">
        <w:rPr>
          <w:rFonts w:ascii="Times New Roman" w:hAnsi="Times New Roman" w:cs="Times New Roman"/>
          <w:sz w:val="24"/>
          <w:szCs w:val="24"/>
        </w:rPr>
        <w:t>),</w:t>
      </w:r>
      <w:r w:rsidR="009D64F4">
        <w:rPr>
          <w:rFonts w:ascii="Times New Roman" w:hAnsi="Times New Roman" w:cs="Times New Roman"/>
          <w:sz w:val="24"/>
          <w:szCs w:val="24"/>
        </w:rPr>
        <w:t xml:space="preserve"> </w:t>
      </w:r>
      <w:r w:rsidRPr="00167B55">
        <w:rPr>
          <w:rFonts w:ascii="Times New Roman" w:hAnsi="Times New Roman" w:cs="Times New Roman"/>
          <w:sz w:val="24"/>
          <w:szCs w:val="24"/>
        </w:rPr>
        <w:t>cellular components (</w:t>
      </w:r>
      <w:r w:rsidRPr="00225537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167B55">
        <w:rPr>
          <w:rFonts w:ascii="Times New Roman" w:hAnsi="Times New Roman" w:cs="Times New Roman"/>
          <w:sz w:val="24"/>
          <w:szCs w:val="24"/>
        </w:rPr>
        <w:t xml:space="preserve">), based on the top 15 </w:t>
      </w:r>
      <w:r w:rsidR="009D64F4">
        <w:rPr>
          <w:rFonts w:ascii="Times New Roman" w:hAnsi="Times New Roman" w:cs="Times New Roman"/>
          <w:sz w:val="24"/>
          <w:szCs w:val="24"/>
        </w:rPr>
        <w:t>candidate</w:t>
      </w:r>
      <w:r w:rsidRPr="00167B55">
        <w:rPr>
          <w:rFonts w:ascii="Times New Roman" w:hAnsi="Times New Roman" w:cs="Times New Roman"/>
          <w:sz w:val="24"/>
          <w:szCs w:val="24"/>
        </w:rPr>
        <w:t xml:space="preserve"> genes. Analysis was performed using the </w:t>
      </w:r>
      <w:proofErr w:type="spellStart"/>
      <w:r w:rsidRPr="00167B55">
        <w:rPr>
          <w:rFonts w:ascii="Times New Roman" w:hAnsi="Times New Roman" w:cs="Times New Roman"/>
          <w:sz w:val="24"/>
          <w:szCs w:val="24"/>
        </w:rPr>
        <w:t>ShinyGO</w:t>
      </w:r>
      <w:proofErr w:type="spellEnd"/>
      <w:r w:rsidRPr="00167B55">
        <w:rPr>
          <w:rFonts w:ascii="Times New Roman" w:hAnsi="Times New Roman" w:cs="Times New Roman"/>
          <w:sz w:val="24"/>
          <w:szCs w:val="24"/>
        </w:rPr>
        <w:t xml:space="preserve"> tool, with p-values ≤ 0.05 considered statistically significant.</w:t>
      </w:r>
      <w:r w:rsidR="006B3C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C83C7E" wp14:editId="59454C83">
            <wp:extent cx="5988012" cy="3964329"/>
            <wp:effectExtent l="0" t="0" r="0" b="0"/>
            <wp:docPr id="3322416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602" cy="3972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264C88" w14:textId="3952CFAE" w:rsidR="00FC780D" w:rsidRDefault="00E202F2" w:rsidP="00FC78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3438E5" wp14:editId="07CCDCF5">
            <wp:extent cx="5807462" cy="3934906"/>
            <wp:effectExtent l="0" t="0" r="3175" b="8890"/>
            <wp:docPr id="11554510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139" cy="3948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FFC75" w14:textId="2BDC770B" w:rsidR="00E202F2" w:rsidRPr="001868A5" w:rsidRDefault="00E202F2" w:rsidP="00E202F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104E55" wp14:editId="46858DEB">
            <wp:extent cx="3440366" cy="1729501"/>
            <wp:effectExtent l="0" t="0" r="8255" b="4445"/>
            <wp:docPr id="20223146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771" cy="1747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2E69B" w14:textId="7509C450" w:rsidR="00E202F2" w:rsidRDefault="00396367" w:rsidP="00396367">
      <w:pPr>
        <w:jc w:val="both"/>
        <w:rPr>
          <w:rFonts w:ascii="Times New Roman" w:hAnsi="Times New Roman" w:cs="Times New Roman"/>
          <w:sz w:val="24"/>
          <w:szCs w:val="24"/>
        </w:rPr>
      </w:pPr>
      <w:r w:rsidRPr="009B118E">
        <w:rPr>
          <w:rFonts w:ascii="Times New Roman" w:hAnsi="Times New Roman" w:cs="Times New Roman"/>
          <w:b/>
          <w:bCs/>
          <w:sz w:val="24"/>
          <w:szCs w:val="24"/>
        </w:rPr>
        <w:t>Figure 5</w:t>
      </w:r>
      <w:r w:rsidRPr="00396367">
        <w:rPr>
          <w:rFonts w:ascii="Times New Roman" w:hAnsi="Times New Roman" w:cs="Times New Roman"/>
          <w:sz w:val="24"/>
          <w:szCs w:val="24"/>
        </w:rPr>
        <w:t xml:space="preserve">: Disease-specific survival analysis of </w:t>
      </w:r>
      <w:r w:rsidR="009D64F4">
        <w:rPr>
          <w:rFonts w:ascii="Times New Roman" w:hAnsi="Times New Roman" w:cs="Times New Roman"/>
          <w:sz w:val="24"/>
          <w:szCs w:val="24"/>
        </w:rPr>
        <w:t>candidate</w:t>
      </w:r>
      <w:r w:rsidRPr="00396367">
        <w:rPr>
          <w:rFonts w:ascii="Times New Roman" w:hAnsi="Times New Roman" w:cs="Times New Roman"/>
          <w:sz w:val="24"/>
          <w:szCs w:val="24"/>
        </w:rPr>
        <w:t xml:space="preserve"> genes. (</w:t>
      </w:r>
      <w:r w:rsidRPr="009B118E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9B118E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B118E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396367">
        <w:rPr>
          <w:rFonts w:ascii="Times New Roman" w:hAnsi="Times New Roman" w:cs="Times New Roman"/>
          <w:sz w:val="24"/>
          <w:szCs w:val="24"/>
        </w:rPr>
        <w:t>) Kaplan</w:t>
      </w:r>
      <w:r w:rsidR="00003132">
        <w:rPr>
          <w:rFonts w:ascii="Times New Roman" w:hAnsi="Times New Roman" w:cs="Times New Roman"/>
          <w:sz w:val="24"/>
          <w:szCs w:val="24"/>
        </w:rPr>
        <w:t>-</w:t>
      </w:r>
      <w:r w:rsidRPr="00396367">
        <w:rPr>
          <w:rFonts w:ascii="Times New Roman" w:hAnsi="Times New Roman" w:cs="Times New Roman"/>
          <w:sz w:val="24"/>
          <w:szCs w:val="24"/>
        </w:rPr>
        <w:t>Meier survival curves were plotted to compare low and high gene expression groups using an independent TCGA ovarian cancer dataset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396367">
        <w:rPr>
          <w:rFonts w:ascii="Times New Roman" w:hAnsi="Times New Roman" w:cs="Times New Roman"/>
          <w:sz w:val="24"/>
          <w:szCs w:val="24"/>
        </w:rPr>
        <w:t xml:space="preserve">Log-rank p-values ≤ 0.05 were considered statistically </w:t>
      </w:r>
      <w:r w:rsidRPr="00396367">
        <w:rPr>
          <w:rFonts w:ascii="Times New Roman" w:hAnsi="Times New Roman" w:cs="Times New Roman"/>
          <w:sz w:val="24"/>
          <w:szCs w:val="24"/>
        </w:rPr>
        <w:lastRenderedPageBreak/>
        <w:t>significant.</w:t>
      </w:r>
      <w:r w:rsidR="00DE47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836C81" wp14:editId="70D989A2">
            <wp:extent cx="5430847" cy="4404167"/>
            <wp:effectExtent l="0" t="0" r="0" b="0"/>
            <wp:docPr id="12871812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199" cy="4406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76A02" w14:textId="59BBD638" w:rsidR="00DE4761" w:rsidRPr="001868A5" w:rsidRDefault="00DE4761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1C74C2" wp14:editId="72F74714">
            <wp:extent cx="4119538" cy="3443468"/>
            <wp:effectExtent l="0" t="0" r="0" b="0"/>
            <wp:docPr id="15863079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66" cy="3453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E3E91" w14:textId="214619BD" w:rsidR="001868A5" w:rsidRDefault="00023510" w:rsidP="00023510">
      <w:pPr>
        <w:jc w:val="both"/>
        <w:rPr>
          <w:rFonts w:ascii="Times New Roman" w:hAnsi="Times New Roman" w:cs="Times New Roman"/>
          <w:sz w:val="24"/>
          <w:szCs w:val="24"/>
        </w:rPr>
      </w:pPr>
      <w:r w:rsidRPr="00023510">
        <w:rPr>
          <w:rFonts w:ascii="Times New Roman" w:hAnsi="Times New Roman" w:cs="Times New Roman"/>
          <w:b/>
          <w:bCs/>
          <w:sz w:val="24"/>
          <w:szCs w:val="24"/>
        </w:rPr>
        <w:t>Figure 6</w:t>
      </w:r>
      <w:r w:rsidRPr="00023510">
        <w:rPr>
          <w:rFonts w:ascii="Times New Roman" w:hAnsi="Times New Roman" w:cs="Times New Roman"/>
          <w:sz w:val="24"/>
          <w:szCs w:val="24"/>
        </w:rPr>
        <w:t>: Analysis of interactions between associated regulatory molecules. In the miRNA</w:t>
      </w:r>
      <w:r w:rsidR="00941E9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-</w:t>
      </w:r>
      <w:r w:rsidR="007B2B99">
        <w:rPr>
          <w:rFonts w:ascii="Times New Roman" w:hAnsi="Times New Roman" w:cs="Times New Roman"/>
          <w:sz w:val="24"/>
          <w:szCs w:val="24"/>
        </w:rPr>
        <w:t>candidate</w:t>
      </w:r>
      <w:r w:rsidRPr="00023510">
        <w:rPr>
          <w:rFonts w:ascii="Times New Roman" w:hAnsi="Times New Roman" w:cs="Times New Roman"/>
          <w:sz w:val="24"/>
          <w:szCs w:val="24"/>
        </w:rPr>
        <w:t xml:space="preserve"> gene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23510">
        <w:rPr>
          <w:rFonts w:ascii="Times New Roman" w:hAnsi="Times New Roman" w:cs="Times New Roman"/>
          <w:sz w:val="24"/>
          <w:szCs w:val="24"/>
        </w:rPr>
        <w:t xml:space="preserve"> network (</w:t>
      </w:r>
      <w:r w:rsidRPr="0002351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023510">
        <w:rPr>
          <w:rFonts w:ascii="Times New Roman" w:hAnsi="Times New Roman" w:cs="Times New Roman"/>
          <w:sz w:val="24"/>
          <w:szCs w:val="24"/>
        </w:rPr>
        <w:t xml:space="preserve">) </w:t>
      </w:r>
      <w:r w:rsidR="007B2B99">
        <w:rPr>
          <w:rFonts w:ascii="Times New Roman" w:hAnsi="Times New Roman" w:cs="Times New Roman"/>
          <w:sz w:val="24"/>
          <w:szCs w:val="24"/>
        </w:rPr>
        <w:t>candidate</w:t>
      </w:r>
      <w:r w:rsidRPr="00023510">
        <w:rPr>
          <w:rFonts w:ascii="Times New Roman" w:hAnsi="Times New Roman" w:cs="Times New Roman"/>
          <w:sz w:val="24"/>
          <w:szCs w:val="24"/>
        </w:rPr>
        <w:t xml:space="preserve"> genes are shown in blue ovals, 16 consensus miRNAs in purple diamonds, and other associated miRNAs in yellow diamonds</w:t>
      </w:r>
      <w:r>
        <w:rPr>
          <w:rFonts w:ascii="Times New Roman" w:hAnsi="Times New Roman" w:cs="Times New Roman"/>
          <w:sz w:val="24"/>
          <w:szCs w:val="24"/>
        </w:rPr>
        <w:t xml:space="preserve"> shape</w:t>
      </w:r>
      <w:r w:rsidRPr="00023510">
        <w:rPr>
          <w:rFonts w:ascii="Times New Roman" w:hAnsi="Times New Roman" w:cs="Times New Roman"/>
          <w:sz w:val="24"/>
          <w:szCs w:val="24"/>
        </w:rPr>
        <w:t>. In the TF</w:t>
      </w:r>
      <w:r w:rsidR="00941E9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-</w:t>
      </w:r>
      <w:r w:rsidR="007B2B99">
        <w:rPr>
          <w:rFonts w:ascii="Times New Roman" w:hAnsi="Times New Roman" w:cs="Times New Roman"/>
          <w:sz w:val="24"/>
          <w:szCs w:val="24"/>
        </w:rPr>
        <w:lastRenderedPageBreak/>
        <w:t>candidate</w:t>
      </w:r>
      <w:r w:rsidRPr="00023510">
        <w:rPr>
          <w:rFonts w:ascii="Times New Roman" w:hAnsi="Times New Roman" w:cs="Times New Roman"/>
          <w:sz w:val="24"/>
          <w:szCs w:val="24"/>
        </w:rPr>
        <w:t xml:space="preserve"> gene</w:t>
      </w:r>
      <w:r w:rsidR="00941E94">
        <w:rPr>
          <w:rFonts w:ascii="Times New Roman" w:hAnsi="Times New Roman" w:cs="Times New Roman"/>
          <w:sz w:val="24"/>
          <w:szCs w:val="24"/>
        </w:rPr>
        <w:t xml:space="preserve">s </w:t>
      </w:r>
      <w:r w:rsidRPr="00023510">
        <w:rPr>
          <w:rFonts w:ascii="Times New Roman" w:hAnsi="Times New Roman" w:cs="Times New Roman"/>
          <w:sz w:val="24"/>
          <w:szCs w:val="24"/>
        </w:rPr>
        <w:t>network (</w:t>
      </w:r>
      <w:r w:rsidRPr="0002351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023510">
        <w:rPr>
          <w:rFonts w:ascii="Times New Roman" w:hAnsi="Times New Roman" w:cs="Times New Roman"/>
          <w:sz w:val="24"/>
          <w:szCs w:val="24"/>
        </w:rPr>
        <w:t xml:space="preserve">), </w:t>
      </w:r>
      <w:r w:rsidR="007B2B99">
        <w:rPr>
          <w:rFonts w:ascii="Times New Roman" w:hAnsi="Times New Roman" w:cs="Times New Roman"/>
          <w:sz w:val="24"/>
          <w:szCs w:val="24"/>
        </w:rPr>
        <w:t>candidate</w:t>
      </w:r>
      <w:r w:rsidRPr="00023510">
        <w:rPr>
          <w:rFonts w:ascii="Times New Roman" w:hAnsi="Times New Roman" w:cs="Times New Roman"/>
          <w:sz w:val="24"/>
          <w:szCs w:val="24"/>
        </w:rPr>
        <w:t xml:space="preserve"> genes are shown in blue ovals, TFs interacting with more than three </w:t>
      </w:r>
      <w:r w:rsidR="007B2B99">
        <w:rPr>
          <w:rFonts w:ascii="Times New Roman" w:hAnsi="Times New Roman" w:cs="Times New Roman"/>
          <w:sz w:val="24"/>
          <w:szCs w:val="24"/>
        </w:rPr>
        <w:t>candidate</w:t>
      </w:r>
      <w:r w:rsidRPr="00023510">
        <w:rPr>
          <w:rFonts w:ascii="Times New Roman" w:hAnsi="Times New Roman" w:cs="Times New Roman"/>
          <w:sz w:val="24"/>
          <w:szCs w:val="24"/>
        </w:rPr>
        <w:t xml:space="preserve"> genes are shown in red, and other associated TFs are shown in yellow diamond</w:t>
      </w:r>
      <w:r>
        <w:rPr>
          <w:rFonts w:ascii="Times New Roman" w:hAnsi="Times New Roman" w:cs="Times New Roman"/>
          <w:sz w:val="24"/>
          <w:szCs w:val="24"/>
        </w:rPr>
        <w:t xml:space="preserve"> shape</w:t>
      </w:r>
      <w:r w:rsidRPr="00023510">
        <w:rPr>
          <w:rFonts w:ascii="Times New Roman" w:hAnsi="Times New Roman" w:cs="Times New Roman"/>
          <w:sz w:val="24"/>
          <w:szCs w:val="24"/>
        </w:rPr>
        <w:t>.</w:t>
      </w:r>
      <w:r w:rsidR="00204A20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CFEAC4D" w14:textId="2738A9B1" w:rsidR="00274E55" w:rsidRDefault="00274E55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7705F7" wp14:editId="66AD6251">
            <wp:extent cx="6140217" cy="4039565"/>
            <wp:effectExtent l="0" t="0" r="0" b="0"/>
            <wp:docPr id="1631714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023" cy="4045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4781D6" w14:textId="2B282EFD" w:rsidR="00274E55" w:rsidRDefault="00274E55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8DD44" wp14:editId="431062DC">
            <wp:extent cx="5868485" cy="3771121"/>
            <wp:effectExtent l="0" t="0" r="0" b="1270"/>
            <wp:docPr id="1755215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454" cy="3789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F3A45" w14:textId="2F6F9B0E" w:rsidR="00274E55" w:rsidRDefault="00274E55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B4ADC7" wp14:editId="6C1D81FB">
            <wp:extent cx="6227247" cy="3755985"/>
            <wp:effectExtent l="0" t="0" r="2540" b="0"/>
            <wp:docPr id="1945053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888" cy="3770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44C276" w14:textId="54D3D6DF" w:rsidR="00274E55" w:rsidRDefault="00274E55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24D3C7" wp14:editId="3651EFDD">
            <wp:extent cx="5955389" cy="4056927"/>
            <wp:effectExtent l="0" t="0" r="7620" b="0"/>
            <wp:docPr id="1513167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550" cy="4068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6127B" w14:textId="7BBE3C02" w:rsidR="00274E55" w:rsidRPr="001868A5" w:rsidRDefault="00274E55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58FB5C" wp14:editId="4D74CDCC">
            <wp:extent cx="5960535" cy="3644143"/>
            <wp:effectExtent l="0" t="0" r="2540" b="0"/>
            <wp:docPr id="15756068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560" cy="365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1C568" w14:textId="2AFB3050" w:rsidR="00AA3A94" w:rsidRDefault="00AA3A94" w:rsidP="00AA3A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A94">
        <w:rPr>
          <w:rFonts w:ascii="Times New Roman" w:hAnsi="Times New Roman" w:cs="Times New Roman"/>
          <w:b/>
          <w:bCs/>
          <w:sz w:val="24"/>
          <w:szCs w:val="24"/>
        </w:rPr>
        <w:t>Figure 7</w:t>
      </w:r>
      <w:r w:rsidRPr="00AA3A94">
        <w:rPr>
          <w:rFonts w:ascii="Times New Roman" w:hAnsi="Times New Roman" w:cs="Times New Roman"/>
          <w:sz w:val="24"/>
          <w:szCs w:val="24"/>
        </w:rPr>
        <w:t xml:space="preserve">: 2D molecular interaction of the top five </w:t>
      </w:r>
      <w:r w:rsidR="007B2B99" w:rsidRPr="00AA3A94">
        <w:rPr>
          <w:rFonts w:ascii="Times New Roman" w:hAnsi="Times New Roman" w:cs="Times New Roman"/>
          <w:sz w:val="24"/>
          <w:szCs w:val="24"/>
        </w:rPr>
        <w:t>selected candidate</w:t>
      </w:r>
      <w:r w:rsidR="007B2B99">
        <w:rPr>
          <w:rFonts w:ascii="Times New Roman" w:hAnsi="Times New Roman" w:cs="Times New Roman"/>
          <w:sz w:val="24"/>
          <w:szCs w:val="24"/>
        </w:rPr>
        <w:t xml:space="preserve"> </w:t>
      </w:r>
      <w:r w:rsidRPr="00AA3A94">
        <w:rPr>
          <w:rFonts w:ascii="Times New Roman" w:hAnsi="Times New Roman" w:cs="Times New Roman"/>
          <w:sz w:val="24"/>
          <w:szCs w:val="24"/>
        </w:rPr>
        <w:t>genes with docked FDA-approved drugs. (</w:t>
      </w:r>
      <w:r w:rsidRPr="00AA3A94">
        <w:rPr>
          <w:rFonts w:ascii="Times New Roman" w:hAnsi="Times New Roman" w:cs="Times New Roman"/>
          <w:b/>
          <w:bCs/>
          <w:sz w:val="24"/>
          <w:szCs w:val="24"/>
        </w:rPr>
        <w:t>A-E</w:t>
      </w:r>
      <w:r w:rsidRPr="00AA3A94">
        <w:rPr>
          <w:rFonts w:ascii="Times New Roman" w:hAnsi="Times New Roman" w:cs="Times New Roman"/>
          <w:sz w:val="24"/>
          <w:szCs w:val="24"/>
        </w:rPr>
        <w:t>) Non-covalent interactions between the top five</w:t>
      </w:r>
      <w:r w:rsidR="007B2B99">
        <w:rPr>
          <w:rFonts w:ascii="Times New Roman" w:hAnsi="Times New Roman" w:cs="Times New Roman"/>
          <w:sz w:val="24"/>
          <w:szCs w:val="24"/>
        </w:rPr>
        <w:t xml:space="preserve"> </w:t>
      </w:r>
      <w:r w:rsidRPr="00AA3A94">
        <w:rPr>
          <w:rFonts w:ascii="Times New Roman" w:hAnsi="Times New Roman" w:cs="Times New Roman"/>
          <w:sz w:val="24"/>
          <w:szCs w:val="24"/>
        </w:rPr>
        <w:t>genes and the four FDA-approved drugs with the highest binding affinities are shown. Diagrams were generated using BIOVIA Discovery Studio.</w:t>
      </w:r>
    </w:p>
    <w:p w14:paraId="50504045" w14:textId="743B1A6D" w:rsidR="0048176F" w:rsidRPr="001868A5" w:rsidRDefault="0024381A" w:rsidP="00AA3A9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9B8406" wp14:editId="2E016D5A">
            <wp:extent cx="5734144" cy="4201610"/>
            <wp:effectExtent l="0" t="0" r="0" b="8890"/>
            <wp:docPr id="11015332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84" cy="420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9AC08" w14:textId="064FF4D6" w:rsidR="001868A5" w:rsidRPr="002439C8" w:rsidRDefault="002439C8" w:rsidP="006C7350">
      <w:pPr>
        <w:jc w:val="both"/>
        <w:rPr>
          <w:rFonts w:ascii="Times New Roman" w:hAnsi="Times New Roman" w:cs="Times New Roman"/>
          <w:sz w:val="24"/>
          <w:szCs w:val="24"/>
        </w:rPr>
      </w:pPr>
      <w:r w:rsidRPr="002439C8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8</w:t>
      </w:r>
      <w:r w:rsidRPr="002439C8">
        <w:rPr>
          <w:rFonts w:ascii="Times New Roman" w:hAnsi="Times New Roman" w:cs="Times New Roman"/>
          <w:sz w:val="24"/>
          <w:szCs w:val="24"/>
        </w:rPr>
        <w:t xml:space="preserve">: MD simulation analysis of the EGFR target gene. Trajectory analysis </w:t>
      </w:r>
      <w:r>
        <w:rPr>
          <w:rFonts w:ascii="Times New Roman" w:hAnsi="Times New Roman" w:cs="Times New Roman"/>
          <w:sz w:val="24"/>
          <w:szCs w:val="24"/>
        </w:rPr>
        <w:t xml:space="preserve">of EGFR target gene </w:t>
      </w:r>
      <w:r w:rsidRPr="002439C8">
        <w:rPr>
          <w:rFonts w:ascii="Times New Roman" w:hAnsi="Times New Roman" w:cs="Times New Roman"/>
          <w:sz w:val="24"/>
          <w:szCs w:val="24"/>
        </w:rPr>
        <w:t xml:space="preserve">was performed for ligand-bound </w:t>
      </w:r>
      <w:r>
        <w:rPr>
          <w:rFonts w:ascii="Times New Roman" w:hAnsi="Times New Roman" w:cs="Times New Roman"/>
          <w:sz w:val="24"/>
          <w:szCs w:val="24"/>
        </w:rPr>
        <w:t>(EGFR</w:t>
      </w:r>
      <w:r w:rsidR="006C7350">
        <w:rPr>
          <w:rFonts w:ascii="Times New Roman" w:hAnsi="Times New Roman" w:cs="Times New Roman"/>
          <w:sz w:val="24"/>
          <w:szCs w:val="24"/>
        </w:rPr>
        <w:t>-Imatinib</w:t>
      </w:r>
      <w:r>
        <w:rPr>
          <w:rFonts w:ascii="Times New Roman" w:hAnsi="Times New Roman" w:cs="Times New Roman"/>
          <w:sz w:val="24"/>
          <w:szCs w:val="24"/>
        </w:rPr>
        <w:t>)</w:t>
      </w:r>
      <w:r w:rsidR="006C7350">
        <w:rPr>
          <w:rFonts w:ascii="Times New Roman" w:hAnsi="Times New Roman" w:cs="Times New Roman"/>
          <w:sz w:val="24"/>
          <w:szCs w:val="24"/>
        </w:rPr>
        <w:t xml:space="preserve"> </w:t>
      </w:r>
      <w:r w:rsidRPr="002439C8">
        <w:rPr>
          <w:rFonts w:ascii="Times New Roman" w:hAnsi="Times New Roman" w:cs="Times New Roman"/>
          <w:sz w:val="24"/>
          <w:szCs w:val="24"/>
        </w:rPr>
        <w:t>and unbound</w:t>
      </w:r>
      <w:r w:rsidR="006C7350">
        <w:rPr>
          <w:rFonts w:ascii="Times New Roman" w:hAnsi="Times New Roman" w:cs="Times New Roman"/>
          <w:sz w:val="24"/>
          <w:szCs w:val="24"/>
        </w:rPr>
        <w:t xml:space="preserve"> (EGFR-Water)</w:t>
      </w:r>
      <w:r w:rsidRPr="002439C8">
        <w:rPr>
          <w:rFonts w:ascii="Times New Roman" w:hAnsi="Times New Roman" w:cs="Times New Roman"/>
          <w:sz w:val="24"/>
          <w:szCs w:val="24"/>
        </w:rPr>
        <w:t xml:space="preserve"> forms to evaluate structural stability (</w:t>
      </w:r>
      <w:r w:rsidRPr="006C735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39C8">
        <w:rPr>
          <w:rFonts w:ascii="Times New Roman" w:hAnsi="Times New Roman" w:cs="Times New Roman"/>
          <w:sz w:val="24"/>
          <w:szCs w:val="24"/>
        </w:rPr>
        <w:t>), flexibility (</w:t>
      </w:r>
      <w:r w:rsidRPr="006C735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2439C8">
        <w:rPr>
          <w:rFonts w:ascii="Times New Roman" w:hAnsi="Times New Roman" w:cs="Times New Roman"/>
          <w:sz w:val="24"/>
          <w:szCs w:val="24"/>
        </w:rPr>
        <w:t>), and compactness (</w:t>
      </w:r>
      <w:r w:rsidRPr="006C735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2439C8">
        <w:rPr>
          <w:rFonts w:ascii="Times New Roman" w:hAnsi="Times New Roman" w:cs="Times New Roman"/>
          <w:sz w:val="24"/>
          <w:szCs w:val="24"/>
        </w:rPr>
        <w:t>).</w:t>
      </w:r>
    </w:p>
    <w:p w14:paraId="76C60B06" w14:textId="2378E9A0" w:rsidR="00EC4C02" w:rsidRDefault="00EC4C02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06AFF" wp14:editId="0F82881B">
            <wp:extent cx="6248231" cy="2104799"/>
            <wp:effectExtent l="0" t="0" r="635" b="0"/>
            <wp:docPr id="20979284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089" cy="2115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55A4F" w14:textId="1C1B3800" w:rsidR="00EC4C02" w:rsidRDefault="00EC4C02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D990E" wp14:editId="5445A973">
            <wp:extent cx="6198243" cy="1975485"/>
            <wp:effectExtent l="0" t="0" r="0" b="5715"/>
            <wp:docPr id="20936995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08" cy="2006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1703F8" w14:textId="2E17D0BD" w:rsidR="00EC4C02" w:rsidRDefault="00EC4C02" w:rsidP="001868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0084A" wp14:editId="4B58BE90">
            <wp:extent cx="6140370" cy="2044065"/>
            <wp:effectExtent l="0" t="0" r="0" b="0"/>
            <wp:docPr id="16193713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910" cy="2055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43362" w14:textId="63DF9220" w:rsidR="00EC4C02" w:rsidRPr="001868A5" w:rsidRDefault="00EC4C02" w:rsidP="0024381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C60664" wp14:editId="20022335">
            <wp:extent cx="2546294" cy="1811082"/>
            <wp:effectExtent l="0" t="0" r="6985" b="0"/>
            <wp:docPr id="63277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790" cy="1814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85E699" w14:textId="0450A38F" w:rsidR="001868A5" w:rsidRPr="001868A5" w:rsidRDefault="00671EE8" w:rsidP="00671EE8">
      <w:pPr>
        <w:jc w:val="both"/>
        <w:rPr>
          <w:rFonts w:ascii="Times New Roman" w:hAnsi="Times New Roman" w:cs="Times New Roman"/>
          <w:sz w:val="24"/>
          <w:szCs w:val="24"/>
        </w:rPr>
      </w:pPr>
      <w:r w:rsidRPr="00671EE8">
        <w:rPr>
          <w:rFonts w:ascii="Times New Roman" w:hAnsi="Times New Roman" w:cs="Times New Roman"/>
          <w:b/>
          <w:bCs/>
          <w:sz w:val="24"/>
          <w:szCs w:val="24"/>
        </w:rPr>
        <w:t>Figure 9:</w:t>
      </w:r>
      <w:r w:rsidRPr="00671EE8">
        <w:rPr>
          <w:rFonts w:ascii="Times New Roman" w:hAnsi="Times New Roman" w:cs="Times New Roman"/>
          <w:sz w:val="24"/>
          <w:szCs w:val="24"/>
        </w:rPr>
        <w:t xml:space="preserve"> Box plot analysis of </w:t>
      </w:r>
      <w:r w:rsidR="007B2B99">
        <w:rPr>
          <w:rFonts w:ascii="Times New Roman" w:hAnsi="Times New Roman" w:cs="Times New Roman"/>
          <w:sz w:val="24"/>
          <w:szCs w:val="24"/>
        </w:rPr>
        <w:t xml:space="preserve">identified </w:t>
      </w:r>
      <w:r w:rsidRPr="00671EE8">
        <w:rPr>
          <w:rFonts w:ascii="Times New Roman" w:hAnsi="Times New Roman" w:cs="Times New Roman"/>
          <w:sz w:val="24"/>
          <w:szCs w:val="24"/>
        </w:rPr>
        <w:t>gene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71E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between</w:t>
      </w:r>
      <w:r w:rsidRPr="00671EE8">
        <w:rPr>
          <w:rFonts w:ascii="Times New Roman" w:hAnsi="Times New Roman" w:cs="Times New Roman"/>
          <w:sz w:val="24"/>
          <w:szCs w:val="24"/>
        </w:rPr>
        <w:t xml:space="preserve"> normal </w:t>
      </w:r>
      <w:r>
        <w:rPr>
          <w:rFonts w:ascii="Times New Roman" w:hAnsi="Times New Roman" w:cs="Times New Roman"/>
          <w:sz w:val="24"/>
          <w:szCs w:val="24"/>
        </w:rPr>
        <w:t>and tumour</w:t>
      </w:r>
      <w:r w:rsidRPr="00671EE8">
        <w:rPr>
          <w:rFonts w:ascii="Times New Roman" w:hAnsi="Times New Roman" w:cs="Times New Roman"/>
          <w:sz w:val="24"/>
          <w:szCs w:val="24"/>
        </w:rPr>
        <w:t xml:space="preserve"> samples. (</w:t>
      </w:r>
      <w:r w:rsidRPr="002439C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2439C8" w:rsidRPr="002439C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2439C8"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71EE8">
        <w:t xml:space="preserve"> </w:t>
      </w:r>
      <w:r w:rsidRPr="00671EE8">
        <w:rPr>
          <w:rFonts w:ascii="Times New Roman" w:hAnsi="Times New Roman" w:cs="Times New Roman"/>
          <w:sz w:val="24"/>
          <w:szCs w:val="24"/>
        </w:rPr>
        <w:t xml:space="preserve">to verify the expression level of identified </w:t>
      </w:r>
      <w:r w:rsidR="002439C8" w:rsidRPr="00671EE8">
        <w:rPr>
          <w:rFonts w:ascii="Times New Roman" w:hAnsi="Times New Roman" w:cs="Times New Roman"/>
          <w:sz w:val="24"/>
          <w:szCs w:val="24"/>
        </w:rPr>
        <w:t>genes between</w:t>
      </w:r>
      <w:r w:rsidRPr="00671EE8">
        <w:rPr>
          <w:rFonts w:ascii="Times New Roman" w:hAnsi="Times New Roman" w:cs="Times New Roman"/>
          <w:sz w:val="24"/>
          <w:szCs w:val="24"/>
        </w:rPr>
        <w:t xml:space="preserve"> the tumour and normal sample of HGSOC </w:t>
      </w:r>
      <w:r w:rsidR="00D76EC2">
        <w:rPr>
          <w:rFonts w:ascii="Times New Roman" w:hAnsi="Times New Roman" w:cs="Times New Roman"/>
          <w:sz w:val="24"/>
          <w:szCs w:val="24"/>
        </w:rPr>
        <w:t>box plot were generated</w:t>
      </w:r>
      <w:r w:rsidRPr="00671EE8">
        <w:rPr>
          <w:rFonts w:ascii="Times New Roman" w:hAnsi="Times New Roman" w:cs="Times New Roman"/>
          <w:sz w:val="24"/>
          <w:szCs w:val="24"/>
        </w:rPr>
        <w:t xml:space="preserve"> using the tool GEPIA2.</w:t>
      </w:r>
    </w:p>
    <w:sectPr w:rsidR="001868A5" w:rsidRPr="00186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D3397" w14:textId="77777777" w:rsidR="00827952" w:rsidRDefault="00827952" w:rsidP="000C00FA">
      <w:pPr>
        <w:spacing w:after="0" w:line="240" w:lineRule="auto"/>
      </w:pPr>
      <w:r>
        <w:separator/>
      </w:r>
    </w:p>
  </w:endnote>
  <w:endnote w:type="continuationSeparator" w:id="0">
    <w:p w14:paraId="2AA6293C" w14:textId="77777777" w:rsidR="00827952" w:rsidRDefault="00827952" w:rsidP="000C0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E2A02" w14:textId="77777777" w:rsidR="00827952" w:rsidRDefault="00827952" w:rsidP="000C00FA">
      <w:pPr>
        <w:spacing w:after="0" w:line="240" w:lineRule="auto"/>
      </w:pPr>
      <w:r>
        <w:separator/>
      </w:r>
    </w:p>
  </w:footnote>
  <w:footnote w:type="continuationSeparator" w:id="0">
    <w:p w14:paraId="44568E49" w14:textId="77777777" w:rsidR="00827952" w:rsidRDefault="00827952" w:rsidP="000C0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B3"/>
    <w:rsid w:val="00003132"/>
    <w:rsid w:val="00023510"/>
    <w:rsid w:val="0009073A"/>
    <w:rsid w:val="000C00FA"/>
    <w:rsid w:val="00145F40"/>
    <w:rsid w:val="00167B55"/>
    <w:rsid w:val="0018665F"/>
    <w:rsid w:val="001868A5"/>
    <w:rsid w:val="00191D9B"/>
    <w:rsid w:val="00204A20"/>
    <w:rsid w:val="00225537"/>
    <w:rsid w:val="0024381A"/>
    <w:rsid w:val="002439C8"/>
    <w:rsid w:val="002710F0"/>
    <w:rsid w:val="00274E55"/>
    <w:rsid w:val="002D26B3"/>
    <w:rsid w:val="003421D3"/>
    <w:rsid w:val="00396367"/>
    <w:rsid w:val="003F47B3"/>
    <w:rsid w:val="00406748"/>
    <w:rsid w:val="0048176F"/>
    <w:rsid w:val="00491437"/>
    <w:rsid w:val="00562ADC"/>
    <w:rsid w:val="00583707"/>
    <w:rsid w:val="006129D6"/>
    <w:rsid w:val="00665E59"/>
    <w:rsid w:val="0067019A"/>
    <w:rsid w:val="00671EE8"/>
    <w:rsid w:val="006B3C46"/>
    <w:rsid w:val="006C7350"/>
    <w:rsid w:val="007B2B99"/>
    <w:rsid w:val="007B4DF1"/>
    <w:rsid w:val="007D7D4C"/>
    <w:rsid w:val="00827952"/>
    <w:rsid w:val="008E2317"/>
    <w:rsid w:val="008E791D"/>
    <w:rsid w:val="008F6F55"/>
    <w:rsid w:val="00941E94"/>
    <w:rsid w:val="009B118E"/>
    <w:rsid w:val="009D64F4"/>
    <w:rsid w:val="00AA3A94"/>
    <w:rsid w:val="00B74088"/>
    <w:rsid w:val="00C753BA"/>
    <w:rsid w:val="00D30EA8"/>
    <w:rsid w:val="00D76EC2"/>
    <w:rsid w:val="00DA5329"/>
    <w:rsid w:val="00DE4761"/>
    <w:rsid w:val="00E135FA"/>
    <w:rsid w:val="00E202F2"/>
    <w:rsid w:val="00EC4C02"/>
    <w:rsid w:val="00FC780D"/>
    <w:rsid w:val="00FE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467B"/>
  <w15:chartTrackingRefBased/>
  <w15:docId w15:val="{8CBF3312-859D-45E9-8EF0-D000A3B9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6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0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0FA"/>
  </w:style>
  <w:style w:type="paragraph" w:styleId="Footer">
    <w:name w:val="footer"/>
    <w:basedOn w:val="Normal"/>
    <w:link w:val="FooterChar"/>
    <w:uiPriority w:val="99"/>
    <w:unhideWhenUsed/>
    <w:rsid w:val="000C0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3428</TotalTime>
  <Pages>11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Singh</dc:creator>
  <cp:keywords/>
  <dc:description/>
  <cp:lastModifiedBy>Pooja Singh</cp:lastModifiedBy>
  <cp:revision>24</cp:revision>
  <dcterms:created xsi:type="dcterms:W3CDTF">2025-08-13T10:54:00Z</dcterms:created>
  <dcterms:modified xsi:type="dcterms:W3CDTF">2026-05-15T05:59:00Z</dcterms:modified>
</cp:coreProperties>
</file>