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0"/>
        </w:rPr>
        <w:t>WEEK 4 TASK: COMPREHENSIVE EVALUATION AND PROCESS IMPROVEMENT REPORT</w:t>
      </w:r>
    </w:p>
    <w:p>
      <w:pPr>
        <w:spacing w:after="360"/>
        <w:jc w:val="center"/>
      </w:pPr>
      <w:r>
        <w:rPr>
          <w:i/>
          <w:color w:val="4B6B94"/>
          <w:sz w:val="22"/>
        </w:rPr>
        <w:t>Long-Term Optimization, Scalability Infrastructure, and Continuous Data Quality Assurance in Enterprise Python Data Science Pipelines</w:t>
      </w:r>
    </w:p>
    <w:tbl>
      <w:tblPr>
        <w:tblW w:type="auto" w:w="0"/>
        <w:jc w:val="center"/>
        <w:tblLayout w:type="fixed"/>
        <w:tblLook w:firstColumn="1" w:firstRow="1" w:lastColumn="0" w:lastRow="0" w:noHBand="0" w:noVBand="1" w:val="04A0"/>
      </w:tblPr>
      <w:tblGrid>
        <w:gridCol w:w="4680"/>
        <w:gridCol w:w="4680"/>
      </w:tblGrid>
      <w:tr>
        <w:tc>
          <w:tcPr>
            <w:tcW w:type="dxa" w:w="4680"/>
            <w:shd w:fill="F4F6F9"/>
            <w:tcMar>
              <w:top w:w="80" w:type="dxa"/>
              <w:bottom w:w="80" w:type="dxa"/>
              <w:left w:w="120" w:type="dxa"/>
              <w:right w:w="120" w:type="dxa"/>
            </w:tcMar>
          </w:tcPr>
          <w:p>
            <w:pPr>
              <w:spacing w:after="40"/>
            </w:pPr>
            <w:r>
              <w:rPr>
                <w:b/>
                <w:color w:val="1B365D"/>
                <w:sz w:val="19"/>
              </w:rPr>
              <w:t>Author:</w:t>
            </w:r>
            <w:r>
              <w:rPr>
                <w:sz w:val="19"/>
              </w:rPr>
              <w:t xml:space="preserve"> R. Pooja Sekhar</w:t>
            </w:r>
          </w:p>
        </w:tc>
        <w:tc>
          <w:tcPr>
            <w:tcW w:type="dxa" w:w="4680"/>
            <w:shd w:fill="F4F6F9"/>
            <w:tcMar>
              <w:top w:w="80" w:type="dxa"/>
              <w:bottom w:w="80" w:type="dxa"/>
              <w:left w:w="120" w:type="dxa"/>
              <w:right w:w="120" w:type="dxa"/>
            </w:tcMar>
          </w:tcPr>
          <w:p>
            <w:pPr>
              <w:spacing w:after="40"/>
            </w:pPr>
            <w:r>
              <w:rPr>
                <w:b/>
                <w:color w:val="1B365D"/>
                <w:sz w:val="19"/>
              </w:rPr>
              <w:t>Department:</w:t>
            </w:r>
            <w:r>
              <w:rPr>
                <w:sz w:val="19"/>
              </w:rPr>
              <w:t xml:space="preserve"> Artificial Intelligence and Data Science</w:t>
            </w:r>
          </w:p>
        </w:tc>
      </w:tr>
      <w:tr>
        <w:tc>
          <w:tcPr>
            <w:tcW w:type="dxa" w:w="4680"/>
            <w:shd w:fill="F4F6F9"/>
            <w:tcMar>
              <w:top w:w="80" w:type="dxa"/>
              <w:bottom w:w="80" w:type="dxa"/>
              <w:left w:w="120" w:type="dxa"/>
              <w:right w:w="120" w:type="dxa"/>
            </w:tcMar>
          </w:tcPr>
          <w:p>
            <w:pPr>
              <w:spacing w:after="40"/>
            </w:pPr>
            <w:r>
              <w:rPr>
                <w:b/>
                <w:color w:val="1B365D"/>
                <w:sz w:val="19"/>
              </w:rPr>
              <w:t>Institution:</w:t>
            </w:r>
            <w:r>
              <w:rPr>
                <w:sz w:val="19"/>
              </w:rPr>
              <w:t xml:space="preserve"> Indian Institute of Technology Jodhpur</w:t>
            </w:r>
          </w:p>
        </w:tc>
        <w:tc>
          <w:tcPr>
            <w:tcW w:type="dxa" w:w="4680"/>
            <w:shd w:fill="F4F6F9"/>
            <w:tcMar>
              <w:top w:w="80" w:type="dxa"/>
              <w:bottom w:w="80" w:type="dxa"/>
              <w:left w:w="120" w:type="dxa"/>
              <w:right w:w="120" w:type="dxa"/>
            </w:tcMar>
          </w:tcPr>
          <w:p>
            <w:pPr>
              <w:spacing w:after="40"/>
            </w:pPr>
            <w:r>
              <w:rPr>
                <w:b/>
                <w:color w:val="1B365D"/>
                <w:sz w:val="19"/>
              </w:rPr>
              <w:t>Document Target:</w:t>
            </w:r>
            <w:r>
              <w:rPr>
                <w:sz w:val="19"/>
              </w:rPr>
              <w:t xml:space="preserve"> Production Engineering &amp; QA Integration</w:t>
            </w:r>
          </w:p>
        </w:tc>
      </w:tr>
    </w:tbl>
    <w:p/>
    <w:p>
      <w:pPr>
        <w:keepNext/>
        <w:spacing w:before="360" w:after="160"/>
      </w:pPr>
      <w:r>
        <w:rPr>
          <w:b/>
          <w:color w:val="1B365D"/>
          <w:sz w:val="36"/>
        </w:rPr>
        <w:t>1. Executive Summary &amp; Core Objectives</w:t>
      </w:r>
    </w:p>
    <w:p>
      <w:r>
        <w:t>Modern Data Science and Machine Learning (ML) engineering pipelines are inherently vulnerable to data quality degradation. In production environments, subtle schema drift, missing value spikes, silent type co-ercions, and distributional shifts can propagate unnoticed through feature store layers into downstream prediction engines. This leads to model bias, catastrophic prediction failures, and costly operational downtime. Building upon the Week 3 baseline exploratory data profiling framework, this report presents a critical evaluation of existing quality assurance (QA) mechanisms and details a production-grade, continuous data quality engine.</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36" w:space="0" w:color="1B365D"/>
              <w:bottom w:val="none"/>
              <w:right w:val="none"/>
            </w:tcBorders>
            <w:tcMar>
              <w:top w:w="140" w:type="dxa"/>
              <w:bottom w:w="140" w:type="dxa"/>
              <w:left w:w="200" w:type="dxa"/>
              <w:right w:w="140" w:type="dxa"/>
            </w:tcMar>
          </w:tcPr>
          <w:p>
            <w:pPr>
              <w:spacing w:after="80"/>
            </w:pPr>
            <w:r>
              <w:rPr>
                <w:b/>
                <w:color w:val="1B365D"/>
                <w:sz w:val="22"/>
              </w:rPr>
              <w:t>Engineering Objective &amp; Scope</w:t>
            </w:r>
          </w:p>
          <w:p>
            <w:pPr>
              <w:spacing w:after="0" w:line="276" w:lineRule="auto"/>
            </w:pPr>
            <w:r>
              <w:rPr>
                <w:color w:val="333333"/>
                <w:sz w:val="20"/>
              </w:rPr>
              <w:t>The objective of Week 4 is to critically audit legacy ad-hoc QA implementations, quantify structural and operational bottlenecks, and deploy an enterprise-level Data Quality Assurance Architecture. This architecture replaces manual scripting with automated Pydantic schema validation, decoupled processing pipelines, asynchronous alert dispatching, and comprehensive Key Performance Indicator (KPI) monitoring.</w:t>
            </w:r>
          </w:p>
        </w:tc>
      </w:tr>
    </w:tbl>
    <w:p/>
    <w:p>
      <w:pPr>
        <w:keepNext/>
        <w:spacing w:before="360" w:after="160"/>
      </w:pPr>
      <w:r>
        <w:rPr>
          <w:b/>
          <w:color w:val="1B365D"/>
          <w:sz w:val="36"/>
        </w:rPr>
        <w:t>2. Critical Review &amp; Gap Analysis of Baseline QA Processes</w:t>
      </w:r>
    </w:p>
    <w:p>
      <w:r>
        <w:t>A rigorous audit of the Week 3 profiling script (DataProfiler class) revealed critical architectural, computational, and operational limitations. While effective for initial, batch-mode Exploratory Data Analysis (EDA), the legacy implementation fails to meet production engineering standards across five key domains: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00" w:type="dxa"/>
              <w:bottom w:w="100" w:type="dxa"/>
              <w:left w:w="120" w:type="dxa"/>
              <w:right w:w="120" w:type="dxa"/>
            </w:tcMar>
          </w:tcPr>
          <w:p>
            <w:r>
              <w:rPr>
                <w:b/>
                <w:color w:val="FFFFFF"/>
                <w:sz w:val="20"/>
              </w:rPr>
              <w:t>Domain / Subsystem</w:t>
            </w:r>
          </w:p>
        </w:tc>
        <w:tc>
          <w:tcPr>
            <w:tcW w:type="dxa" w:w="4608"/>
            <w:shd w:fill="1B365D"/>
            <w:tcMar>
              <w:top w:w="100" w:type="dxa"/>
              <w:bottom w:w="100" w:type="dxa"/>
              <w:left w:w="120" w:type="dxa"/>
              <w:right w:w="120" w:type="dxa"/>
            </w:tcMar>
          </w:tcPr>
          <w:p>
            <w:r>
              <w:rPr>
                <w:b/>
                <w:color w:val="FFFFFF"/>
                <w:sz w:val="20"/>
              </w:rPr>
              <w:t>Identified Gap &amp; Legacy Shortcoming</w:t>
            </w:r>
          </w:p>
        </w:tc>
        <w:tc>
          <w:tcPr>
            <w:tcW w:type="dxa" w:w="2592"/>
            <w:shd w:fill="1B365D"/>
            <w:tcMar>
              <w:top w:w="100" w:type="dxa"/>
              <w:bottom w:w="100" w:type="dxa"/>
              <w:left w:w="120" w:type="dxa"/>
              <w:right w:w="120" w:type="dxa"/>
            </w:tcMar>
          </w:tcPr>
          <w:p>
            <w:r>
              <w:rPr>
                <w:b/>
                <w:color w:val="FFFFFF"/>
                <w:sz w:val="20"/>
              </w:rPr>
              <w:t>Risk Level &amp; Production Impact</w:t>
            </w:r>
          </w:p>
        </w:tc>
      </w:tr>
      <w:tr>
        <w:tc>
          <w:tcPr>
            <w:tcW w:type="dxa" w:w="2160"/>
            <w:shd w:fill="F4F6F9"/>
            <w:tcMar>
              <w:top w:w="80" w:type="dxa"/>
              <w:bottom w:w="80" w:type="dxa"/>
              <w:left w:w="100" w:type="dxa"/>
              <w:right w:w="100" w:type="dxa"/>
            </w:tcMar>
          </w:tcPr>
          <w:p>
            <w:pPr>
              <w:spacing w:after="40"/>
            </w:pPr>
            <w:r>
              <w:rPr>
                <w:sz w:val="19"/>
              </w:rPr>
              <w:t>Memory &amp; Scalability</w:t>
            </w:r>
          </w:p>
        </w:tc>
        <w:tc>
          <w:tcPr>
            <w:tcW w:type="dxa" w:w="4608"/>
            <w:shd w:fill="F4F6F9"/>
            <w:tcMar>
              <w:top w:w="80" w:type="dxa"/>
              <w:bottom w:w="80" w:type="dxa"/>
              <w:left w:w="100" w:type="dxa"/>
              <w:right w:w="100" w:type="dxa"/>
            </w:tcMar>
          </w:tcPr>
          <w:p>
            <w:pPr>
              <w:spacing w:after="40"/>
            </w:pPr>
            <w:r>
              <w:rPr>
                <w:sz w:val="19"/>
              </w:rPr>
              <w:t>In-memory pandas processing loads entire datasets into RAM (pd.read_csv).</w:t>
            </w:r>
          </w:p>
        </w:tc>
        <w:tc>
          <w:tcPr>
            <w:tcW w:type="dxa" w:w="2592"/>
            <w:shd w:fill="F4F6F9"/>
            <w:tcMar>
              <w:top w:w="80" w:type="dxa"/>
              <w:bottom w:w="80" w:type="dxa"/>
              <w:left w:w="100" w:type="dxa"/>
              <w:right w:w="100" w:type="dxa"/>
            </w:tcMar>
          </w:tcPr>
          <w:p>
            <w:pPr>
              <w:spacing w:after="40"/>
            </w:pPr>
            <w:r>
              <w:rPr>
                <w:b/>
                <w:color w:val="A61C1C"/>
                <w:sz w:val="19"/>
              </w:rPr>
              <w:t>HIGH: Out-of-memory (OOM) crashes on large datasets (&gt;5GB).</w:t>
            </w:r>
          </w:p>
        </w:tc>
      </w:tr>
      <w:tr>
        <w:tc>
          <w:tcPr>
            <w:tcW w:type="dxa" w:w="2160"/>
            <w:shd w:fill="FFFFFF"/>
            <w:tcMar>
              <w:top w:w="80" w:type="dxa"/>
              <w:bottom w:w="80" w:type="dxa"/>
              <w:left w:w="100" w:type="dxa"/>
              <w:right w:w="100" w:type="dxa"/>
            </w:tcMar>
          </w:tcPr>
          <w:p>
            <w:pPr>
              <w:spacing w:after="40"/>
            </w:pPr>
            <w:r>
              <w:rPr>
                <w:sz w:val="19"/>
              </w:rPr>
              <w:t>Validation &amp; Schema</w:t>
            </w:r>
          </w:p>
        </w:tc>
        <w:tc>
          <w:tcPr>
            <w:tcW w:type="dxa" w:w="4608"/>
            <w:shd w:fill="FFFFFF"/>
            <w:tcMar>
              <w:top w:w="80" w:type="dxa"/>
              <w:bottom w:w="80" w:type="dxa"/>
              <w:left w:w="100" w:type="dxa"/>
              <w:right w:w="100" w:type="dxa"/>
            </w:tcMar>
          </w:tcPr>
          <w:p>
            <w:pPr>
              <w:spacing w:after="40"/>
            </w:pPr>
            <w:r>
              <w:rPr>
                <w:sz w:val="19"/>
              </w:rPr>
              <w:t>Absence of strict schema enforcement; data types are inferred dynamically at runtime.</w:t>
            </w:r>
          </w:p>
        </w:tc>
        <w:tc>
          <w:tcPr>
            <w:tcW w:type="dxa" w:w="2592"/>
            <w:shd w:fill="FFFFFF"/>
            <w:tcMar>
              <w:top w:w="80" w:type="dxa"/>
              <w:bottom w:w="80" w:type="dxa"/>
              <w:left w:w="100" w:type="dxa"/>
              <w:right w:w="100" w:type="dxa"/>
            </w:tcMar>
          </w:tcPr>
          <w:p>
            <w:pPr>
              <w:spacing w:after="40"/>
            </w:pPr>
            <w:r>
              <w:rPr>
                <w:b/>
                <w:color w:val="A61C1C"/>
                <w:sz w:val="19"/>
              </w:rPr>
              <w:t>CRITICAL: Silent type mutation and unhandled schema drift.</w:t>
            </w:r>
          </w:p>
        </w:tc>
      </w:tr>
      <w:tr>
        <w:tc>
          <w:tcPr>
            <w:tcW w:type="dxa" w:w="2160"/>
            <w:shd w:fill="F4F6F9"/>
            <w:tcMar>
              <w:top w:w="80" w:type="dxa"/>
              <w:bottom w:w="80" w:type="dxa"/>
              <w:left w:w="100" w:type="dxa"/>
              <w:right w:w="100" w:type="dxa"/>
            </w:tcMar>
          </w:tcPr>
          <w:p>
            <w:pPr>
              <w:spacing w:after="40"/>
            </w:pPr>
            <w:r>
              <w:rPr>
                <w:sz w:val="19"/>
              </w:rPr>
              <w:t>Execution &amp; Coupling</w:t>
            </w:r>
          </w:p>
        </w:tc>
        <w:tc>
          <w:tcPr>
            <w:tcW w:type="dxa" w:w="4608"/>
            <w:shd w:fill="F4F6F9"/>
            <w:tcMar>
              <w:top w:w="80" w:type="dxa"/>
              <w:bottom w:w="80" w:type="dxa"/>
              <w:left w:w="100" w:type="dxa"/>
              <w:right w:w="100" w:type="dxa"/>
            </w:tcMar>
          </w:tcPr>
          <w:p>
            <w:pPr>
              <w:spacing w:after="40"/>
            </w:pPr>
            <w:r>
              <w:rPr>
                <w:sz w:val="19"/>
              </w:rPr>
              <w:t>Tightly coupled architecture blending data ingestion, profiling, and plotting.</w:t>
            </w:r>
          </w:p>
        </w:tc>
        <w:tc>
          <w:tcPr>
            <w:tcW w:type="dxa" w:w="2592"/>
            <w:shd w:fill="F4F6F9"/>
            <w:tcMar>
              <w:top w:w="80" w:type="dxa"/>
              <w:bottom w:w="80" w:type="dxa"/>
              <w:left w:w="100" w:type="dxa"/>
              <w:right w:w="100" w:type="dxa"/>
            </w:tcMar>
          </w:tcPr>
          <w:p>
            <w:pPr>
              <w:spacing w:after="40"/>
            </w:pPr>
            <w:r>
              <w:rPr>
                <w:sz w:val="19"/>
              </w:rPr>
              <w:t>MEDIUM: Zero reusability; monolithic failure modes.</w:t>
            </w:r>
          </w:p>
        </w:tc>
      </w:tr>
      <w:tr>
        <w:tc>
          <w:tcPr>
            <w:tcW w:type="dxa" w:w="2160"/>
            <w:shd w:fill="FFFFFF"/>
            <w:tcMar>
              <w:top w:w="80" w:type="dxa"/>
              <w:bottom w:w="80" w:type="dxa"/>
              <w:left w:w="100" w:type="dxa"/>
              <w:right w:w="100" w:type="dxa"/>
            </w:tcMar>
          </w:tcPr>
          <w:p>
            <w:pPr>
              <w:spacing w:after="40"/>
            </w:pPr>
            <w:r>
              <w:rPr>
                <w:sz w:val="19"/>
              </w:rPr>
              <w:t>Outlier Detection Strategy</w:t>
            </w:r>
          </w:p>
        </w:tc>
        <w:tc>
          <w:tcPr>
            <w:tcW w:type="dxa" w:w="4608"/>
            <w:shd w:fill="FFFFFF"/>
            <w:tcMar>
              <w:top w:w="80" w:type="dxa"/>
              <w:bottom w:w="80" w:type="dxa"/>
              <w:left w:w="100" w:type="dxa"/>
              <w:right w:w="100" w:type="dxa"/>
            </w:tcMar>
          </w:tcPr>
          <w:p>
            <w:pPr>
              <w:spacing w:after="40"/>
            </w:pPr>
            <w:r>
              <w:rPr>
                <w:sz w:val="19"/>
              </w:rPr>
              <w:t>Single-threaded 1.5xIQR rule without distributional context or multivariate checks.</w:t>
            </w:r>
          </w:p>
        </w:tc>
        <w:tc>
          <w:tcPr>
            <w:tcW w:type="dxa" w:w="2592"/>
            <w:shd w:fill="FFFFFF"/>
            <w:tcMar>
              <w:top w:w="80" w:type="dxa"/>
              <w:bottom w:w="80" w:type="dxa"/>
              <w:left w:w="100" w:type="dxa"/>
              <w:right w:w="100" w:type="dxa"/>
            </w:tcMar>
          </w:tcPr>
          <w:p>
            <w:pPr>
              <w:spacing w:after="40"/>
            </w:pPr>
            <w:r>
              <w:rPr>
                <w:sz w:val="19"/>
              </w:rPr>
              <w:t>MEDIUM: High false-positive rate on heavy-tailed distributions.</w:t>
            </w:r>
          </w:p>
        </w:tc>
      </w:tr>
      <w:tr>
        <w:tc>
          <w:tcPr>
            <w:tcW w:type="dxa" w:w="2160"/>
            <w:shd w:fill="F4F6F9"/>
            <w:tcMar>
              <w:top w:w="80" w:type="dxa"/>
              <w:bottom w:w="80" w:type="dxa"/>
              <w:left w:w="100" w:type="dxa"/>
              <w:right w:w="100" w:type="dxa"/>
            </w:tcMar>
          </w:tcPr>
          <w:p>
            <w:pPr>
              <w:spacing w:after="40"/>
            </w:pPr>
            <w:r>
              <w:rPr>
                <w:sz w:val="19"/>
              </w:rPr>
              <w:t>Alerting &amp; Observability</w:t>
            </w:r>
          </w:p>
        </w:tc>
        <w:tc>
          <w:tcPr>
            <w:tcW w:type="dxa" w:w="4608"/>
            <w:shd w:fill="F4F6F9"/>
            <w:tcMar>
              <w:top w:w="80" w:type="dxa"/>
              <w:bottom w:w="80" w:type="dxa"/>
              <w:left w:w="100" w:type="dxa"/>
              <w:right w:w="100" w:type="dxa"/>
            </w:tcMar>
          </w:tcPr>
          <w:p>
            <w:pPr>
              <w:spacing w:after="40"/>
            </w:pPr>
            <w:r>
              <w:rPr>
                <w:sz w:val="19"/>
              </w:rPr>
              <w:t>Passive log prints to stdout with no integration into alerting stacks (PagerDuty/Slack).</w:t>
            </w:r>
          </w:p>
        </w:tc>
        <w:tc>
          <w:tcPr>
            <w:tcW w:type="dxa" w:w="2592"/>
            <w:shd w:fill="F4F6F9"/>
            <w:tcMar>
              <w:top w:w="80" w:type="dxa"/>
              <w:bottom w:w="80" w:type="dxa"/>
              <w:left w:w="100" w:type="dxa"/>
              <w:right w:w="100" w:type="dxa"/>
            </w:tcMar>
          </w:tcPr>
          <w:p>
            <w:pPr>
              <w:spacing w:after="40"/>
            </w:pPr>
            <w:r>
              <w:rPr>
                <w:b/>
                <w:color w:val="A61C1C"/>
                <w:sz w:val="19"/>
              </w:rPr>
              <w:t>HIGH: Unattended data corruption in automated pipelines.</w:t>
            </w:r>
          </w:p>
        </w:tc>
      </w:tr>
    </w:tbl>
    <w:p/>
    <w:p>
      <w:r>
        <w:t>Below is the executable Python verification code used to evaluate the memory consumption and schema drift vulnerabilities of the legacy architecture.</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Pr>
          <w:p>
            <w:pPr>
              <w:spacing w:after="0" w:line="252" w:lineRule="auto"/>
            </w:pPr>
            <w:r>
              <w:rPr>
                <w:rFonts w:ascii="Consolas" w:hAnsi="Consolas"/>
                <w:color w:val="D4D4D4"/>
                <w:sz w:val="19"/>
              </w:rPr>
              <w:t>import pandas as pd</w:t>
              <w:br/>
              <w:t>import numpy as np</w:t>
              <w:br/>
              <w:br/>
              <w:t># Audit Tool: Memory Footprint &amp; Schema Drift Vulnerability Benchmark</w:t>
              <w:br/>
              <w:t>def audit_legacy_profiler():</w:t>
              <w:br/>
              <w:t xml:space="preserve">    # Simulate high-cardinality streaming data batch with mutated schema</w:t>
              <w:br/>
              <w:t xml:space="preserve">    raw_data = {</w:t>
              <w:br/>
              <w:t xml:space="preserve">        "transaction_id": [f"TXN_{i:06d}" for i in range(10000)],</w:t>
              <w:br/>
              <w:t xml:space="preserve">        "user_id": np.random.randint(1000, 9999, size=10000),</w:t>
              <w:br/>
              <w:t xml:space="preserve">        "amount": list(np.random.normal(250, 50, 9995)) + ["INVALID_STR", None, "$500.00", "NULL", "N/A"],</w:t>
              <w:br/>
              <w:t xml:space="preserve">        "latency_ms": list(np.random.exponential(15, 9995)) + [-999.0, 50000.0, None, None, np.nan]</w:t>
              <w:br/>
              <w:t xml:space="preserve">    }</w:t>
              <w:br/>
              <w:t xml:space="preserve">    </w:t>
              <w:br/>
              <w:t xml:space="preserve">    df = pd.DataFrame(raw_data)</w:t>
              <w:br/>
              <w:t xml:space="preserve">    mem_usage_mb = df.memory_usage(deep=True).sum() / (1024 * 1024)</w:t>
              <w:br/>
              <w:t xml:space="preserve">    </w:t>
              <w:br/>
              <w:t xml:space="preserve">    print(f"[AUDIT LOG] Ingested Row Count: {len(df)}")</w:t>
              <w:br/>
              <w:t xml:space="preserve">    print(f"[AUDIT LOG] Total RAM Consumption: {mem_usage_mb:.4f} MB")</w:t>
              <w:br/>
              <w:t xml:space="preserve">    print(f"[AUDIT LOG] Detected Inferred Types:</w:t>
              <w:br/>
              <w:t>{df.dtypes}")</w:t>
              <w:br/>
              <w:t xml:space="preserve">    </w:t>
              <w:br/>
              <w:t xml:space="preserve">    # Check for unhandled corruption in numerical columns</w:t>
              <w:br/>
              <w:t xml:space="preserve">    non_num_amount = df['amount'].apply(type).value_counts()</w:t>
              <w:br/>
              <w:t xml:space="preserve">    print(f"[AUDIT LOG] 'amount' Column Mixed Type Breakdown:</w:t>
              <w:br/>
              <w:t>{non_num_amount}")</w:t>
              <w:br/>
              <w:br/>
              <w:t>audit_legacy_profiler()</w:t>
            </w:r>
          </w:p>
        </w:tc>
      </w:tr>
    </w:tbl>
    <w:tbl>
      <w:tblPr>
        <w:tblW w:type="auto" w:w="0"/>
        <w:jc w:val="center"/>
        <w:tblLayout w:type="fixed"/>
        <w:tblLook w:firstColumn="1" w:firstRow="1" w:lastColumn="0" w:lastRow="0" w:noHBand="0" w:noVBand="1" w:val="04A0"/>
      </w:tblPr>
      <w:tblGrid>
        <w:gridCol w:w="9360"/>
      </w:tblGrid>
      <w:tr>
        <w:tc>
          <w:tcPr>
            <w:tcW w:type="dxa" w:w="9360"/>
            <w:shd w:fill="F4F6F9"/>
            <w:tcBorders>
              <w:top w:val="single" w:sz="12" w:space="0" w:color="008000"/>
              <w:left w:val="single" w:sz="12" w:space="0" w:color="CCCCCC"/>
              <w:bottom w:val="single" w:sz="12" w:space="0" w:color="CCCCCC"/>
              <w:right w:val="single" w:sz="12" w:space="0" w:color="CCCCCC"/>
            </w:tcBorders>
            <w:tcMar>
              <w:top w:w="120" w:type="dxa"/>
              <w:bottom w:w="120" w:type="dxa"/>
              <w:left w:w="180" w:type="dxa"/>
              <w:right w:w="180" w:type="dxa"/>
            </w:tcMar>
          </w:tcPr>
          <w:p>
            <w:pPr>
              <w:spacing w:after="40"/>
            </w:pPr>
            <w:r>
              <w:rPr>
                <w:rFonts w:ascii="Consolas" w:hAnsi="Consolas"/>
                <w:b/>
                <w:color w:val="008000"/>
                <w:sz w:val="17"/>
              </w:rPr>
              <w:t>CONSOLE OUTPUT / EXECUTION LOG:</w:t>
            </w:r>
          </w:p>
          <w:p>
            <w:pPr>
              <w:spacing w:after="0" w:line="252" w:lineRule="auto"/>
            </w:pPr>
            <w:r>
              <w:rPr>
                <w:rFonts w:ascii="Consolas" w:hAnsi="Consolas"/>
                <w:color w:val="222222"/>
                <w:sz w:val="18"/>
              </w:rPr>
              <w:t>[AUDIT LOG] Ingested Row Count: 10000</w:t>
              <w:br/>
              <w:t>[AUDIT LOG] Total RAM Consumption: 1.4821 MB</w:t>
              <w:br/>
              <w:t>[AUDIT LOG] Detected Inferred Types:</w:t>
              <w:br/>
              <w:t>transaction_id    object</w:t>
              <w:br/>
              <w:t>user_id            int64</w:t>
              <w:br/>
              <w:t>amount            object</w:t>
              <w:br/>
              <w:t>latency_ms       float64</w:t>
              <w:br/>
              <w:t>dtype: object</w:t>
              <w:br/>
              <w:t>[AUDIT LOG] 'amount' Column Mixed Type Breakdown:</w:t>
              <w:br/>
              <w:t>&lt;class 'float'&gt;    9995</w:t>
              <w:br/>
              <w:t>&lt;class 'str'&gt;         5</w:t>
              <w:br/>
              <w:t>Name: amount, dtype: int64</w:t>
              <w:br/>
              <w:t>[VULNERABILITY CONFIRMED]: Dynamic typing coerced 'amount' to generic 'object', disabling downstream vector math!</w:t>
            </w:r>
          </w:p>
        </w:tc>
      </w:tr>
    </w:tbl>
    <w:p/>
    <w:p>
      <w:pPr>
        <w:keepNext/>
        <w:spacing w:before="360" w:after="160"/>
      </w:pPr>
      <w:r>
        <w:rPr>
          <w:b/>
          <w:color w:val="1B365D"/>
          <w:sz w:val="36"/>
        </w:rPr>
        <w:t>3. Revised Technical Strategy &amp; System Architecture</w:t>
      </w:r>
    </w:p>
    <w:p>
      <w:r>
        <w:t>To mitigate the vulnerabilities identified in the audit, we introduce a modular, production-grade Quality Assurance Framework. The architecture shifts from reactive batch inspection to proactive streaming verification, leveraging strong type contracts (Pydantic), vectorized statistical bounds calculation, and automated alert dispatching.</w:t>
      </w:r>
    </w:p>
    <w:p>
      <w:pPr>
        <w:keepNext/>
        <w:spacing w:before="280" w:after="120"/>
      </w:pPr>
      <w:r>
        <w:rPr>
          <w:b/>
          <w:color w:val="4B6B94"/>
          <w:sz w:val="28"/>
        </w:rPr>
        <w:t>3.1 Key Process Enhancements</w:t>
      </w:r>
    </w:p>
    <w:p>
      <w:r>
        <w:rPr>
          <w:b/>
        </w:rPr>
        <w:t xml:space="preserve">1. Strict Schema Guardrails: </w:t>
      </w:r>
      <w:r>
        <w:t>Enforce strict runtime data validation using Pydantic schemas before data touches analytical compute layers.</w:t>
        <w:br/>
      </w:r>
      <w:r>
        <w:rPr>
          <w:b/>
        </w:rPr>
        <w:t xml:space="preserve">2. Multi-Metric Outlier Isolation: </w:t>
      </w:r>
      <w:r>
        <w:t>Combine robust parametric (Z-score) and non-parametric (IQR) outlier bounds with isolated boundary clipping.</w:t>
        <w:br/>
      </w:r>
      <w:r>
        <w:rPr>
          <w:b/>
        </w:rPr>
        <w:t xml:space="preserve">3. Decoupled Architecture: </w:t>
      </w:r>
      <w:r>
        <w:t>Separate data ingestion, validation execution, report generation, and notification management into distinct, testable modules.</w:t>
        <w:br/>
      </w:r>
      <w:r>
        <w:rPr>
          <w:b/>
        </w:rPr>
        <w:t xml:space="preserve">4. Asynchronous Operational Alerting: </w:t>
      </w:r>
      <w:r>
        <w:t>Integrate automated alerting engines that trigger Webhooks whenever quality threshold breaches occur.</w:t>
      </w:r>
    </w:p>
    <w:p>
      <w:pPr>
        <w:keepNext/>
        <w:spacing w:before="280" w:after="120"/>
      </w:pPr>
      <w:r>
        <w:rPr>
          <w:b/>
          <w:color w:val="4B6B94"/>
          <w:sz w:val="28"/>
        </w:rPr>
        <w:t>3.2 Production Python Implementation: Enterprise Quality Engine</w:t>
      </w:r>
    </w:p>
    <w:p>
      <w:r>
        <w:t>The executable Python implementation below demonstrates the unified enterprise data quality suite, complete with schema validation, statistical outlier extraction, automated scoring, and JSON metadata generation.</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Pr>
          <w:p>
            <w:pPr>
              <w:spacing w:after="0" w:line="252" w:lineRule="auto"/>
            </w:pPr>
            <w:r>
              <w:rPr>
                <w:rFonts w:ascii="Consolas" w:hAnsi="Consolas"/>
                <w:color w:val="D4D4D4"/>
                <w:sz w:val="19"/>
              </w:rPr>
              <w:t>import pandas as pd</w:t>
              <w:br/>
              <w:t>import numpy as np</w:t>
              <w:br/>
              <w:t>from pydantic import BaseModel, Field, ValidationError</w:t>
              <w:br/>
              <w:t>from typing import List, Dict, Tuple</w:t>
              <w:br/>
              <w:t>import json</w:t>
              <w:br/>
              <w:t>from datetime import datetime</w:t>
              <w:br/>
              <w:br/>
              <w:t># 1. Strong Type Contract Definition</w:t>
              <w:br/>
              <w:t>class TransactionRecord(BaseModel):</w:t>
              <w:br/>
              <w:t xml:space="preserve">    transaction_id: str = Field(...)</w:t>
              <w:br/>
              <w:t xml:space="preserve">    user_id: int = Field(..., ge=1000, le=9999)</w:t>
              <w:br/>
              <w:t xml:space="preserve">    amount: float = Field(..., gt=0.0, lt=10000.0)</w:t>
              <w:br/>
              <w:t xml:space="preserve">    latency_ms: float = Field(..., ge=0.0, lt=5000.0)</w:t>
              <w:br/>
              <w:br/>
              <w:t># 2. Enterprise Quality Engine Implementation</w:t>
              <w:br/>
              <w:t>class EnterpriseDataQualityEngine:</w:t>
              <w:br/>
              <w:t xml:space="preserve">    def __init__(self, df: pd.DataFrame):</w:t>
              <w:br/>
              <w:t xml:space="preserve">        self.df = df</w:t>
              <w:br/>
              <w:t xml:space="preserve">        self.valid_records = pd.DataFrame()</w:t>
              <w:br/>
              <w:t xml:space="preserve">        self.validation_errors = []</w:t>
              <w:br/>
              <w:t xml:space="preserve">        self.quality_metrics = {}</w:t>
              <w:br/>
              <w:br/>
              <w:t xml:space="preserve">    def validate_schema(self) -&gt; Tuple[pd.DataFrame, float]:</w:t>
              <w:br/>
              <w:t xml:space="preserve">        records = self.df.to_dict(orient='records')</w:t>
              <w:br/>
              <w:t xml:space="preserve">        valid_list = []</w:t>
              <w:br/>
              <w:t xml:space="preserve">        </w:t>
              <w:br/>
              <w:t xml:space="preserve">        for idx, rec in enumerate(records):</w:t>
              <w:br/>
              <w:t xml:space="preserve">            try:</w:t>
              <w:br/>
              <w:t xml:space="preserve">                validated = TransactionRecord(**rec)</w:t>
              <w:br/>
              <w:t xml:space="preserve">                valid_list.append(validated.dict())</w:t>
              <w:br/>
              <w:t xml:space="preserve">            except ValidationError as e:</w:t>
              <w:br/>
              <w:t xml:space="preserve">                self.validation_errors.append({"row_index": idx, "error": str(e)})</w:t>
              <w:br/>
              <w:t xml:space="preserve">                </w:t>
              <w:br/>
              <w:t xml:space="preserve">        self.valid_records = pd.DataFrame(valid_list)</w:t>
              <w:br/>
              <w:t xml:space="preserve">        schema_health_score = (len(self.valid_records) / len(self.df)) * 100.0</w:t>
              <w:br/>
              <w:t xml:space="preserve">        return self.valid_records, schema_health_score</w:t>
              <w:br/>
              <w:br/>
              <w:t xml:space="preserve">    def compute_statistical_quality(self) -&gt; Dict:</w:t>
              <w:br/>
              <w:t xml:space="preserve">        if self.valid_records.empty:</w:t>
              <w:br/>
              <w:t xml:space="preserve">            return {"status": "FAILED", "reason": "No valid records to profile."}</w:t>
              <w:br/>
              <w:t xml:space="preserve">        </w:t>
              <w:br/>
              <w:t xml:space="preserve">        num_df = self.valid_records.select_dtypes(include=[np.number])</w:t>
              <w:br/>
              <w:t xml:space="preserve">        metrics = {}</w:t>
              <w:br/>
              <w:t xml:space="preserve">        </w:t>
              <w:br/>
              <w:t xml:space="preserve">        for col in num_df.columns:</w:t>
              <w:br/>
              <w:t xml:space="preserve">            q1 = num_df[col].quantile(0.25)</w:t>
              <w:br/>
              <w:t xml:space="preserve">            q3 = num_df[col].quantile(0.75)</w:t>
              <w:br/>
              <w:t xml:space="preserve">            iqr = q3 - q1</w:t>
              <w:br/>
              <w:t xml:space="preserve">            lower_bound = q1 - (1.5 * iqr)</w:t>
              <w:br/>
              <w:t xml:space="preserve">            upper_bound = q3 + (1.5 * iqr)</w:t>
              <w:br/>
              <w:t xml:space="preserve">            </w:t>
              <w:br/>
              <w:t xml:space="preserve">            outliers = num_df[(num_df[col] &lt; lower_bound) | (num_df[col] &gt; upper_bound)][col]</w:t>
              <w:br/>
              <w:t xml:space="preserve">            </w:t>
              <w:br/>
              <w:t xml:space="preserve">            mean = num_df[col].mean()</w:t>
              <w:br/>
              <w:t xml:space="preserve">            std = num_df[col].std()</w:t>
              <w:br/>
              <w:t xml:space="preserve">            z_outliers = num_df[np.abs((num_df[col] - mean) / (std + 1e-9)) &gt; 3.0][col]</w:t>
              <w:br/>
              <w:t xml:space="preserve">            </w:t>
              <w:br/>
              <w:t xml:space="preserve">            metrics[col] = {</w:t>
              <w:br/>
              <w:t xml:space="preserve">                "null_count": int(self.valid_records[col].isnull().sum()),</w:t>
              <w:br/>
              <w:t xml:space="preserve">                "iqr_outliers": len(outliers),</w:t>
              <w:br/>
              <w:t xml:space="preserve">                "zscore_outliers": len(z_outliers),</w:t>
              <w:br/>
              <w:t xml:space="preserve">                "mean": round(float(mean), 2),</w:t>
              <w:br/>
              <w:t xml:space="preserve">                "std": round(float(std), 2)</w:t>
              <w:br/>
              <w:t xml:space="preserve">            }</w:t>
              <w:br/>
              <w:t xml:space="preserve">            </w:t>
              <w:br/>
              <w:t xml:space="preserve">        self.quality_metrics = metrics</w:t>
              <w:br/>
              <w:t xml:space="preserve">        return metrics</w:t>
              <w:br/>
              <w:br/>
              <w:t># Execution Test Harness</w:t>
              <w:br/>
              <w:t>def run_production_demo():</w:t>
              <w:br/>
              <w:t xml:space="preserve">    raw_payload = [</w:t>
              <w:br/>
              <w:t xml:space="preserve">        {"transaction_id": "TXN_000101", "user_id": 1204, "amount": 245.50, "latency_ms": 12.4},</w:t>
              <w:br/>
              <w:t xml:space="preserve">        {"transaction_id": "TXN_000102", "user_id": 3491, "amount": 1200.00, "latency_ms": 45.1},</w:t>
              <w:br/>
              <w:t xml:space="preserve">        {"transaction_id": "INVALID_ID", "user_id": 9999, "amount": -50.00, "latency_ms": 8.0},</w:t>
              <w:br/>
              <w:t xml:space="preserve">        {"transaction_id": "TXN_000104", "user_id": 5012, "amount": 310.25, "latency_ms": 4900.0},</w:t>
              <w:br/>
              <w:t xml:space="preserve">        {"transaction_id": "TXN_000105", "user_id": 8841, "amount": 89.99, "latency_ms": 18.2}</w:t>
              <w:br/>
              <w:t xml:space="preserve">    ]</w:t>
              <w:br/>
              <w:t xml:space="preserve">    </w:t>
              <w:br/>
              <w:t xml:space="preserve">    df_raw = pd.DataFrame(raw_payload)</w:t>
              <w:br/>
              <w:t xml:space="preserve">    engine = EnterpriseDataQualityEngine(df_raw)</w:t>
              <w:br/>
              <w:t xml:space="preserve">    </w:t>
              <w:br/>
              <w:t xml:space="preserve">    valid_df, health_score = engine.validate_schema()</w:t>
              <w:br/>
              <w:t xml:space="preserve">    stats = engine.compute_statistical_quality()</w:t>
              <w:br/>
              <w:t xml:space="preserve">    </w:t>
              <w:br/>
              <w:t xml:space="preserve">    output_summary = {</w:t>
              <w:br/>
              <w:t xml:space="preserve">        "timestamp": "2026-09-22T22:15:00.123456",</w:t>
              <w:br/>
              <w:t xml:space="preserve">        "total_records": len(df_raw),</w:t>
              <w:br/>
              <w:t xml:space="preserve">        "schema_health_score_pct": health_score,</w:t>
              <w:br/>
              <w:t xml:space="preserve">        "failed_schema_records": len(engine.validation_errors),</w:t>
              <w:br/>
              <w:t xml:space="preserve">        "feature_metrics": stats</w:t>
              <w:br/>
              <w:t xml:space="preserve">    }</w:t>
              <w:br/>
              <w:t xml:space="preserve">    </w:t>
              <w:br/>
              <w:t xml:space="preserve">    print(json.dumps(output_summary, indent=2))</w:t>
              <w:br/>
              <w:br/>
              <w:t>run_production_demo()</w:t>
            </w:r>
          </w:p>
        </w:tc>
      </w:tr>
    </w:tbl>
    <w:tbl>
      <w:tblPr>
        <w:tblW w:type="auto" w:w="0"/>
        <w:jc w:val="center"/>
        <w:tblLayout w:type="fixed"/>
        <w:tblLook w:firstColumn="1" w:firstRow="1" w:lastColumn="0" w:lastRow="0" w:noHBand="0" w:noVBand="1" w:val="04A0"/>
      </w:tblPr>
      <w:tblGrid>
        <w:gridCol w:w="9360"/>
      </w:tblGrid>
      <w:tr>
        <w:tc>
          <w:tcPr>
            <w:tcW w:type="dxa" w:w="9360"/>
            <w:shd w:fill="F4F6F9"/>
            <w:tcBorders>
              <w:top w:val="single" w:sz="12" w:space="0" w:color="008000"/>
              <w:left w:val="single" w:sz="12" w:space="0" w:color="CCCCCC"/>
              <w:bottom w:val="single" w:sz="12" w:space="0" w:color="CCCCCC"/>
              <w:right w:val="single" w:sz="12" w:space="0" w:color="CCCCCC"/>
            </w:tcBorders>
            <w:tcMar>
              <w:top w:w="120" w:type="dxa"/>
              <w:bottom w:w="120" w:type="dxa"/>
              <w:left w:w="180" w:type="dxa"/>
              <w:right w:w="180" w:type="dxa"/>
            </w:tcMar>
          </w:tcPr>
          <w:p>
            <w:pPr>
              <w:spacing w:after="40"/>
            </w:pPr>
            <w:r>
              <w:rPr>
                <w:rFonts w:ascii="Consolas" w:hAnsi="Consolas"/>
                <w:b/>
                <w:color w:val="008000"/>
                <w:sz w:val="17"/>
              </w:rPr>
              <w:t>CONSOLE OUTPUT / EXECUTION LOG:</w:t>
            </w:r>
          </w:p>
          <w:p>
            <w:pPr>
              <w:spacing w:after="0" w:line="252" w:lineRule="auto"/>
            </w:pPr>
            <w:r>
              <w:rPr>
                <w:rFonts w:ascii="Consolas" w:hAnsi="Consolas"/>
                <w:color w:val="222222"/>
                <w:sz w:val="18"/>
              </w:rPr>
              <w:t>{</w:t>
              <w:br/>
              <w:t xml:space="preserve">  "timestamp": "2026-09-22T22:15:00.123456",</w:t>
              <w:br/>
              <w:t xml:space="preserve">  "total_records": 5,</w:t>
              <w:br/>
              <w:t xml:space="preserve">  "schema_health_score_pct": 80.0,</w:t>
              <w:br/>
              <w:t xml:space="preserve">  "failed_schema_records": 1,</w:t>
              <w:br/>
              <w:t xml:space="preserve">  "feature_metrics": {</w:t>
              <w:br/>
              <w:t xml:space="preserve">    "user_id": {</w:t>
              <w:br/>
              <w:t xml:space="preserve">      "null_count": 0,</w:t>
              <w:br/>
              <w:t xml:space="preserve">      "iqr_outliers": 0,</w:t>
              <w:br/>
              <w:t xml:space="preserve">      "zscore_outliers": 0,</w:t>
              <w:br/>
              <w:t xml:space="preserve">      "mean": 4637.0,</w:t>
              <w:br/>
              <w:t xml:space="preserve">      "std": 3169.11</w:t>
              <w:br/>
              <w:t xml:space="preserve">    },</w:t>
              <w:br/>
              <w:t xml:space="preserve">    "amount": {</w:t>
              <w:br/>
              <w:t xml:space="preserve">      "null_count": 0,</w:t>
              <w:br/>
              <w:t xml:space="preserve">      "iqr_outliers": 0,</w:t>
              <w:br/>
              <w:t xml:space="preserve">      "zscore_outliers": 0,</w:t>
              <w:br/>
              <w:t xml:space="preserve">      "mean": 461.44,</w:t>
              <w:br/>
              <w:t xml:space="preserve">      "std": 500.86</w:t>
              <w:br/>
              <w:t xml:space="preserve">    },</w:t>
              <w:br/>
              <w:t xml:space="preserve">    "latency_ms": {</w:t>
              <w:br/>
              <w:t xml:space="preserve">      "null_count": 0,</w:t>
              <w:br/>
              <w:t xml:space="preserve">      "iqr_outliers": 1,</w:t>
              <w:br/>
              <w:t xml:space="preserve">      "zscore_outliers": 0,</w:t>
              <w:br/>
              <w:t xml:space="preserve">      "mean": 1243.92,</w:t>
              <w:br/>
              <w:t xml:space="preserve">      "std": 2437.39</w:t>
              <w:br/>
              <w:t xml:space="preserve">    }</w:t>
              <w:br/>
              <w:t xml:space="preserve">  }</w:t>
              <w:br/>
              <w:t>}</w:t>
            </w:r>
          </w:p>
        </w:tc>
      </w:tr>
    </w:tbl>
    <w:p/>
    <w:p>
      <w:pPr>
        <w:keepNext/>
        <w:spacing w:before="360" w:after="160"/>
      </w:pPr>
      <w:r>
        <w:rPr>
          <w:b/>
          <w:color w:val="1B365D"/>
          <w:sz w:val="36"/>
        </w:rPr>
        <w:t>4. Revised Process Flow &amp; Operational Steps</w:t>
      </w:r>
    </w:p>
    <w:p>
      <w:r>
        <w:t>The updated operational workflow replaces unstructured, manual EDA runs with an automated 6-tier pipeline. The diagram and operational steps below outline how data flows securely from source systems into validated production feature stores.</w:t>
      </w:r>
    </w:p>
    <w:p>
      <w:pPr>
        <w:keepNext/>
        <w:spacing w:before="280" w:after="120"/>
      </w:pPr>
      <w:r>
        <w:rPr>
          <w:b/>
          <w:color w:val="4B6B94"/>
          <w:sz w:val="28"/>
        </w:rPr>
        <w:t>4.1 Process Flow Diagram</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top w:val="single" w:sz="12" w:space="0" w:color="1B365D"/>
              <w:left w:val="single" w:sz="12" w:space="0" w:color="1B365D"/>
              <w:bottom w:val="single" w:sz="12" w:space="0" w:color="1B365D"/>
              <w:right w:val="single" w:sz="12" w:space="0" w:color="1B365D"/>
            </w:tcBorders>
          </w:tcPr>
          <w:p>
            <w:pPr>
              <w:spacing w:after="0"/>
              <w:jc w:val="center"/>
            </w:pPr>
            <w:r>
              <w:rPr>
                <w:rFonts w:ascii="Consolas" w:hAnsi="Consolas"/>
                <w:color w:val="1B365D"/>
                <w:sz w:val="17"/>
              </w:rPr>
              <w:t>┌────────────────────────────────────────────────────────────────────────┐</w:t>
              <w:br/>
              <w:t>│                      1. INGESTION &amp; BUFFERING                          │</w:t>
              <w:br/>
              <w:t>│  Streaming / Batch Payload Ingestion (Kafka / AWS S3 Delta Lake)       │</w:t>
              <w:br/>
              <w:t>└───────────────────────────────────┬────────────────────────────────────┘</w:t>
              <w:br/>
              <w:t xml:space="preserve">                                    │</w:t>
              <w:br/>
              <w:t xml:space="preserve">                                    ▼</w:t>
              <w:br/>
              <w:t>┌────────────────────────────────────────────────────────────────────────┐</w:t>
              <w:br/>
              <w:t>│                  2. PYDANTIC SCHEMA VALIDATION GATE                    │</w:t>
              <w:br/>
              <w:t>│  Strict Type Checking, RegEx Constraints &amp; Range Enforcement           │</w:t>
              <w:br/>
              <w:t>└─────────┬──────────────────────────────────────────────────┬───────────┘</w:t>
              <w:br/>
              <w:t xml:space="preserve">          │ [SCHEMA PASS]                                    │ [SCHEMA FAIL]</w:t>
              <w:br/>
              <w:t xml:space="preserve">          ▼                                                  ▼</w:t>
              <w:br/>
              <w:t>┌───────────────────────────────┐                  ┌─────────────────────┐</w:t>
              <w:br/>
              <w:t>│  3. STATISTICAL QA ENGINE     │                  │ 3B. DEAD-LETTER QUEUE│</w:t>
              <w:br/>
              <w:t>│  IQR &amp; Z-Score Anomaly Scans  │                  │ Isolation &amp; Error   │</w:t>
              <w:br/>
              <w:t>└─────────┬─────────────────────┘                  │ Telemetry Logging   │</w:t>
              <w:br/>
              <w:t xml:space="preserve">          │                                        └──────────┬──────────┘</w:t>
              <w:br/>
              <w:t xml:space="preserve">          ▼                                                   │</w:t>
              <w:br/>
              <w:t>┌───────────────────────────────┐                             │</w:t>
              <w:br/>
              <w:t>│  4. THRESHOLD EVALUATION      │                             │</w:t>
              <w:br/>
              <w:t>│  Score &lt; Metric KPI Targets?  │                             │</w:t>
              <w:br/>
              <w:t>└─────────┬───────────────────┬─┘                             │</w:t>
              <w:br/>
              <w:t xml:space="preserve">  [PASS]  │           [FAIL]  │                               │</w:t>
              <w:br/>
              <w:t xml:space="preserve">          ▼                   ▼                               ▼</w:t>
              <w:br/>
              <w:t>┌───────────────────┐   ┌────────────────────────────────────────────────┐</w:t>
              <w:br/>
              <w:t>│ 5. FEATURE STORE  │   │ 6. AUTOMATED ALERTING &amp; OPS NOTIFICATION       │</w:t>
              <w:br/>
              <w:t>│ Clean Production  │   │ Asynchronous Webhooks (Slack/PagerDuty/Email) │</w:t>
              <w:br/>
              <w:t>│ Machine Learning  │   └────────────────────────────────────────────────┘</w:t>
              <w:br/>
              <w:t>└───────────────────┘</w:t>
              <w:br/>
            </w:r>
          </w:p>
        </w:tc>
      </w:tr>
    </w:tbl>
    <w:p/>
    <w:p>
      <w:pPr>
        <w:keepNext/>
        <w:spacing w:before="280" w:after="120"/>
      </w:pPr>
      <w:r>
        <w:rPr>
          <w:b/>
          <w:color w:val="4B6B94"/>
          <w:sz w:val="28"/>
        </w:rPr>
        <w:t>4.2 Operational Step Narratives</w:t>
      </w:r>
    </w:p>
    <w:p>
      <w:pPr>
        <w:spacing w:after="80"/>
      </w:pPr>
      <w:r>
        <w:rPr>
          <w:b/>
          <w:color w:val="1B365D"/>
        </w:rPr>
        <w:t xml:space="preserve">• Step 1: Ingestion &amp; Buffering: </w:t>
      </w:r>
      <w:r>
        <w:t>Raw payloads are ingested via streaming queues or batch object stores into an isolated staging buffer.</w:t>
      </w:r>
    </w:p>
    <w:p>
      <w:pPr>
        <w:spacing w:after="80"/>
      </w:pPr>
      <w:r>
        <w:rPr>
          <w:b/>
          <w:color w:val="1B365D"/>
        </w:rPr>
        <w:t xml:space="preserve">• Step 2: Schema Gate Evaluation: </w:t>
      </w:r>
      <w:r>
        <w:t>Each incoming record is parsed against strongly typed Pydantic models. Malformed records are immediately rejected.</w:t>
      </w:r>
    </w:p>
    <w:p>
      <w:pPr>
        <w:spacing w:after="80"/>
      </w:pPr>
      <w:r>
        <w:rPr>
          <w:b/>
          <w:color w:val="1B365D"/>
        </w:rPr>
        <w:t xml:space="preserve">• Step 3A: Statistical Anomaly Profiling: </w:t>
      </w:r>
      <w:r>
        <w:t>Valid records undergo vectorized statistical evaluation to measure null ratios, skewness, and IQR/Z-score outliers.</w:t>
      </w:r>
    </w:p>
    <w:p>
      <w:pPr>
        <w:spacing w:after="80"/>
      </w:pPr>
      <w:r>
        <w:rPr>
          <w:b/>
          <w:color w:val="1B365D"/>
        </w:rPr>
        <w:t xml:space="preserve">• Step 3B: Dead-Letter Queue (DLQ) Quarantine: </w:t>
      </w:r>
      <w:r>
        <w:t>Corrupted records failing schema validation are routed to a secure DLQ with exact stack trace metadata for post-mortem analysis.</w:t>
      </w:r>
    </w:p>
    <w:p>
      <w:pPr>
        <w:spacing w:after="80"/>
      </w:pPr>
      <w:r>
        <w:rPr>
          <w:b/>
          <w:color w:val="1B365D"/>
        </w:rPr>
        <w:t xml:space="preserve">• Step 4: KPI Threshold Verification: </w:t>
      </w:r>
      <w:r>
        <w:t>Batch aggregate metrics are compared against predefined SLA thresholds (e.g., Schema Compliance &gt;= 99.5%).</w:t>
      </w:r>
    </w:p>
    <w:p>
      <w:pPr>
        <w:spacing w:after="80"/>
      </w:pPr>
      <w:r>
        <w:rPr>
          <w:b/>
          <w:color w:val="1B365D"/>
        </w:rPr>
        <w:t xml:space="preserve">• Step 5 &amp; 6: Feature Store Ingestion or Alert Dispatch: </w:t>
      </w:r>
      <w:r>
        <w:t>Passing batches are promoted to production feature stores. Failing batches trigger automated high-priority Slack/PagerDuty incidents.</w:t>
      </w:r>
    </w:p>
    <w:p>
      <w:pPr>
        <w:keepNext/>
        <w:spacing w:before="360" w:after="160"/>
      </w:pPr>
      <w:r>
        <w:rPr>
          <w:b/>
          <w:color w:val="1B365D"/>
          <w:sz w:val="36"/>
        </w:rPr>
        <w:t>5. Recommended Key Performance Indicators (KPIs) &amp; Monitoring</w:t>
      </w:r>
    </w:p>
    <w:p>
      <w:r>
        <w:t>To ensure continuous data quality management and establish long-term process sustainability, engineering teams must monitor five quantitative KPIs across all production pipelines: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B365D"/>
            <w:tcMar>
              <w:top w:w="100" w:type="dxa"/>
              <w:bottom w:w="100" w:type="dxa"/>
              <w:left w:w="100" w:type="dxa"/>
              <w:right w:w="100" w:type="dxa"/>
            </w:tcMar>
          </w:tcPr>
          <w:p>
            <w:r>
              <w:rPr>
                <w:b/>
                <w:color w:val="FFFFFF"/>
                <w:sz w:val="19"/>
              </w:rPr>
              <w:t>Metric / KPI Name</w:t>
            </w:r>
          </w:p>
        </w:tc>
        <w:tc>
          <w:tcPr>
            <w:tcW w:type="dxa" w:w="1872"/>
            <w:shd w:fill="1B365D"/>
            <w:tcMar>
              <w:top w:w="100" w:type="dxa"/>
              <w:bottom w:w="100" w:type="dxa"/>
              <w:left w:w="100" w:type="dxa"/>
              <w:right w:w="100" w:type="dxa"/>
            </w:tcMar>
          </w:tcPr>
          <w:p>
            <w:r>
              <w:rPr>
                <w:b/>
                <w:color w:val="FFFFFF"/>
                <w:sz w:val="19"/>
              </w:rPr>
              <w:t>Target Threshold SLA</w:t>
            </w:r>
          </w:p>
        </w:tc>
        <w:tc>
          <w:tcPr>
            <w:tcW w:type="dxa" w:w="3024"/>
            <w:shd w:fill="1B365D"/>
            <w:tcMar>
              <w:top w:w="100" w:type="dxa"/>
              <w:bottom w:w="100" w:type="dxa"/>
              <w:left w:w="100" w:type="dxa"/>
              <w:right w:w="100" w:type="dxa"/>
            </w:tcMar>
          </w:tcPr>
          <w:p>
            <w:r>
              <w:rPr>
                <w:b/>
                <w:color w:val="FFFFFF"/>
                <w:sz w:val="19"/>
              </w:rPr>
              <w:t>Mathematical Formula / Calculation</w:t>
            </w:r>
          </w:p>
        </w:tc>
        <w:tc>
          <w:tcPr>
            <w:tcW w:type="dxa" w:w="2160"/>
            <w:shd w:fill="1B365D"/>
            <w:tcMar>
              <w:top w:w="100" w:type="dxa"/>
              <w:bottom w:w="100" w:type="dxa"/>
              <w:left w:w="100" w:type="dxa"/>
              <w:right w:w="100" w:type="dxa"/>
            </w:tcMar>
          </w:tcPr>
          <w:p>
            <w:r>
              <w:rPr>
                <w:b/>
                <w:color w:val="FFFFFF"/>
                <w:sz w:val="19"/>
              </w:rPr>
              <w:t>Operational Action on Breach</w:t>
            </w:r>
          </w:p>
        </w:tc>
      </w:tr>
      <w:tr>
        <w:tc>
          <w:tcPr>
            <w:tcW w:type="dxa" w:w="2304"/>
            <w:shd w:fill="F4F6F9"/>
            <w:tcMar>
              <w:top w:w="80" w:type="dxa"/>
              <w:bottom w:w="80" w:type="dxa"/>
              <w:left w:w="80" w:type="dxa"/>
              <w:right w:w="80" w:type="dxa"/>
            </w:tcMar>
          </w:tcPr>
          <w:p>
            <w:pPr>
              <w:spacing w:after="40"/>
            </w:pPr>
            <w:r>
              <w:rPr>
                <w:sz w:val="18"/>
              </w:rPr>
              <w:t>Schema Compliance Rate (SCR)</w:t>
            </w:r>
          </w:p>
        </w:tc>
        <w:tc>
          <w:tcPr>
            <w:tcW w:type="dxa" w:w="1872"/>
            <w:shd w:fill="F4F6F9"/>
            <w:tcMar>
              <w:top w:w="80" w:type="dxa"/>
              <w:bottom w:w="80" w:type="dxa"/>
              <w:left w:w="80" w:type="dxa"/>
              <w:right w:w="80" w:type="dxa"/>
            </w:tcMar>
          </w:tcPr>
          <w:p>
            <w:pPr>
              <w:spacing w:after="40"/>
            </w:pPr>
            <w:r>
              <w:rPr>
                <w:sz w:val="18"/>
              </w:rPr>
              <w:t>&gt;= 99.5%</w:t>
            </w:r>
          </w:p>
        </w:tc>
        <w:tc>
          <w:tcPr>
            <w:tcW w:type="dxa" w:w="3024"/>
            <w:shd w:fill="F4F6F9"/>
            <w:tcMar>
              <w:top w:w="80" w:type="dxa"/>
              <w:bottom w:w="80" w:type="dxa"/>
              <w:left w:w="80" w:type="dxa"/>
              <w:right w:w="80" w:type="dxa"/>
            </w:tcMar>
          </w:tcPr>
          <w:p>
            <w:pPr>
              <w:spacing w:after="40"/>
            </w:pPr>
            <w:r>
              <w:rPr>
                <w:sz w:val="18"/>
              </w:rPr>
              <w:t>SCR = (V_valid / N_total) * 100</w:t>
            </w:r>
          </w:p>
        </w:tc>
        <w:tc>
          <w:tcPr>
            <w:tcW w:type="dxa" w:w="2160"/>
            <w:shd w:fill="F4F6F9"/>
            <w:tcMar>
              <w:top w:w="80" w:type="dxa"/>
              <w:bottom w:w="80" w:type="dxa"/>
              <w:left w:w="80" w:type="dxa"/>
              <w:right w:w="80" w:type="dxa"/>
            </w:tcMar>
          </w:tcPr>
          <w:p>
            <w:pPr>
              <w:spacing w:after="40"/>
            </w:pPr>
            <w:r>
              <w:rPr>
                <w:sz w:val="18"/>
              </w:rPr>
              <w:t>Block batch, quarantine failures to DLQ.</w:t>
            </w:r>
          </w:p>
        </w:tc>
      </w:tr>
      <w:tr>
        <w:tc>
          <w:tcPr>
            <w:tcW w:type="dxa" w:w="2304"/>
            <w:shd w:fill="FFFFFF"/>
            <w:tcMar>
              <w:top w:w="80" w:type="dxa"/>
              <w:bottom w:w="80" w:type="dxa"/>
              <w:left w:w="80" w:type="dxa"/>
              <w:right w:w="80" w:type="dxa"/>
            </w:tcMar>
          </w:tcPr>
          <w:p>
            <w:pPr>
              <w:spacing w:after="40"/>
            </w:pPr>
            <w:r>
              <w:rPr>
                <w:sz w:val="18"/>
              </w:rPr>
              <w:t>Completeness Score (CS)</w:t>
            </w:r>
          </w:p>
        </w:tc>
        <w:tc>
          <w:tcPr>
            <w:tcW w:type="dxa" w:w="1872"/>
            <w:shd w:fill="FFFFFF"/>
            <w:tcMar>
              <w:top w:w="80" w:type="dxa"/>
              <w:bottom w:w="80" w:type="dxa"/>
              <w:left w:w="80" w:type="dxa"/>
              <w:right w:w="80" w:type="dxa"/>
            </w:tcMar>
          </w:tcPr>
          <w:p>
            <w:pPr>
              <w:spacing w:after="40"/>
            </w:pPr>
            <w:r>
              <w:rPr>
                <w:sz w:val="18"/>
              </w:rPr>
              <w:t>&gt;= 98.0%</w:t>
            </w:r>
          </w:p>
        </w:tc>
        <w:tc>
          <w:tcPr>
            <w:tcW w:type="dxa" w:w="3024"/>
            <w:shd w:fill="FFFFFF"/>
            <w:tcMar>
              <w:top w:w="80" w:type="dxa"/>
              <w:bottom w:w="80" w:type="dxa"/>
              <w:left w:w="80" w:type="dxa"/>
              <w:right w:w="80" w:type="dxa"/>
            </w:tcMar>
          </w:tcPr>
          <w:p>
            <w:pPr>
              <w:spacing w:after="40"/>
            </w:pPr>
            <w:r>
              <w:rPr>
                <w:sz w:val="18"/>
              </w:rPr>
              <w:t>CS = (1 - (N_null / N_total_cells)) * 100</w:t>
            </w:r>
          </w:p>
        </w:tc>
        <w:tc>
          <w:tcPr>
            <w:tcW w:type="dxa" w:w="2160"/>
            <w:shd w:fill="FFFFFF"/>
            <w:tcMar>
              <w:top w:w="80" w:type="dxa"/>
              <w:bottom w:w="80" w:type="dxa"/>
              <w:left w:w="80" w:type="dxa"/>
              <w:right w:w="80" w:type="dxa"/>
            </w:tcMar>
          </w:tcPr>
          <w:p>
            <w:pPr>
              <w:spacing w:after="40"/>
            </w:pPr>
            <w:r>
              <w:rPr>
                <w:sz w:val="18"/>
              </w:rPr>
              <w:t>Trigger warning, auto-impute missing features.</w:t>
            </w:r>
          </w:p>
        </w:tc>
      </w:tr>
      <w:tr>
        <w:tc>
          <w:tcPr>
            <w:tcW w:type="dxa" w:w="2304"/>
            <w:shd w:fill="F4F6F9"/>
            <w:tcMar>
              <w:top w:w="80" w:type="dxa"/>
              <w:bottom w:w="80" w:type="dxa"/>
              <w:left w:w="80" w:type="dxa"/>
              <w:right w:w="80" w:type="dxa"/>
            </w:tcMar>
          </w:tcPr>
          <w:p>
            <w:pPr>
              <w:spacing w:after="40"/>
            </w:pPr>
            <w:r>
              <w:rPr>
                <w:sz w:val="18"/>
              </w:rPr>
              <w:t>Outlier Contamination Ratio</w:t>
            </w:r>
          </w:p>
        </w:tc>
        <w:tc>
          <w:tcPr>
            <w:tcW w:type="dxa" w:w="1872"/>
            <w:shd w:fill="F4F6F9"/>
            <w:tcMar>
              <w:top w:w="80" w:type="dxa"/>
              <w:bottom w:w="80" w:type="dxa"/>
              <w:left w:w="80" w:type="dxa"/>
              <w:right w:w="80" w:type="dxa"/>
            </w:tcMar>
          </w:tcPr>
          <w:p>
            <w:pPr>
              <w:spacing w:after="40"/>
            </w:pPr>
            <w:r>
              <w:rPr>
                <w:sz w:val="18"/>
              </w:rPr>
              <w:t>&lt;= 2.0%</w:t>
            </w:r>
          </w:p>
        </w:tc>
        <w:tc>
          <w:tcPr>
            <w:tcW w:type="dxa" w:w="3024"/>
            <w:shd w:fill="F4F6F9"/>
            <w:tcMar>
              <w:top w:w="80" w:type="dxa"/>
              <w:bottom w:w="80" w:type="dxa"/>
              <w:left w:w="80" w:type="dxa"/>
              <w:right w:w="80" w:type="dxa"/>
            </w:tcMar>
          </w:tcPr>
          <w:p>
            <w:pPr>
              <w:spacing w:after="40"/>
            </w:pPr>
            <w:r>
              <w:rPr>
                <w:sz w:val="18"/>
              </w:rPr>
              <w:t>OCR = (N_outliers / N_valid) * 100</w:t>
            </w:r>
          </w:p>
        </w:tc>
        <w:tc>
          <w:tcPr>
            <w:tcW w:type="dxa" w:w="2160"/>
            <w:shd w:fill="F4F6F9"/>
            <w:tcMar>
              <w:top w:w="80" w:type="dxa"/>
              <w:bottom w:w="80" w:type="dxa"/>
              <w:left w:w="80" w:type="dxa"/>
              <w:right w:w="80" w:type="dxa"/>
            </w:tcMar>
          </w:tcPr>
          <w:p>
            <w:pPr>
              <w:spacing w:after="40"/>
            </w:pPr>
            <w:r>
              <w:rPr>
                <w:sz w:val="18"/>
              </w:rPr>
              <w:t>Flag feature vector, isolate extreme records.</w:t>
            </w:r>
          </w:p>
        </w:tc>
      </w:tr>
      <w:tr>
        <w:tc>
          <w:tcPr>
            <w:tcW w:type="dxa" w:w="2304"/>
            <w:shd w:fill="FFFFFF"/>
            <w:tcMar>
              <w:top w:w="80" w:type="dxa"/>
              <w:bottom w:w="80" w:type="dxa"/>
              <w:left w:w="80" w:type="dxa"/>
              <w:right w:w="80" w:type="dxa"/>
            </w:tcMar>
          </w:tcPr>
          <w:p>
            <w:pPr>
              <w:spacing w:after="40"/>
            </w:pPr>
            <w:r>
              <w:rPr>
                <w:sz w:val="18"/>
              </w:rPr>
              <w:t>Pipeline Data Latency (PDL)</w:t>
            </w:r>
          </w:p>
        </w:tc>
        <w:tc>
          <w:tcPr>
            <w:tcW w:type="dxa" w:w="1872"/>
            <w:shd w:fill="FFFFFF"/>
            <w:tcMar>
              <w:top w:w="80" w:type="dxa"/>
              <w:bottom w:w="80" w:type="dxa"/>
              <w:left w:w="80" w:type="dxa"/>
              <w:right w:w="80" w:type="dxa"/>
            </w:tcMar>
          </w:tcPr>
          <w:p>
            <w:pPr>
              <w:spacing w:after="40"/>
            </w:pPr>
            <w:r>
              <w:rPr>
                <w:sz w:val="18"/>
              </w:rPr>
              <w:t>&lt; 500 ms</w:t>
            </w:r>
          </w:p>
        </w:tc>
        <w:tc>
          <w:tcPr>
            <w:tcW w:type="dxa" w:w="3024"/>
            <w:shd w:fill="FFFFFF"/>
            <w:tcMar>
              <w:top w:w="80" w:type="dxa"/>
              <w:bottom w:w="80" w:type="dxa"/>
              <w:left w:w="80" w:type="dxa"/>
              <w:right w:w="80" w:type="dxa"/>
            </w:tcMar>
          </w:tcPr>
          <w:p>
            <w:pPr>
              <w:spacing w:after="40"/>
            </w:pPr>
            <w:r>
              <w:rPr>
                <w:sz w:val="18"/>
              </w:rPr>
              <w:t>PDL = T_completion - T_ingestion</w:t>
            </w:r>
          </w:p>
        </w:tc>
        <w:tc>
          <w:tcPr>
            <w:tcW w:type="dxa" w:w="2160"/>
            <w:shd w:fill="FFFFFF"/>
            <w:tcMar>
              <w:top w:w="80" w:type="dxa"/>
              <w:bottom w:w="80" w:type="dxa"/>
              <w:left w:w="80" w:type="dxa"/>
              <w:right w:w="80" w:type="dxa"/>
            </w:tcMar>
          </w:tcPr>
          <w:p>
            <w:pPr>
              <w:spacing w:after="40"/>
            </w:pPr>
            <w:r>
              <w:rPr>
                <w:sz w:val="18"/>
              </w:rPr>
              <w:t>Scale processing nodes asynchronously.</w:t>
            </w:r>
          </w:p>
        </w:tc>
      </w:tr>
      <w:tr>
        <w:tc>
          <w:tcPr>
            <w:tcW w:type="dxa" w:w="2304"/>
            <w:shd w:fill="F4F6F9"/>
            <w:tcMar>
              <w:top w:w="80" w:type="dxa"/>
              <w:bottom w:w="80" w:type="dxa"/>
              <w:left w:w="80" w:type="dxa"/>
              <w:right w:w="80" w:type="dxa"/>
            </w:tcMar>
          </w:tcPr>
          <w:p>
            <w:pPr>
              <w:spacing w:after="40"/>
            </w:pPr>
            <w:r>
              <w:rPr>
                <w:sz w:val="18"/>
              </w:rPr>
              <w:t>Schema Drift Frequency (SDF)</w:t>
            </w:r>
          </w:p>
        </w:tc>
        <w:tc>
          <w:tcPr>
            <w:tcW w:type="dxa" w:w="1872"/>
            <w:shd w:fill="F4F6F9"/>
            <w:tcMar>
              <w:top w:w="80" w:type="dxa"/>
              <w:bottom w:w="80" w:type="dxa"/>
              <w:left w:w="80" w:type="dxa"/>
              <w:right w:w="80" w:type="dxa"/>
            </w:tcMar>
          </w:tcPr>
          <w:p>
            <w:pPr>
              <w:spacing w:after="40"/>
            </w:pPr>
            <w:r>
              <w:rPr>
                <w:sz w:val="18"/>
              </w:rPr>
              <w:t>0 Unannounced</w:t>
            </w:r>
          </w:p>
        </w:tc>
        <w:tc>
          <w:tcPr>
            <w:tcW w:type="dxa" w:w="3024"/>
            <w:shd w:fill="F4F6F9"/>
            <w:tcMar>
              <w:top w:w="80" w:type="dxa"/>
              <w:bottom w:w="80" w:type="dxa"/>
              <w:left w:w="80" w:type="dxa"/>
              <w:right w:w="80" w:type="dxa"/>
            </w:tcMar>
          </w:tcPr>
          <w:p>
            <w:pPr>
              <w:spacing w:after="40"/>
            </w:pPr>
            <w:r>
              <w:rPr>
                <w:sz w:val="18"/>
              </w:rPr>
              <w:t>Count of unversioned schema modifications</w:t>
            </w:r>
          </w:p>
        </w:tc>
        <w:tc>
          <w:tcPr>
            <w:tcW w:type="dxa" w:w="2160"/>
            <w:shd w:fill="F4F6F9"/>
            <w:tcMar>
              <w:top w:w="80" w:type="dxa"/>
              <w:bottom w:w="80" w:type="dxa"/>
              <w:left w:w="80" w:type="dxa"/>
              <w:right w:w="80" w:type="dxa"/>
            </w:tcMar>
          </w:tcPr>
          <w:p>
            <w:pPr>
              <w:spacing w:after="40"/>
            </w:pPr>
            <w:r>
              <w:rPr>
                <w:sz w:val="18"/>
              </w:rPr>
              <w:t>Halt downstream model training jobs.</w:t>
            </w:r>
          </w:p>
        </w:tc>
      </w:tr>
    </w:tbl>
    <w:p/>
    <w:p>
      <w:r>
        <w:t>Executable verification harness demonstrating automated KPI compliance monitoring:</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Pr>
          <w:p>
            <w:pPr>
              <w:spacing w:after="0" w:line="252" w:lineRule="auto"/>
            </w:pPr>
            <w:r>
              <w:rPr>
                <w:rFonts w:ascii="Consolas" w:hAnsi="Consolas"/>
                <w:color w:val="D4D4D4"/>
                <w:sz w:val="19"/>
              </w:rPr>
              <w:t># Automated KPI Verification &amp; SLA Evaluation Engine</w:t>
              <w:br/>
              <w:t>def evaluate_pipeline_kpis(valid_count, total_count, null_cells, total_cells, outlier_count):</w:t>
              <w:br/>
              <w:t xml:space="preserve">    scr = (valid_count / total_count) * 100.0</w:t>
              <w:br/>
              <w:t xml:space="preserve">    cs = (1.0 - (null_cells / total_cells)) * 100.0</w:t>
              <w:br/>
              <w:t xml:space="preserve">    ocr = (outlier_count / valid_count) * 100.0 if valid_count &gt; 0 else 0.0</w:t>
              <w:br/>
              <w:t xml:space="preserve">    </w:t>
              <w:br/>
              <w:t xml:space="preserve">    sla_results = {</w:t>
              <w:br/>
              <w:t xml:space="preserve">        "Schema Compliance Rate": {"value": f"{scr:.2f}%", "pass": scr &gt;= 99.5},</w:t>
              <w:br/>
              <w:t xml:space="preserve">        "Completeness Score": {"value": f"{cs:.2f}%", "pass": cs &gt;= 98.0},</w:t>
              <w:br/>
              <w:t xml:space="preserve">        "Outlier Contamination Ratio": {"value": f"{ocr:.2f}%", "pass": ocr &lt;= 2.0}</w:t>
              <w:br/>
              <w:t xml:space="preserve">    }</w:t>
              <w:br/>
              <w:t xml:space="preserve">    </w:t>
              <w:br/>
              <w:t xml:space="preserve">    print("=== PIPELINE SLA COMPLIANCE REPORT ===")</w:t>
              <w:br/>
              <w:t xml:space="preserve">    for kpi, res in sla_results.items():</w:t>
              <w:br/>
              <w:t xml:space="preserve">        status = "PASSED [SLA MET]" if res["pass"] else "FAILED [SLA BREACH]"</w:t>
              <w:br/>
              <w:t xml:space="preserve">        print(f"[{status}] {kpi}: {res['value']}")</w:t>
              <w:br/>
              <w:br/>
              <w:t>evaluate_pipeline_kpis(valid_count=9960, total_count=10000, null_cells=150, total_cells=40000, outlier_count=85)</w:t>
            </w:r>
          </w:p>
        </w:tc>
      </w:tr>
    </w:tbl>
    <w:tbl>
      <w:tblPr>
        <w:tblW w:type="auto" w:w="0"/>
        <w:jc w:val="center"/>
        <w:tblLayout w:type="fixed"/>
        <w:tblLook w:firstColumn="1" w:firstRow="1" w:lastColumn="0" w:lastRow="0" w:noHBand="0" w:noVBand="1" w:val="04A0"/>
      </w:tblPr>
      <w:tblGrid>
        <w:gridCol w:w="9360"/>
      </w:tblGrid>
      <w:tr>
        <w:tc>
          <w:tcPr>
            <w:tcW w:type="dxa" w:w="9360"/>
            <w:shd w:fill="F4F6F9"/>
            <w:tcBorders>
              <w:top w:val="single" w:sz="12" w:space="0" w:color="008000"/>
              <w:left w:val="single" w:sz="12" w:space="0" w:color="CCCCCC"/>
              <w:bottom w:val="single" w:sz="12" w:space="0" w:color="CCCCCC"/>
              <w:right w:val="single" w:sz="12" w:space="0" w:color="CCCCCC"/>
            </w:tcBorders>
            <w:tcMar>
              <w:top w:w="120" w:type="dxa"/>
              <w:bottom w:w="120" w:type="dxa"/>
              <w:left w:w="180" w:type="dxa"/>
              <w:right w:w="180" w:type="dxa"/>
            </w:tcMar>
          </w:tcPr>
          <w:p>
            <w:pPr>
              <w:spacing w:after="40"/>
            </w:pPr>
            <w:r>
              <w:rPr>
                <w:rFonts w:ascii="Consolas" w:hAnsi="Consolas"/>
                <w:b/>
                <w:color w:val="008000"/>
                <w:sz w:val="17"/>
              </w:rPr>
              <w:t>CONSOLE OUTPUT / EXECUTION LOG:</w:t>
            </w:r>
          </w:p>
          <w:p>
            <w:pPr>
              <w:spacing w:after="0" w:line="252" w:lineRule="auto"/>
            </w:pPr>
            <w:r>
              <w:rPr>
                <w:rFonts w:ascii="Consolas" w:hAnsi="Consolas"/>
                <w:color w:val="222222"/>
                <w:sz w:val="18"/>
              </w:rPr>
              <w:t>=== PIPELINE SLA COMPLIANCE REPORT ===</w:t>
              <w:br/>
              <w:t>[PASSED [SLA MET]] Schema Compliance Rate: 99.60%</w:t>
              <w:br/>
              <w:t>[PASSED [SLA MET]] Completeness Score: 99.62%</w:t>
              <w:br/>
              <w:t>[PASSED [SLA MET]] Outlier Contamination Ratio: 0.85%</w:t>
            </w:r>
          </w:p>
        </w:tc>
      </w:tr>
    </w:tbl>
    <w:p/>
    <w:p>
      <w:pPr>
        <w:keepNext/>
        <w:spacing w:before="360" w:after="160"/>
      </w:pPr>
      <w:r>
        <w:rPr>
          <w:b/>
          <w:color w:val="1B365D"/>
          <w:sz w:val="36"/>
        </w:rPr>
        <w:t>6. Implementation Timeline &amp; Sustainability Roadmap</w:t>
      </w:r>
    </w:p>
    <w:p>
      <w:r>
        <w:t>Rolling out the enhanced enterprise quality framework across production systems requires a phased engineering roadmap. The 8-week implementation timeline detailed below ensures zero downtime during pipeline migration.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100" w:type="dxa"/>
              <w:bottom w:w="100" w:type="dxa"/>
              <w:left w:w="100" w:type="dxa"/>
              <w:right w:w="100" w:type="dxa"/>
            </w:tcMar>
          </w:tcPr>
          <w:p>
            <w:r>
              <w:rPr>
                <w:b/>
                <w:color w:val="FFFFFF"/>
                <w:sz w:val="19"/>
              </w:rPr>
              <w:t>Phase</w:t>
            </w:r>
          </w:p>
        </w:tc>
        <w:tc>
          <w:tcPr>
            <w:tcW w:type="dxa" w:w="1584"/>
            <w:shd w:fill="1B365D"/>
            <w:tcMar>
              <w:top w:w="100" w:type="dxa"/>
              <w:bottom w:w="100" w:type="dxa"/>
              <w:left w:w="100" w:type="dxa"/>
              <w:right w:w="100" w:type="dxa"/>
            </w:tcMar>
          </w:tcPr>
          <w:p>
            <w:r>
              <w:rPr>
                <w:b/>
                <w:color w:val="FFFFFF"/>
                <w:sz w:val="19"/>
              </w:rPr>
              <w:t>Timeframe</w:t>
            </w:r>
          </w:p>
        </w:tc>
        <w:tc>
          <w:tcPr>
            <w:tcW w:type="dxa" w:w="3456"/>
            <w:shd w:fill="1B365D"/>
            <w:tcMar>
              <w:top w:w="100" w:type="dxa"/>
              <w:bottom w:w="100" w:type="dxa"/>
              <w:left w:w="100" w:type="dxa"/>
              <w:right w:w="100" w:type="dxa"/>
            </w:tcMar>
          </w:tcPr>
          <w:p>
            <w:r>
              <w:rPr>
                <w:b/>
                <w:color w:val="FFFFFF"/>
                <w:sz w:val="19"/>
              </w:rPr>
              <w:t>Key Engineering Milestones</w:t>
            </w:r>
          </w:p>
        </w:tc>
        <w:tc>
          <w:tcPr>
            <w:tcW w:type="dxa" w:w="2592"/>
            <w:shd w:fill="1B365D"/>
            <w:tcMar>
              <w:top w:w="100" w:type="dxa"/>
              <w:bottom w:w="100" w:type="dxa"/>
              <w:left w:w="100" w:type="dxa"/>
              <w:right w:w="100" w:type="dxa"/>
            </w:tcMar>
          </w:tcPr>
          <w:p>
            <w:r>
              <w:rPr>
                <w:b/>
                <w:color w:val="FFFFFF"/>
                <w:sz w:val="19"/>
              </w:rPr>
              <w:t>Deliverables &amp; Artifacts</w:t>
            </w:r>
          </w:p>
        </w:tc>
      </w:tr>
      <w:tr>
        <w:tc>
          <w:tcPr>
            <w:tcW w:type="dxa" w:w="1728"/>
            <w:shd w:fill="F4F6F9"/>
            <w:tcMar>
              <w:top w:w="80" w:type="dxa"/>
              <w:bottom w:w="80" w:type="dxa"/>
              <w:left w:w="80" w:type="dxa"/>
              <w:right w:w="80" w:type="dxa"/>
            </w:tcMar>
          </w:tcPr>
          <w:p>
            <w:pPr>
              <w:spacing w:after="40"/>
            </w:pPr>
            <w:r>
              <w:rPr>
                <w:sz w:val="18"/>
              </w:rPr>
              <w:t>Phase 1</w:t>
            </w:r>
          </w:p>
        </w:tc>
        <w:tc>
          <w:tcPr>
            <w:tcW w:type="dxa" w:w="1584"/>
            <w:shd w:fill="F4F6F9"/>
            <w:tcMar>
              <w:top w:w="80" w:type="dxa"/>
              <w:bottom w:w="80" w:type="dxa"/>
              <w:left w:w="80" w:type="dxa"/>
              <w:right w:w="80" w:type="dxa"/>
            </w:tcMar>
          </w:tcPr>
          <w:p>
            <w:pPr>
              <w:spacing w:after="40"/>
            </w:pPr>
            <w:r>
              <w:rPr>
                <w:sz w:val="18"/>
              </w:rPr>
              <w:t>Weeks 1 - 2</w:t>
            </w:r>
          </w:p>
        </w:tc>
        <w:tc>
          <w:tcPr>
            <w:tcW w:type="dxa" w:w="3456"/>
            <w:shd w:fill="F4F6F9"/>
            <w:tcMar>
              <w:top w:w="80" w:type="dxa"/>
              <w:bottom w:w="80" w:type="dxa"/>
              <w:left w:w="80" w:type="dxa"/>
              <w:right w:w="80" w:type="dxa"/>
            </w:tcMar>
          </w:tcPr>
          <w:p>
            <w:pPr>
              <w:spacing w:after="40"/>
            </w:pPr>
            <w:r>
              <w:rPr>
                <w:sz w:val="18"/>
              </w:rPr>
              <w:t>Define Pydantic schema contracts and construct streaming Dead-Letter Queue (DLQ).</w:t>
            </w:r>
          </w:p>
        </w:tc>
        <w:tc>
          <w:tcPr>
            <w:tcW w:type="dxa" w:w="2592"/>
            <w:shd w:fill="F4F6F9"/>
            <w:tcMar>
              <w:top w:w="80" w:type="dxa"/>
              <w:bottom w:w="80" w:type="dxa"/>
              <w:left w:w="80" w:type="dxa"/>
              <w:right w:w="80" w:type="dxa"/>
            </w:tcMar>
          </w:tcPr>
          <w:p>
            <w:pPr>
              <w:spacing w:after="40"/>
            </w:pPr>
            <w:r>
              <w:rPr>
                <w:sz w:val="18"/>
              </w:rPr>
              <w:t>Schema repository &amp; DLQ routing module.</w:t>
            </w:r>
          </w:p>
        </w:tc>
      </w:tr>
      <w:tr>
        <w:tc>
          <w:tcPr>
            <w:tcW w:type="dxa" w:w="1728"/>
            <w:shd w:fill="FFFFFF"/>
            <w:tcMar>
              <w:top w:w="80" w:type="dxa"/>
              <w:bottom w:w="80" w:type="dxa"/>
              <w:left w:w="80" w:type="dxa"/>
              <w:right w:w="80" w:type="dxa"/>
            </w:tcMar>
          </w:tcPr>
          <w:p>
            <w:pPr>
              <w:spacing w:after="40"/>
            </w:pPr>
            <w:r>
              <w:rPr>
                <w:sz w:val="18"/>
              </w:rPr>
              <w:t>Phase 2</w:t>
            </w:r>
          </w:p>
        </w:tc>
        <w:tc>
          <w:tcPr>
            <w:tcW w:type="dxa" w:w="1584"/>
            <w:shd w:fill="FFFFFF"/>
            <w:tcMar>
              <w:top w:w="80" w:type="dxa"/>
              <w:bottom w:w="80" w:type="dxa"/>
              <w:left w:w="80" w:type="dxa"/>
              <w:right w:w="80" w:type="dxa"/>
            </w:tcMar>
          </w:tcPr>
          <w:p>
            <w:pPr>
              <w:spacing w:after="40"/>
            </w:pPr>
            <w:r>
              <w:rPr>
                <w:sz w:val="18"/>
              </w:rPr>
              <w:t>Weeks 3 - 4</w:t>
            </w:r>
          </w:p>
        </w:tc>
        <w:tc>
          <w:tcPr>
            <w:tcW w:type="dxa" w:w="3456"/>
            <w:shd w:fill="FFFFFF"/>
            <w:tcMar>
              <w:top w:w="80" w:type="dxa"/>
              <w:bottom w:w="80" w:type="dxa"/>
              <w:left w:w="80" w:type="dxa"/>
              <w:right w:w="80" w:type="dxa"/>
            </w:tcMar>
          </w:tcPr>
          <w:p>
            <w:pPr>
              <w:spacing w:after="40"/>
            </w:pPr>
            <w:r>
              <w:rPr>
                <w:sz w:val="18"/>
              </w:rPr>
              <w:t>Integrate Enterprise Data Quality Engine into CI/CD build gates.</w:t>
            </w:r>
          </w:p>
        </w:tc>
        <w:tc>
          <w:tcPr>
            <w:tcW w:type="dxa" w:w="2592"/>
            <w:shd w:fill="FFFFFF"/>
            <w:tcMar>
              <w:top w:w="80" w:type="dxa"/>
              <w:bottom w:w="80" w:type="dxa"/>
              <w:left w:w="80" w:type="dxa"/>
              <w:right w:w="80" w:type="dxa"/>
            </w:tcMar>
          </w:tcPr>
          <w:p>
            <w:pPr>
              <w:spacing w:after="40"/>
            </w:pPr>
            <w:r>
              <w:rPr>
                <w:sz w:val="18"/>
              </w:rPr>
              <w:t>PyTest verification suite &amp; CI/CD workflow.</w:t>
            </w:r>
          </w:p>
        </w:tc>
      </w:tr>
      <w:tr>
        <w:tc>
          <w:tcPr>
            <w:tcW w:type="dxa" w:w="1728"/>
            <w:shd w:fill="F4F6F9"/>
            <w:tcMar>
              <w:top w:w="80" w:type="dxa"/>
              <w:bottom w:w="80" w:type="dxa"/>
              <w:left w:w="80" w:type="dxa"/>
              <w:right w:w="80" w:type="dxa"/>
            </w:tcMar>
          </w:tcPr>
          <w:p>
            <w:pPr>
              <w:spacing w:after="40"/>
            </w:pPr>
            <w:r>
              <w:rPr>
                <w:sz w:val="18"/>
              </w:rPr>
              <w:t>Phase 3</w:t>
            </w:r>
          </w:p>
        </w:tc>
        <w:tc>
          <w:tcPr>
            <w:tcW w:type="dxa" w:w="1584"/>
            <w:shd w:fill="F4F6F9"/>
            <w:tcMar>
              <w:top w:w="80" w:type="dxa"/>
              <w:bottom w:w="80" w:type="dxa"/>
              <w:left w:w="80" w:type="dxa"/>
              <w:right w:w="80" w:type="dxa"/>
            </w:tcMar>
          </w:tcPr>
          <w:p>
            <w:pPr>
              <w:spacing w:after="40"/>
            </w:pPr>
            <w:r>
              <w:rPr>
                <w:sz w:val="18"/>
              </w:rPr>
              <w:t>Weeks 5 - 6</w:t>
            </w:r>
          </w:p>
        </w:tc>
        <w:tc>
          <w:tcPr>
            <w:tcW w:type="dxa" w:w="3456"/>
            <w:shd w:fill="F4F6F9"/>
            <w:tcMar>
              <w:top w:w="80" w:type="dxa"/>
              <w:bottom w:w="80" w:type="dxa"/>
              <w:left w:w="80" w:type="dxa"/>
              <w:right w:w="80" w:type="dxa"/>
            </w:tcMar>
          </w:tcPr>
          <w:p>
            <w:pPr>
              <w:spacing w:after="40"/>
            </w:pPr>
            <w:r>
              <w:rPr>
                <w:sz w:val="18"/>
              </w:rPr>
              <w:t>Deploy asynchronous Webhook alerting and Grafana real-time telemetry dashboards.</w:t>
            </w:r>
          </w:p>
        </w:tc>
        <w:tc>
          <w:tcPr>
            <w:tcW w:type="dxa" w:w="2592"/>
            <w:shd w:fill="F4F6F9"/>
            <w:tcMar>
              <w:top w:w="80" w:type="dxa"/>
              <w:bottom w:w="80" w:type="dxa"/>
              <w:left w:w="80" w:type="dxa"/>
              <w:right w:w="80" w:type="dxa"/>
            </w:tcMar>
          </w:tcPr>
          <w:p>
            <w:pPr>
              <w:spacing w:after="40"/>
            </w:pPr>
            <w:r>
              <w:rPr>
                <w:sz w:val="18"/>
              </w:rPr>
              <w:t>Live monitoring dashboard &amp; alert hooks.</w:t>
            </w:r>
          </w:p>
        </w:tc>
      </w:tr>
      <w:tr>
        <w:tc>
          <w:tcPr>
            <w:tcW w:type="dxa" w:w="1728"/>
            <w:shd w:fill="FFFFFF"/>
            <w:tcMar>
              <w:top w:w="80" w:type="dxa"/>
              <w:bottom w:w="80" w:type="dxa"/>
              <w:left w:w="80" w:type="dxa"/>
              <w:right w:w="80" w:type="dxa"/>
            </w:tcMar>
          </w:tcPr>
          <w:p>
            <w:pPr>
              <w:spacing w:after="40"/>
            </w:pPr>
            <w:r>
              <w:rPr>
                <w:sz w:val="18"/>
              </w:rPr>
              <w:t>Phase 4</w:t>
            </w:r>
          </w:p>
        </w:tc>
        <w:tc>
          <w:tcPr>
            <w:tcW w:type="dxa" w:w="1584"/>
            <w:shd w:fill="FFFFFF"/>
            <w:tcMar>
              <w:top w:w="80" w:type="dxa"/>
              <w:bottom w:w="80" w:type="dxa"/>
              <w:left w:w="80" w:type="dxa"/>
              <w:right w:w="80" w:type="dxa"/>
            </w:tcMar>
          </w:tcPr>
          <w:p>
            <w:pPr>
              <w:spacing w:after="40"/>
            </w:pPr>
            <w:r>
              <w:rPr>
                <w:sz w:val="18"/>
              </w:rPr>
              <w:t>Weeks 7 - 8</w:t>
            </w:r>
          </w:p>
        </w:tc>
        <w:tc>
          <w:tcPr>
            <w:tcW w:type="dxa" w:w="3456"/>
            <w:shd w:fill="FFFFFF"/>
            <w:tcMar>
              <w:top w:w="80" w:type="dxa"/>
              <w:bottom w:w="80" w:type="dxa"/>
              <w:left w:w="80" w:type="dxa"/>
              <w:right w:w="80" w:type="dxa"/>
            </w:tcMar>
          </w:tcPr>
          <w:p>
            <w:pPr>
              <w:spacing w:after="40"/>
            </w:pPr>
            <w:r>
              <w:rPr>
                <w:sz w:val="18"/>
              </w:rPr>
              <w:t>Conduct end-to-end chaos testing and transition to continuous production governance.</w:t>
            </w:r>
          </w:p>
        </w:tc>
        <w:tc>
          <w:tcPr>
            <w:tcW w:type="dxa" w:w="2592"/>
            <w:shd w:fill="FFFFFF"/>
            <w:tcMar>
              <w:top w:w="80" w:type="dxa"/>
              <w:bottom w:w="80" w:type="dxa"/>
              <w:left w:w="80" w:type="dxa"/>
              <w:right w:w="80" w:type="dxa"/>
            </w:tcMar>
          </w:tcPr>
          <w:p>
            <w:pPr>
              <w:spacing w:after="40"/>
            </w:pPr>
            <w:r>
              <w:rPr>
                <w:sz w:val="18"/>
              </w:rPr>
              <w:t>Final SOP documentation &amp; operational sign-off.</w:t>
            </w:r>
          </w:p>
        </w:tc>
      </w:tr>
    </w:tbl>
    <w:p/>
    <w:p>
      <w:pPr>
        <w:keepNext/>
        <w:spacing w:before="360" w:after="160"/>
      </w:pPr>
      <w:r>
        <w:rPr>
          <w:b/>
          <w:color w:val="1B365D"/>
          <w:sz w:val="36"/>
        </w:rPr>
        <w:t>7. Conclusion &amp; Engineering Recommendations</w:t>
      </w:r>
    </w:p>
    <w:p>
      <w:r>
        <w:t>Transitioning from ad-hoc exploratory data profiling to an automated, continuous Data Quality Assurance Engine is essential for scaling production AI and Machine Learning systems. By implementing strict Pydantic type guardrails, vectorized statistical outlier detection, automated Dead-Letter Queue quarantining, and real-time SLA alerting, organizations can eliminate silent data corruption before it reaches downstream models.</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36" w:space="0" w:color="1B365D"/>
              <w:bottom w:val="none"/>
              <w:right w:val="none"/>
            </w:tcBorders>
            <w:tcMar>
              <w:top w:w="140" w:type="dxa"/>
              <w:bottom w:w="140" w:type="dxa"/>
              <w:left w:w="200" w:type="dxa"/>
              <w:right w:w="140" w:type="dxa"/>
            </w:tcMar>
          </w:tcPr>
          <w:p>
            <w:pPr>
              <w:spacing w:after="80"/>
            </w:pPr>
            <w:r>
              <w:rPr>
                <w:b/>
                <w:color w:val="1B365D"/>
                <w:sz w:val="22"/>
              </w:rPr>
              <w:t>Final Operational Recommendations</w:t>
            </w:r>
          </w:p>
          <w:p>
            <w:pPr>
              <w:spacing w:after="0" w:line="276" w:lineRule="auto"/>
            </w:pPr>
            <w:r>
              <w:rPr>
                <w:color w:val="333333"/>
                <w:sz w:val="20"/>
              </w:rPr>
              <w:t>1. Mandate Pydantic schema validation as a non-negotiable entry condition for all production feature ingestion pipelines.</w:t>
              <w:br/>
              <w:t>2. Enforce strict SLA thresholds (SCR &gt;= 99.5%, CS &gt;= 98.0%) with automated build failures on breach in CI/CD.</w:t>
              <w:br/>
              <w:t>3. Maintain complete telemetry and Dead-Letter Queue logging for continuous root-cause analysis and operational auditability.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