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SIMATS SCHOOL OF ENGINEERING</w:t>
      </w:r>
    </w:p>
    <w:p>
      <w:pPr>
        <w:spacing w:after="60"/>
        <w:jc w:val="center"/>
      </w:pPr>
      <w:r>
        <w:rPr>
          <w:sz w:val="20"/>
          <w:szCs w:val="20"/>
        </w:rPr>
        <w:t xml:space="preserve">Saveetha Institute of Medical and Technical Sciences, Chennai – 602105</w:t>
      </w:r>
    </w:p>
    <w:p>
      <w:pPr>
        <w:spacing w:after="300"/>
        <w:jc w:val="center"/>
      </w:pPr>
      <w:r>
        <w:rPr>
          <w:b/>
          <w:bCs/>
          <w:color w:val="1F4E79"/>
          <w:sz w:val="24"/>
          <w:szCs w:val="24"/>
        </w:rPr>
        <w:t xml:space="preserve">Requirements Engineering &amp; Software Architecture — Unit 2 Assignment</w:t>
      </w:r>
    </w:p>
    <w:p>
      <w:pPr>
        <w:pStyle w:val="Heading1"/>
        <w:pBdr>
          <w:bottom w:val="single" w:color="1F4E79" w:sz="6" w:space="4"/>
        </w:pBdr>
        <w:spacing w:after="200" w:before="400"/>
      </w:pPr>
      <w:r>
        <w:rPr>
          <w:b/>
          <w:bCs/>
          <w:color w:val="1F4E79"/>
          <w:sz w:val="30"/>
          <w:szCs w:val="30"/>
        </w:rPr>
        <w:t xml:space="preserve">Problem 1: Requirements Elicitation &amp; Prioritization</w:t>
      </w:r>
    </w:p>
    <w:p>
      <w:pPr>
        <w:spacing w:after="120"/>
      </w:pPr>
      <w:r>
        <w:rPr>
          <w:i/>
          <w:iCs/>
          <w:sz w:val="22"/>
          <w:szCs w:val="22"/>
        </w:rPr>
        <w:t xml:space="preserve">Scenario: A college attendance management system uses app-based biometric attendance checking. Teachers request faster and more reliable check-in, and management wants low cost with quick delivery.</w:t>
      </w:r>
    </w:p>
    <w:p>
      <w:pPr>
        <w:pStyle w:val="Heading2"/>
        <w:spacing w:after="120" w:before="240"/>
      </w:pPr>
      <w:r>
        <w:rPr>
          <w:b/>
          <w:bCs/>
          <w:color w:val="1F4E79"/>
          <w:sz w:val="24"/>
          <w:szCs w:val="24"/>
        </w:rPr>
        <w:t xml:space="preserve">1. Four Requirements</w:t>
      </w:r>
    </w:p>
    <w:p>
      <w:pPr>
        <w:pStyle w:val="ListParagraph"/>
        <w:numPr>
          <w:ilvl w:val="0"/>
          <w:numId w:val="2"/>
        </w:numPr>
        <w:spacing w:after="60"/>
      </w:pPr>
      <w:r>
        <w:rPr>
          <w:sz w:val="22"/>
          <w:szCs w:val="22"/>
        </w:rPr>
        <w:t xml:space="preserve">The system shall record student attendance via biometric (fingerprint/face) scan within 3 seconds per student.</w:t>
      </w:r>
    </w:p>
    <w:p>
      <w:pPr>
        <w:pStyle w:val="ListParagraph"/>
        <w:numPr>
          <w:ilvl w:val="0"/>
          <w:numId w:val="2"/>
        </w:numPr>
        <w:spacing w:after="60"/>
      </w:pPr>
      <w:r>
        <w:rPr>
          <w:sz w:val="22"/>
          <w:szCs w:val="22"/>
        </w:rPr>
        <w:t xml:space="preserve">The system shall automatically flag students with attendance below 75% and notify faculty and parents.</w:t>
      </w:r>
    </w:p>
    <w:p>
      <w:pPr>
        <w:pStyle w:val="ListParagraph"/>
        <w:numPr>
          <w:ilvl w:val="0"/>
          <w:numId w:val="2"/>
        </w:numPr>
        <w:spacing w:after="60"/>
      </w:pPr>
      <w:r>
        <w:rPr>
          <w:sz w:val="22"/>
          <w:szCs w:val="22"/>
        </w:rPr>
        <w:t xml:space="preserve">The system shall allow teachers to manually override or correct attendance entries with a logged reason.</w:t>
      </w:r>
    </w:p>
    <w:p>
      <w:pPr>
        <w:pStyle w:val="ListParagraph"/>
        <w:numPr>
          <w:ilvl w:val="0"/>
          <w:numId w:val="2"/>
        </w:numPr>
        <w:spacing w:after="60"/>
      </w:pPr>
      <w:r>
        <w:rPr>
          <w:sz w:val="22"/>
          <w:szCs w:val="22"/>
        </w:rPr>
        <w:t xml:space="preserve">The system shall generate daily, weekly, and semester-wise attendance reports exportable as PDF/Excel.</w:t>
      </w:r>
    </w:p>
    <w:p>
      <w:pPr>
        <w:spacing w:after="120"/>
      </w:pPr>
    </w:p>
    <w:p>
      <w:pPr>
        <w:pStyle w:val="Heading2"/>
        <w:spacing w:after="120" w:before="240"/>
      </w:pPr>
      <w:r>
        <w:rPr>
          <w:b/>
          <w:bCs/>
          <w:color w:val="1F4E79"/>
          <w:sz w:val="24"/>
          <w:szCs w:val="24"/>
        </w:rPr>
        <w:t xml:space="preserve">2. MoSCoW Prioritization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700"/>
      </w:tblGrid>
      <w:tr>
        <w:trPr>
          <w:tblHeader/>
        </w:trPr>
        <w:tc>
          <w:tcPr>
            <w:tcW w:type="dxa" w:w="3800"/>
            <w:shd w:fill="1F4E79" w:color="auto" w:val="clear"/>
            <w:tcMar>
              <w:top w:type="dxa" w:w="80"/>
              <w:left w:type="dxa" w:w="100"/>
              <w:bottom w:type="dxa" w:w="80"/>
              <w:right w:type="dxa" w:w="100"/>
            </w:tcMar>
            <w:vAlign w:val="center"/>
          </w:tcPr>
          <w:p>
            <w:r>
              <w:rPr>
                <w:b/>
                <w:bCs/>
                <w:color w:val="FFFFFF"/>
                <w:sz w:val="21"/>
                <w:szCs w:val="21"/>
              </w:rPr>
              <w:t xml:space="preserve">Requirement</w:t>
            </w:r>
          </w:p>
        </w:tc>
        <w:tc>
          <w:tcPr>
            <w:tcW w:type="dxa" w:w="2200"/>
            <w:shd w:fill="1F4E79" w:color="auto" w:val="clear"/>
            <w:tcMar>
              <w:top w:type="dxa" w:w="80"/>
              <w:left w:type="dxa" w:w="100"/>
              <w:bottom w:type="dxa" w:w="80"/>
              <w:right w:type="dxa" w:w="100"/>
            </w:tcMar>
            <w:vAlign w:val="center"/>
          </w:tcPr>
          <w:p>
            <w:r>
              <w:rPr>
                <w:b/>
                <w:bCs/>
                <w:color w:val="FFFFFF"/>
                <w:sz w:val="21"/>
                <w:szCs w:val="21"/>
              </w:rPr>
              <w:t xml:space="preserve">Priority</w:t>
            </w:r>
          </w:p>
        </w:tc>
        <w:tc>
          <w:tcPr>
            <w:tcW w:type="dxa" w:w="3700"/>
            <w:shd w:fill="1F4E79" w:color="auto" w:val="clear"/>
            <w:tcMar>
              <w:top w:type="dxa" w:w="80"/>
              <w:left w:type="dxa" w:w="100"/>
              <w:bottom w:type="dxa" w:w="80"/>
              <w:right w:type="dxa" w:w="100"/>
            </w:tcMar>
            <w:vAlign w:val="center"/>
          </w:tcPr>
          <w:p>
            <w:r>
              <w:rPr>
                <w:b/>
                <w:bCs/>
                <w:color w:val="FFFFFF"/>
                <w:sz w:val="21"/>
                <w:szCs w:val="21"/>
              </w:rPr>
              <w:t xml:space="preserve">Justification</w:t>
            </w:r>
          </w:p>
        </w:tc>
      </w:tr>
      <w:tr>
        <w:tc>
          <w:tcPr>
            <w:tcW w:type="dxa" w:w="3800"/>
            <w:shd w:fill="FFFFFF" w:color="auto" w:val="clear"/>
            <w:tcMar>
              <w:top w:type="dxa" w:w="80"/>
              <w:left w:type="dxa" w:w="100"/>
              <w:bottom w:type="dxa" w:w="80"/>
              <w:right w:type="dxa" w:w="100"/>
            </w:tcMar>
            <w:vAlign w:val="center"/>
          </w:tcPr>
          <w:p>
            <w:r>
              <w:rPr>
                <w:b w:val="false"/>
                <w:bCs w:val="false"/>
                <w:color w:val="000000"/>
                <w:sz w:val="21"/>
                <w:szCs w:val="21"/>
              </w:rPr>
              <w:t xml:space="preserve">Biometric attendance capture</w:t>
            </w:r>
          </w:p>
        </w:tc>
        <w:tc>
          <w:tcPr>
            <w:tcW w:type="dxa" w:w="2200"/>
            <w:shd w:fill="FFFFFF" w:color="auto" w:val="clear"/>
            <w:tcMar>
              <w:top w:type="dxa" w:w="80"/>
              <w:left w:type="dxa" w:w="100"/>
              <w:bottom w:type="dxa" w:w="80"/>
              <w:right w:type="dxa" w:w="100"/>
            </w:tcMar>
            <w:vAlign w:val="center"/>
          </w:tcPr>
          <w:p>
            <w:r>
              <w:rPr>
                <w:b w:val="false"/>
                <w:bCs w:val="false"/>
                <w:color w:val="000000"/>
                <w:sz w:val="21"/>
                <w:szCs w:val="21"/>
              </w:rPr>
              <w:t xml:space="preserve">Must Have</w:t>
            </w:r>
          </w:p>
        </w:tc>
        <w:tc>
          <w:tcPr>
            <w:tcW w:type="dxa" w:w="3700"/>
            <w:shd w:fill="FFFFFF" w:color="auto" w:val="clear"/>
            <w:tcMar>
              <w:top w:type="dxa" w:w="80"/>
              <w:left w:type="dxa" w:w="100"/>
              <w:bottom w:type="dxa" w:w="80"/>
              <w:right w:type="dxa" w:w="100"/>
            </w:tcMar>
            <w:vAlign w:val="center"/>
          </w:tcPr>
          <w:p>
            <w:r>
              <w:rPr>
                <w:b w:val="false"/>
                <w:bCs w:val="false"/>
                <w:color w:val="000000"/>
                <w:sz w:val="21"/>
                <w:szCs w:val="21"/>
              </w:rPr>
              <w:t xml:space="preserve">Core function; system cannot operate without it</w:t>
            </w:r>
          </w:p>
        </w:tc>
      </w:tr>
      <w:tr>
        <w:tc>
          <w:tcPr>
            <w:tcW w:type="dxa" w:w="3800"/>
            <w:shd w:fill="F2F2F2" w:color="auto" w:val="clear"/>
            <w:tcMar>
              <w:top w:type="dxa" w:w="80"/>
              <w:left w:type="dxa" w:w="100"/>
              <w:bottom w:type="dxa" w:w="80"/>
              <w:right w:type="dxa" w:w="100"/>
            </w:tcMar>
            <w:vAlign w:val="center"/>
          </w:tcPr>
          <w:p>
            <w:r>
              <w:rPr>
                <w:b w:val="false"/>
                <w:bCs w:val="false"/>
                <w:color w:val="000000"/>
                <w:sz w:val="21"/>
                <w:szCs w:val="21"/>
              </w:rPr>
              <w:t xml:space="preserve">Low attendance alerts</w:t>
            </w:r>
          </w:p>
        </w:tc>
        <w:tc>
          <w:tcPr>
            <w:tcW w:type="dxa" w:w="2200"/>
            <w:shd w:fill="F2F2F2" w:color="auto" w:val="clear"/>
            <w:tcMar>
              <w:top w:type="dxa" w:w="80"/>
              <w:left w:type="dxa" w:w="100"/>
              <w:bottom w:type="dxa" w:w="80"/>
              <w:right w:type="dxa" w:w="100"/>
            </w:tcMar>
            <w:vAlign w:val="center"/>
          </w:tcPr>
          <w:p>
            <w:r>
              <w:rPr>
                <w:b w:val="false"/>
                <w:bCs w:val="false"/>
                <w:color w:val="000000"/>
                <w:sz w:val="21"/>
                <w:szCs w:val="21"/>
              </w:rPr>
              <w:t xml:space="preserve">Should Have</w:t>
            </w:r>
          </w:p>
        </w:tc>
        <w:tc>
          <w:tcPr>
            <w:tcW w:type="dxa" w:w="3700"/>
            <w:shd w:fill="F2F2F2" w:color="auto" w:val="clear"/>
            <w:tcMar>
              <w:top w:type="dxa" w:w="80"/>
              <w:left w:type="dxa" w:w="100"/>
              <w:bottom w:type="dxa" w:w="80"/>
              <w:right w:type="dxa" w:w="100"/>
            </w:tcMar>
            <w:vAlign w:val="center"/>
          </w:tcPr>
          <w:p>
            <w:r>
              <w:rPr>
                <w:b w:val="false"/>
                <w:bCs w:val="false"/>
                <w:color w:val="000000"/>
                <w:sz w:val="21"/>
                <w:szCs w:val="21"/>
              </w:rPr>
              <w:t xml:space="preserve">Important for stakeholders but not launch-blocking</w:t>
            </w:r>
          </w:p>
        </w:tc>
      </w:tr>
      <w:tr>
        <w:tc>
          <w:tcPr>
            <w:tcW w:type="dxa" w:w="3800"/>
            <w:shd w:fill="FFFFFF" w:color="auto" w:val="clear"/>
            <w:tcMar>
              <w:top w:type="dxa" w:w="80"/>
              <w:left w:type="dxa" w:w="100"/>
              <w:bottom w:type="dxa" w:w="80"/>
              <w:right w:type="dxa" w:w="100"/>
            </w:tcMar>
            <w:vAlign w:val="center"/>
          </w:tcPr>
          <w:p>
            <w:r>
              <w:rPr>
                <w:b w:val="false"/>
                <w:bCs w:val="false"/>
                <w:color w:val="000000"/>
                <w:sz w:val="21"/>
                <w:szCs w:val="21"/>
              </w:rPr>
              <w:t xml:space="preserve">Manual override with logged reason</w:t>
            </w:r>
          </w:p>
        </w:tc>
        <w:tc>
          <w:tcPr>
            <w:tcW w:type="dxa" w:w="2200"/>
            <w:shd w:fill="FFFFFF" w:color="auto" w:val="clear"/>
            <w:tcMar>
              <w:top w:type="dxa" w:w="80"/>
              <w:left w:type="dxa" w:w="100"/>
              <w:bottom w:type="dxa" w:w="80"/>
              <w:right w:type="dxa" w:w="100"/>
            </w:tcMar>
            <w:vAlign w:val="center"/>
          </w:tcPr>
          <w:p>
            <w:r>
              <w:rPr>
                <w:b w:val="false"/>
                <w:bCs w:val="false"/>
                <w:color w:val="000000"/>
                <w:sz w:val="21"/>
                <w:szCs w:val="21"/>
              </w:rPr>
              <w:t xml:space="preserve">Should Have</w:t>
            </w:r>
          </w:p>
        </w:tc>
        <w:tc>
          <w:tcPr>
            <w:tcW w:type="dxa" w:w="3700"/>
            <w:shd w:fill="FFFFFF" w:color="auto" w:val="clear"/>
            <w:tcMar>
              <w:top w:type="dxa" w:w="80"/>
              <w:left w:type="dxa" w:w="100"/>
              <w:bottom w:type="dxa" w:w="80"/>
              <w:right w:type="dxa" w:w="100"/>
            </w:tcMar>
            <w:vAlign w:val="center"/>
          </w:tcPr>
          <w:p>
            <w:r>
              <w:rPr>
                <w:b w:val="false"/>
                <w:bCs w:val="false"/>
                <w:color w:val="000000"/>
                <w:sz w:val="21"/>
                <w:szCs w:val="21"/>
              </w:rPr>
              <w:t xml:space="preserve">Needed for exceptions, but a workaround exists initially</w:t>
            </w:r>
          </w:p>
        </w:tc>
      </w:tr>
      <w:tr>
        <w:tc>
          <w:tcPr>
            <w:tcW w:type="dxa" w:w="3800"/>
            <w:shd w:fill="F2F2F2" w:color="auto" w:val="clear"/>
            <w:tcMar>
              <w:top w:type="dxa" w:w="80"/>
              <w:left w:type="dxa" w:w="100"/>
              <w:bottom w:type="dxa" w:w="80"/>
              <w:right w:type="dxa" w:w="100"/>
            </w:tcMar>
            <w:vAlign w:val="center"/>
          </w:tcPr>
          <w:p>
            <w:r>
              <w:rPr>
                <w:b w:val="false"/>
                <w:bCs w:val="false"/>
                <w:color w:val="000000"/>
                <w:sz w:val="21"/>
                <w:szCs w:val="21"/>
              </w:rPr>
              <w:t xml:space="preserve">Exportable attendance reports</w:t>
            </w:r>
          </w:p>
        </w:tc>
        <w:tc>
          <w:tcPr>
            <w:tcW w:type="dxa" w:w="2200"/>
            <w:shd w:fill="F2F2F2" w:color="auto" w:val="clear"/>
            <w:tcMar>
              <w:top w:type="dxa" w:w="80"/>
              <w:left w:type="dxa" w:w="100"/>
              <w:bottom w:type="dxa" w:w="80"/>
              <w:right w:type="dxa" w:w="100"/>
            </w:tcMar>
            <w:vAlign w:val="center"/>
          </w:tcPr>
          <w:p>
            <w:r>
              <w:rPr>
                <w:b w:val="false"/>
                <w:bCs w:val="false"/>
                <w:color w:val="000000"/>
                <w:sz w:val="21"/>
                <w:szCs w:val="21"/>
              </w:rPr>
              <w:t xml:space="preserve">Could Have</w:t>
            </w:r>
          </w:p>
        </w:tc>
        <w:tc>
          <w:tcPr>
            <w:tcW w:type="dxa" w:w="3700"/>
            <w:shd w:fill="F2F2F2" w:color="auto" w:val="clear"/>
            <w:tcMar>
              <w:top w:type="dxa" w:w="80"/>
              <w:left w:type="dxa" w:w="100"/>
              <w:bottom w:type="dxa" w:w="80"/>
              <w:right w:type="dxa" w:w="100"/>
            </w:tcMar>
            <w:vAlign w:val="center"/>
          </w:tcPr>
          <w:p>
            <w:r>
              <w:rPr>
                <w:b w:val="false"/>
                <w:bCs w:val="false"/>
                <w:color w:val="000000"/>
                <w:sz w:val="21"/>
                <w:szCs w:val="21"/>
              </w:rPr>
              <w:t xml:space="preserve">Adds value; can be delivered in a later release</w:t>
            </w:r>
          </w:p>
        </w:tc>
      </w:tr>
      <w:tr>
        <w:tc>
          <w:tcPr>
            <w:tcW w:type="dxa" w:w="3800"/>
            <w:shd w:fill="FFFFFF" w:color="auto" w:val="clear"/>
            <w:tcMar>
              <w:top w:type="dxa" w:w="80"/>
              <w:left w:type="dxa" w:w="100"/>
              <w:bottom w:type="dxa" w:w="80"/>
              <w:right w:type="dxa" w:w="100"/>
            </w:tcMar>
            <w:vAlign w:val="center"/>
          </w:tcPr>
          <w:p>
            <w:r>
              <w:rPr>
                <w:b w:val="false"/>
                <w:bCs w:val="false"/>
                <w:color w:val="000000"/>
                <w:sz w:val="21"/>
                <w:szCs w:val="21"/>
              </w:rPr>
              <w:t xml:space="preserve">Mobile push notifications (future)</w:t>
            </w:r>
          </w:p>
        </w:tc>
        <w:tc>
          <w:tcPr>
            <w:tcW w:type="dxa" w:w="2200"/>
            <w:shd w:fill="FFFFFF" w:color="auto" w:val="clear"/>
            <w:tcMar>
              <w:top w:type="dxa" w:w="80"/>
              <w:left w:type="dxa" w:w="100"/>
              <w:bottom w:type="dxa" w:w="80"/>
              <w:right w:type="dxa" w:w="100"/>
            </w:tcMar>
            <w:vAlign w:val="center"/>
          </w:tcPr>
          <w:p>
            <w:r>
              <w:rPr>
                <w:b w:val="false"/>
                <w:bCs w:val="false"/>
                <w:color w:val="000000"/>
                <w:sz w:val="21"/>
                <w:szCs w:val="21"/>
              </w:rPr>
              <w:t xml:space="preserve">Won't Have (this release)</w:t>
            </w:r>
          </w:p>
        </w:tc>
        <w:tc>
          <w:tcPr>
            <w:tcW w:type="dxa" w:w="3700"/>
            <w:shd w:fill="FFFFFF" w:color="auto" w:val="clear"/>
            <w:tcMar>
              <w:top w:type="dxa" w:w="80"/>
              <w:left w:type="dxa" w:w="100"/>
              <w:bottom w:type="dxa" w:w="80"/>
              <w:right w:type="dxa" w:w="100"/>
            </w:tcMar>
            <w:vAlign w:val="center"/>
          </w:tcPr>
          <w:p>
            <w:r>
              <w:rPr>
                <w:b w:val="false"/>
                <w:bCs w:val="false"/>
                <w:color w:val="000000"/>
                <w:sz w:val="21"/>
                <w:szCs w:val="21"/>
              </w:rPr>
              <w:t xml:space="preserve">Nice-to-have; deferred due to time/budget</w:t>
            </w:r>
          </w:p>
        </w:tc>
      </w:tr>
    </w:tbl>
    <w:p>
      <w:pPr>
        <w:spacing w:after="120"/>
      </w:pPr>
    </w:p>
    <w:p>
      <w:pPr>
        <w:pStyle w:val="Heading2"/>
        <w:spacing w:after="120" w:before="240"/>
      </w:pPr>
      <w:r>
        <w:rPr>
          <w:b/>
          <w:bCs/>
          <w:color w:val="1F4E79"/>
          <w:sz w:val="24"/>
          <w:szCs w:val="24"/>
        </w:rPr>
        <w:t xml:space="preserve">3. Kano Model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100"/>
      </w:tblGrid>
      <w:tr>
        <w:trPr>
          <w:tblHeader/>
        </w:trPr>
        <w:tc>
          <w:tcPr>
            <w:tcW w:type="dxa" w:w="3400"/>
            <w:shd w:fill="1F4E79" w:color="auto" w:val="clear"/>
            <w:tcMar>
              <w:top w:type="dxa" w:w="80"/>
              <w:left w:type="dxa" w:w="100"/>
              <w:bottom w:type="dxa" w:w="80"/>
              <w:right w:type="dxa" w:w="100"/>
            </w:tcMar>
            <w:vAlign w:val="center"/>
          </w:tcPr>
          <w:p>
            <w:r>
              <w:rPr>
                <w:b/>
                <w:bCs/>
                <w:color w:val="FFFFFF"/>
                <w:sz w:val="21"/>
                <w:szCs w:val="21"/>
              </w:rPr>
              <w:t xml:space="preserve">Requirement</w:t>
            </w:r>
          </w:p>
        </w:tc>
        <w:tc>
          <w:tcPr>
            <w:tcW w:type="dxa" w:w="2200"/>
            <w:shd w:fill="1F4E79" w:color="auto" w:val="clear"/>
            <w:tcMar>
              <w:top w:type="dxa" w:w="80"/>
              <w:left w:type="dxa" w:w="100"/>
              <w:bottom w:type="dxa" w:w="80"/>
              <w:right w:type="dxa" w:w="100"/>
            </w:tcMar>
            <w:vAlign w:val="center"/>
          </w:tcPr>
          <w:p>
            <w:r>
              <w:rPr>
                <w:b/>
                <w:bCs/>
                <w:color w:val="FFFFFF"/>
                <w:sz w:val="21"/>
                <w:szCs w:val="21"/>
              </w:rPr>
              <w:t xml:space="preserve">Kano Category</w:t>
            </w:r>
          </w:p>
        </w:tc>
        <w:tc>
          <w:tcPr>
            <w:tcW w:type="dxa" w:w="4100"/>
            <w:shd w:fill="1F4E79" w:color="auto" w:val="clear"/>
            <w:tcMar>
              <w:top w:type="dxa" w:w="80"/>
              <w:left w:type="dxa" w:w="100"/>
              <w:bottom w:type="dxa" w:w="80"/>
              <w:right w:type="dxa" w:w="100"/>
            </w:tcMar>
            <w:vAlign w:val="center"/>
          </w:tcPr>
          <w:p>
            <w:r>
              <w:rPr>
                <w:b/>
                <w:bCs/>
                <w:color w:val="FFFFFF"/>
                <w:sz w:val="21"/>
                <w:szCs w:val="21"/>
              </w:rPr>
              <w:t xml:space="preserve">Explanation</w:t>
            </w:r>
          </w:p>
        </w:tc>
      </w:tr>
      <w:tr>
        <w:tc>
          <w:tcPr>
            <w:tcW w:type="dxa" w:w="3400"/>
            <w:shd w:fill="FFFFFF" w:color="auto" w:val="clear"/>
            <w:tcMar>
              <w:top w:type="dxa" w:w="80"/>
              <w:left w:type="dxa" w:w="100"/>
              <w:bottom w:type="dxa" w:w="80"/>
              <w:right w:type="dxa" w:w="100"/>
            </w:tcMar>
            <w:vAlign w:val="center"/>
          </w:tcPr>
          <w:p>
            <w:r>
              <w:rPr>
                <w:b w:val="false"/>
                <w:bCs w:val="false"/>
                <w:color w:val="000000"/>
                <w:sz w:val="21"/>
                <w:szCs w:val="21"/>
              </w:rPr>
              <w:t xml:space="preserve">Biometric attendance capture</w:t>
            </w:r>
          </w:p>
        </w:tc>
        <w:tc>
          <w:tcPr>
            <w:tcW w:type="dxa" w:w="2200"/>
            <w:shd w:fill="FFFFFF" w:color="auto" w:val="clear"/>
            <w:tcMar>
              <w:top w:type="dxa" w:w="80"/>
              <w:left w:type="dxa" w:w="100"/>
              <w:bottom w:type="dxa" w:w="80"/>
              <w:right w:type="dxa" w:w="100"/>
            </w:tcMar>
            <w:vAlign w:val="center"/>
          </w:tcPr>
          <w:p>
            <w:r>
              <w:rPr>
                <w:b w:val="false"/>
                <w:bCs w:val="false"/>
                <w:color w:val="000000"/>
                <w:sz w:val="21"/>
                <w:szCs w:val="21"/>
              </w:rPr>
              <w:t xml:space="preserve">Basic (Must-be)</w:t>
            </w:r>
          </w:p>
        </w:tc>
        <w:tc>
          <w:tcPr>
            <w:tcW w:type="dxa" w:w="4100"/>
            <w:shd w:fill="FFFFFF" w:color="auto" w:val="clear"/>
            <w:tcMar>
              <w:top w:type="dxa" w:w="80"/>
              <w:left w:type="dxa" w:w="100"/>
              <w:bottom w:type="dxa" w:w="80"/>
              <w:right w:type="dxa" w:w="100"/>
            </w:tcMar>
            <w:vAlign w:val="center"/>
          </w:tcPr>
          <w:p>
            <w:r>
              <w:rPr>
                <w:b w:val="false"/>
                <w:bCs w:val="false"/>
                <w:color w:val="000000"/>
                <w:sz w:val="21"/>
                <w:szCs w:val="21"/>
              </w:rPr>
              <w:t xml:space="preserve">Expected by all users; absence causes strong dissatisfaction</w:t>
            </w:r>
          </w:p>
        </w:tc>
      </w:tr>
      <w:tr>
        <w:tc>
          <w:tcPr>
            <w:tcW w:type="dxa" w:w="3400"/>
            <w:shd w:fill="F2F2F2" w:color="auto" w:val="clear"/>
            <w:tcMar>
              <w:top w:type="dxa" w:w="80"/>
              <w:left w:type="dxa" w:w="100"/>
              <w:bottom w:type="dxa" w:w="80"/>
              <w:right w:type="dxa" w:w="100"/>
            </w:tcMar>
            <w:vAlign w:val="center"/>
          </w:tcPr>
          <w:p>
            <w:r>
              <w:rPr>
                <w:b w:val="false"/>
                <w:bCs w:val="false"/>
                <w:color w:val="000000"/>
                <w:sz w:val="21"/>
                <w:szCs w:val="21"/>
              </w:rPr>
              <w:t xml:space="preserve">Low attendance auto-alerts</w:t>
            </w:r>
          </w:p>
        </w:tc>
        <w:tc>
          <w:tcPr>
            <w:tcW w:type="dxa" w:w="2200"/>
            <w:shd w:fill="F2F2F2" w:color="auto" w:val="clear"/>
            <w:tcMar>
              <w:top w:type="dxa" w:w="80"/>
              <w:left w:type="dxa" w:w="100"/>
              <w:bottom w:type="dxa" w:w="80"/>
              <w:right w:type="dxa" w:w="100"/>
            </w:tcMar>
            <w:vAlign w:val="center"/>
          </w:tcPr>
          <w:p>
            <w:r>
              <w:rPr>
                <w:b w:val="false"/>
                <w:bCs w:val="false"/>
                <w:color w:val="000000"/>
                <w:sz w:val="21"/>
                <w:szCs w:val="21"/>
              </w:rPr>
              <w:t xml:space="preserve">Performance</w:t>
            </w:r>
          </w:p>
        </w:tc>
        <w:tc>
          <w:tcPr>
            <w:tcW w:type="dxa" w:w="4100"/>
            <w:shd w:fill="F2F2F2" w:color="auto" w:val="clear"/>
            <w:tcMar>
              <w:top w:type="dxa" w:w="80"/>
              <w:left w:type="dxa" w:w="100"/>
              <w:bottom w:type="dxa" w:w="80"/>
              <w:right w:type="dxa" w:w="100"/>
            </w:tcMar>
            <w:vAlign w:val="center"/>
          </w:tcPr>
          <w:p>
            <w:r>
              <w:rPr>
                <w:b w:val="false"/>
                <w:bCs w:val="false"/>
                <w:color w:val="000000"/>
                <w:sz w:val="21"/>
                <w:szCs w:val="21"/>
              </w:rPr>
              <w:t xml:space="preserve">Satisfaction increases proportionally with accuracy/timeliness</w:t>
            </w:r>
          </w:p>
        </w:tc>
      </w:tr>
      <w:tr>
        <w:tc>
          <w:tcPr>
            <w:tcW w:type="dxa" w:w="3400"/>
            <w:shd w:fill="FFFFFF" w:color="auto" w:val="clear"/>
            <w:tcMar>
              <w:top w:type="dxa" w:w="80"/>
              <w:left w:type="dxa" w:w="100"/>
              <w:bottom w:type="dxa" w:w="80"/>
              <w:right w:type="dxa" w:w="100"/>
            </w:tcMar>
            <w:vAlign w:val="center"/>
          </w:tcPr>
          <w:p>
            <w:r>
              <w:rPr>
                <w:b w:val="false"/>
                <w:bCs w:val="false"/>
                <w:color w:val="000000"/>
                <w:sz w:val="21"/>
                <w:szCs w:val="21"/>
              </w:rPr>
              <w:t xml:space="preserve">Custom analytics dashboard for HODs</w:t>
            </w:r>
          </w:p>
        </w:tc>
        <w:tc>
          <w:tcPr>
            <w:tcW w:type="dxa" w:w="2200"/>
            <w:shd w:fill="FFFFFF" w:color="auto" w:val="clear"/>
            <w:tcMar>
              <w:top w:type="dxa" w:w="80"/>
              <w:left w:type="dxa" w:w="100"/>
              <w:bottom w:type="dxa" w:w="80"/>
              <w:right w:type="dxa" w:w="100"/>
            </w:tcMar>
            <w:vAlign w:val="center"/>
          </w:tcPr>
          <w:p>
            <w:r>
              <w:rPr>
                <w:b w:val="false"/>
                <w:bCs w:val="false"/>
                <w:color w:val="000000"/>
                <w:sz w:val="21"/>
                <w:szCs w:val="21"/>
              </w:rPr>
              <w:t xml:space="preserve">Excitement (Attractive)</w:t>
            </w:r>
          </w:p>
        </w:tc>
        <w:tc>
          <w:tcPr>
            <w:tcW w:type="dxa" w:w="4100"/>
            <w:shd w:fill="FFFFFF" w:color="auto" w:val="clear"/>
            <w:tcMar>
              <w:top w:type="dxa" w:w="80"/>
              <w:left w:type="dxa" w:w="100"/>
              <w:bottom w:type="dxa" w:w="80"/>
              <w:right w:type="dxa" w:w="100"/>
            </w:tcMar>
            <w:vAlign w:val="center"/>
          </w:tcPr>
          <w:p>
            <w:r>
              <w:rPr>
                <w:b w:val="false"/>
                <w:bCs w:val="false"/>
                <w:color w:val="000000"/>
                <w:sz w:val="21"/>
                <w:szCs w:val="21"/>
              </w:rPr>
              <w:t xml:space="preserve">Not expected, but delights stakeholders if present</w:t>
            </w:r>
          </w:p>
        </w:tc>
      </w:tr>
    </w:tbl>
    <w:p>
      <w:pPr>
        <w:spacing w:after="120"/>
      </w:pPr>
    </w:p>
    <w:p>
      <w:pPr>
        <w:pStyle w:val="Heading2"/>
        <w:spacing w:after="120" w:before="240"/>
      </w:pPr>
      <w:r>
        <w:rPr>
          <w:b/>
          <w:bCs/>
          <w:color w:val="1F4E79"/>
          <w:sz w:val="24"/>
          <w:szCs w:val="24"/>
        </w:rPr>
        <w:t xml:space="preserve">4. Stakeholder Conflict &amp; Resolution</w:t>
      </w:r>
    </w:p>
    <w:p>
      <w:pPr>
        <w:spacing w:after="120"/>
      </w:pPr>
      <w:r>
        <w:rPr>
          <w:sz w:val="22"/>
          <w:szCs w:val="22"/>
        </w:rPr>
        <w:t xml:space="preserve">Conflict: Teachers want a fast, low-friction check-in (e.g., fingerprint only, minimal steps), while management wants strict, tamper-proof verification (e.g., fingerprint + face match) to prevent proxy attendance. This creates a trade-off between speed and security.</w:t>
      </w:r>
    </w:p>
    <w:p>
      <w:pPr>
        <w:spacing w:after="120"/>
      </w:pPr>
      <w:r>
        <w:rPr>
          <w:sz w:val="22"/>
          <w:szCs w:val="22"/>
        </w:rPr>
        <w:t xml:space="preserve">Resolution: Facilitate a joint requirements workshop and apply a weighted trade-off using the MoSCoW/Kano output. Agree on a tiered approach — fingerprint alone for routine days, with periodic random face-verification checks — so both speed and integrity needs are met. Document the agreed compromise as a formal requirement and have both stakeholder groups sign off, so the decision is traceable if disputes recur.</w:t>
      </w:r>
    </w:p>
    <w:p>
      <w:pPr>
        <w:pStyle w:val="Heading1"/>
        <w:pBdr>
          <w:bottom w:val="single" w:color="1F4E79" w:sz="6" w:space="4"/>
        </w:pBdr>
        <w:spacing w:after="200" w:before="400"/>
      </w:pPr>
      <w:r>
        <w:rPr>
          <w:b/>
          <w:bCs/>
          <w:color w:val="1F4E79"/>
          <w:sz w:val="30"/>
          <w:szCs w:val="30"/>
        </w:rPr>
        <w:t xml:space="preserve">Problem 2: Jira &amp; Confluence Collaboration</w:t>
      </w:r>
    </w:p>
    <w:p>
      <w:pPr>
        <w:spacing w:after="120"/>
      </w:pPr>
      <w:r>
        <w:rPr>
          <w:i/>
          <w:iCs/>
          <w:sz w:val="22"/>
          <w:szCs w:val="22"/>
        </w:rPr>
        <w:t xml:space="preserve">Scenario: A hospital appointment booking system team builds requirements in Jira while a designer uses Confluence, causing confusion, duplicated work, and missed updates.</w:t>
      </w:r>
    </w:p>
    <w:p>
      <w:pPr>
        <w:pStyle w:val="Heading2"/>
        <w:spacing w:after="120" w:before="240"/>
      </w:pPr>
      <w:r>
        <w:rPr>
          <w:b/>
          <w:bCs/>
          <w:color w:val="1F4E79"/>
          <w:sz w:val="24"/>
          <w:szCs w:val="24"/>
        </w:rPr>
        <w:t xml:space="preserve">1. Conflict Type</w:t>
      </w:r>
    </w:p>
    <w:p>
      <w:pPr>
        <w:spacing w:after="120"/>
      </w:pPr>
      <w:r>
        <w:rPr>
          <w:sz w:val="22"/>
          <w:szCs w:val="22"/>
        </w:rPr>
        <w:t xml:space="preserve">This is a tool/process fragmentation conflict combined with a communication conflict: requirements and design decisions live in two disconnected tools, so team members work from inconsistent, out-of-sync information (a documentation-traceability conflict).</w:t>
      </w:r>
    </w:p>
    <w:p>
      <w:pPr>
        <w:pStyle w:val="Heading2"/>
        <w:spacing w:after="120" w:before="240"/>
      </w:pPr>
      <w:r>
        <w:rPr>
          <w:b/>
          <w:bCs/>
          <w:color w:val="1F4E79"/>
          <w:sz w:val="24"/>
          <w:szCs w:val="24"/>
        </w:rPr>
        <w:t xml:space="preserve">2. Jira + Confluence Integration</w:t>
      </w:r>
    </w:p>
    <w:p>
      <w:pPr>
        <w:spacing w:after="120"/>
      </w:pPr>
      <w:r>
        <w:rPr>
          <w:sz w:val="22"/>
          <w:szCs w:val="22"/>
        </w:rPr>
        <w:t xml:space="preserve">Confluence and Jira should be linked using Atlassian's native integration: Confluence pages (requirement specs, design docs, meeting notes) are embedded or linked directly inside Jira issues, and Jira issue macros (Jira Issue/Jira Report macros) are embedded inside Confluence pages. This creates two-way traceability — anyone opening a Jira task can see the linked requirement document, and anyone reading a Confluence spec can see live status of the related development tasks. A shared space structure (one Confluence space per project, mirrored to one Jira project) prevents documents and tasks from drifting apart.</w:t>
      </w:r>
    </w:p>
    <w:p>
      <w:pPr>
        <w:pStyle w:val="Heading2"/>
        <w:spacing w:after="120" w:before="240"/>
      </w:pPr>
      <w:r>
        <w:rPr>
          <w:b/>
          <w:bCs/>
          <w:color w:val="1F4E79"/>
          <w:sz w:val="24"/>
          <w:szCs w:val="24"/>
        </w:rPr>
        <w:t xml:space="preserve">3. Two Conflict Resolution Steps</w:t>
      </w:r>
    </w:p>
    <w:p>
      <w:pPr>
        <w:pStyle w:val="ListParagraph"/>
        <w:numPr>
          <w:ilvl w:val="0"/>
          <w:numId w:val="2"/>
        </w:numPr>
        <w:spacing w:after="60"/>
      </w:pPr>
      <w:r>
        <w:rPr>
          <w:sz w:val="22"/>
          <w:szCs w:val="22"/>
        </w:rPr>
        <w:t xml:space="preserve">Establish a single source of truth policy: every Jira task must link to its originating Confluence requirement page before development starts, and any requirement change must be updated in Confluence first, then reflected in Jira via the linked reference.</w:t>
      </w:r>
    </w:p>
    <w:p>
      <w:pPr>
        <w:pStyle w:val="ListParagraph"/>
        <w:numPr>
          <w:ilvl w:val="0"/>
          <w:numId w:val="2"/>
        </w:numPr>
        <w:spacing w:after="60"/>
      </w:pPr>
      <w:r>
        <w:rPr>
          <w:sz w:val="22"/>
          <w:szCs w:val="22"/>
        </w:rPr>
        <w:t xml:space="preserve">Hold a short daily/weekly sync (stand-up or backlog grooming) where the Scrum Master reviews newly created Jira tasks against Confluence docs to catch duplicates or mismatches early, resolving conflicting updates through the linked comment threads on the relevant page.</w:t>
      </w:r>
    </w:p>
    <w:p>
      <w:pPr>
        <w:spacing w:after="120"/>
      </w:pPr>
    </w:p>
    <w:p>
      <w:pPr>
        <w:pStyle w:val="Heading2"/>
        <w:spacing w:after="120" w:before="240"/>
      </w:pPr>
      <w:r>
        <w:rPr>
          <w:b/>
          <w:bCs/>
          <w:color w:val="1F4E79"/>
          <w:sz w:val="24"/>
          <w:szCs w:val="24"/>
        </w:rPr>
        <w:t xml:space="preserve">4. Workflow Diagram — Tasks Linked with Documents</w:t>
      </w:r>
    </w:p>
    <w:tbl>
      <w:tblPr>
        <w:tblW w:type="dxa" w:w="9700"/>
        <w:tblBorders>
          <w:top w:val="none"/>
          <w:left w:val="none"/>
          <w:bottom w:val="none"/>
          <w:right w:val="none"/>
          <w:insideH w:val="none"/>
          <w:insideV w:val="none"/>
        </w:tblBorders>
      </w:tblPr>
      <w:tblGrid>
        <w:gridCol w:w="2600"/>
        <w:gridCol w:w="700"/>
        <w:gridCol w:w="2600"/>
        <w:gridCol w:w="700"/>
        <w:gridCol w:w="2600"/>
        <w:gridCol w:w="700"/>
      </w:tblGrid>
      <w:tr>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Jira Task Created
(e.g., 'Design Login API')</w:t>
            </w:r>
          </w:p>
        </w:tc>
        <w:tc>
          <w:tcPr>
            <w:tcW w:type="dxa" w:w="700"/>
            <w:tcBorders>
              <w:top w:val="none"/>
              <w:left w:val="none"/>
              <w:bottom w:val="none"/>
              <w:right w:val="none"/>
            </w:tcBorders>
            <w:vAlign w:val="center"/>
          </w:tcPr>
          <w:p>
            <w:pPr>
              <w:jc w:val="center"/>
            </w:pPr>
            <w:r>
              <w:rPr>
                <w:b/>
                <w:bCs/>
                <w:color w:val="1F4E79"/>
                <w:sz w:val="26"/>
                <w:szCs w:val="26"/>
              </w:rPr>
              <w:t xml:space="preserve">→</w:t>
            </w:r>
          </w:p>
          <w:p>
            <w:pPr>
              <w:jc w:val="center"/>
            </w:pPr>
            <w:r>
              <w:rPr>
                <w:i/>
                <w:iCs/>
                <w:sz w:val="16"/>
                <w:szCs w:val="16"/>
              </w:rPr>
              <w:t xml:space="preserve">linked to</w:t>
            </w:r>
          </w:p>
        </w:tc>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Confluence Doc
(Requirements / Design Spec)</w:t>
            </w:r>
          </w:p>
        </w:tc>
        <w:tc>
          <w:tcPr>
            <w:tcW w:type="dxa" w:w="700"/>
            <w:tcBorders>
              <w:top w:val="none"/>
              <w:left w:val="none"/>
              <w:bottom w:val="none"/>
              <w:right w:val="none"/>
            </w:tcBorders>
            <w:vAlign w:val="center"/>
          </w:tcPr>
          <w:p>
            <w:pPr>
              <w:jc w:val="center"/>
            </w:pPr>
            <w:r>
              <w:rPr>
                <w:b/>
                <w:bCs/>
                <w:color w:val="1F4E79"/>
                <w:sz w:val="26"/>
                <w:szCs w:val="26"/>
              </w:rPr>
              <w:t xml:space="preserve">→</w:t>
            </w:r>
          </w:p>
          <w:p>
            <w:pPr>
              <w:jc w:val="center"/>
            </w:pPr>
            <w:r>
              <w:rPr>
                <w:i/>
                <w:iCs/>
                <w:sz w:val="16"/>
                <w:szCs w:val="16"/>
              </w:rPr>
              <w:t xml:space="preserve">referenced by</w:t>
            </w:r>
          </w:p>
        </w:tc>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Developer Updates
Jira Task Status</w:t>
            </w:r>
          </w:p>
        </w:tc>
        <w:tc>
          <w:tcPr>
            <w:tcW w:type="dxa" w:w="700"/>
            <w:tcBorders>
              <w:top w:val="none"/>
              <w:left w:val="none"/>
              <w:bottom w:val="none"/>
              <w:right w:val="none"/>
            </w:tcBorders>
          </w:tcPr>
          <w:p/>
        </w:tc>
      </w:tr>
      <w:tr>
        <w:tc>
          <w:tcPr>
            <w:tcW w:type="dxa" w:w="700"/>
            <w:tcBorders>
              <w:top w:val="none"/>
              <w:left w:val="none"/>
              <w:bottom w:val="none"/>
              <w:right w:val="none"/>
            </w:tcBorders>
          </w:tcPr>
          <w:p/>
        </w:tc>
        <w:tc>
          <w:tcPr>
            <w:tcW w:type="dxa" w:w="700"/>
            <w:tcBorders>
              <w:top w:val="none"/>
              <w:left w:val="none"/>
              <w:bottom w:val="none"/>
              <w:right w:val="none"/>
            </w:tcBorders>
          </w:tcPr>
          <w:p/>
        </w:tc>
        <w:tc>
          <w:tcPr>
            <w:tcW w:type="dxa" w:w="700"/>
            <w:tcBorders>
              <w:top w:val="none"/>
              <w:left w:val="none"/>
              <w:bottom w:val="none"/>
              <w:right w:val="none"/>
            </w:tcBorders>
          </w:tcPr>
          <w:p/>
        </w:tc>
        <w:tc>
          <w:tcPr>
            <w:tcW w:type="dxa" w:w="700"/>
            <w:tcBorders>
              <w:top w:val="none"/>
              <w:left w:val="none"/>
              <w:bottom w:val="none"/>
              <w:right w:val="none"/>
            </w:tcBorders>
          </w:tcPr>
          <w:p/>
        </w:tc>
        <w:tc>
          <w:tcPr>
            <w:tcW w:type="dxa" w:w="700"/>
            <w:tcBorders>
              <w:top w:val="none"/>
              <w:left w:val="none"/>
              <w:bottom w:val="none"/>
              <w:right w:val="none"/>
            </w:tcBorders>
          </w:tcPr>
          <w:p/>
        </w:tc>
        <w:tc>
          <w:tcPr>
            <w:tcW w:type="dxa" w:w="700"/>
            <w:tcBorders>
              <w:top w:val="none"/>
              <w:left w:val="none"/>
              <w:bottom w:val="none"/>
              <w:right w:val="none"/>
            </w:tcBorders>
          </w:tcPr>
          <w:p/>
        </w:tc>
      </w:tr>
      <w:tr>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Confluence Meeting
Notes / Decisions</w:t>
            </w:r>
          </w:p>
        </w:tc>
        <w:tc>
          <w:tcPr>
            <w:tcW w:type="dxa" w:w="700"/>
            <w:tcBorders>
              <w:top w:val="none"/>
              <w:left w:val="none"/>
              <w:bottom w:val="none"/>
              <w:right w:val="none"/>
            </w:tcBorders>
            <w:vAlign w:val="center"/>
          </w:tcPr>
          <w:p>
            <w:pPr>
              <w:jc w:val="center"/>
            </w:pPr>
            <w:r>
              <w:rPr>
                <w:b/>
                <w:bCs/>
                <w:color w:val="1F4E79"/>
                <w:sz w:val="26"/>
                <w:szCs w:val="26"/>
              </w:rPr>
              <w:t xml:space="preserve">→</w:t>
            </w:r>
          </w:p>
          <w:p>
            <w:pPr>
              <w:jc w:val="center"/>
            </w:pPr>
            <w:r>
              <w:rPr>
                <w:i/>
                <w:iCs/>
                <w:sz w:val="16"/>
                <w:szCs w:val="16"/>
              </w:rPr>
              <w:t xml:space="preserve">informs</w:t>
            </w:r>
          </w:p>
        </w:tc>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Jira Backlog
Refinement</w:t>
            </w:r>
          </w:p>
        </w:tc>
        <w:tc>
          <w:tcPr>
            <w:tcW w:type="dxa" w:w="700"/>
            <w:tcBorders>
              <w:top w:val="none"/>
              <w:left w:val="none"/>
              <w:bottom w:val="none"/>
              <w:right w:val="none"/>
            </w:tcBorders>
            <w:vAlign w:val="center"/>
          </w:tcPr>
          <w:p>
            <w:pPr>
              <w:jc w:val="center"/>
            </w:pPr>
            <w:r>
              <w:rPr>
                <w:b/>
                <w:bCs/>
                <w:color w:val="1F4E79"/>
                <w:sz w:val="26"/>
                <w:szCs w:val="26"/>
              </w:rPr>
              <w:t xml:space="preserve">→</w:t>
            </w:r>
          </w:p>
          <w:p>
            <w:pPr>
              <w:jc w:val="center"/>
            </w:pPr>
            <w:r>
              <w:rPr>
                <w:i/>
                <w:iCs/>
                <w:sz w:val="16"/>
                <w:szCs w:val="16"/>
              </w:rPr>
              <w:t xml:space="preserve">triggers</w:t>
            </w:r>
          </w:p>
        </w:tc>
        <w:tc>
          <w:tcPr>
            <w:tcW w:type="dxa" w:w="2600"/>
            <w:tcBorders>
              <w:top w:val="single" w:color="1F4E79" w:sz="8"/>
              <w:left w:val="single" w:color="1F4E79" w:sz="8"/>
              <w:bottom w:val="single" w:color="1F4E79" w:sz="8"/>
              <w:right w:val="single" w:color="1F4E79" w:sz="8"/>
            </w:tcBorders>
            <w:shd w:fill="DCE6F1" w:color="auto" w:val="clear"/>
            <w:tcMar>
              <w:top w:type="dxa" w:w="120"/>
              <w:left w:type="dxa" w:w="80"/>
              <w:bottom w:type="dxa" w:w="120"/>
              <w:right w:type="dxa" w:w="80"/>
            </w:tcMar>
            <w:vAlign w:val="center"/>
          </w:tcPr>
          <w:p>
            <w:pPr>
              <w:jc w:val="center"/>
            </w:pPr>
            <w:r>
              <w:rPr>
                <w:b/>
                <w:bCs/>
                <w:color w:val="1F4E79"/>
                <w:sz w:val="20"/>
                <w:szCs w:val="20"/>
              </w:rPr>
              <w:t xml:space="preserve">Sprint Task
Assigned to Team</w:t>
            </w:r>
          </w:p>
        </w:tc>
        <w:tc>
          <w:tcPr>
            <w:tcW w:type="dxa" w:w="700"/>
            <w:tcBorders>
              <w:top w:val="none"/>
              <w:left w:val="none"/>
              <w:bottom w:val="none"/>
              <w:right w:val="none"/>
            </w:tcBorders>
          </w:tcPr>
          <w:p/>
        </w:tc>
      </w:tr>
    </w:tbl>
    <w:p>
      <w:pPr>
        <w:spacing w:after="120"/>
      </w:pPr>
    </w:p>
    <w:p>
      <w:pPr>
        <w:spacing w:after="120"/>
      </w:pPr>
      <w:r>
        <w:rPr>
          <w:sz w:val="22"/>
          <w:szCs w:val="22"/>
        </w:rPr>
        <w:t xml:space="preserve">The diagram shows Jira tasks and Confluence documents referencing each other bidirectionally: requirement docs feed task creation, and task updates/status flow back to inform document revisions.</w:t>
      </w:r>
    </w:p>
    <w:p>
      <w:pPr>
        <w:pStyle w:val="Heading1"/>
        <w:pBdr>
          <w:bottom w:val="single" w:color="1F4E79" w:sz="6" w:space="4"/>
        </w:pBdr>
        <w:spacing w:after="200" w:before="400"/>
      </w:pPr>
      <w:r>
        <w:rPr>
          <w:b/>
          <w:bCs/>
          <w:color w:val="1F4E79"/>
          <w:sz w:val="30"/>
          <w:szCs w:val="30"/>
        </w:rPr>
        <w:t xml:space="preserve">Problem 3: Software Architecture for a Scalable Food Delivery Platform</w:t>
      </w:r>
    </w:p>
    <w:p>
      <w:pPr>
        <w:spacing w:after="120"/>
      </w:pPr>
      <w:r>
        <w:rPr>
          <w:i/>
          <w:iCs/>
          <w:sz w:val="22"/>
          <w:szCs w:val="22"/>
        </w:rPr>
        <w:t xml:space="preserve">Scenario: A startup needs an architecture for a Swiggy/Zomato-style platform that can scale during peak hours and handle thousands of orders per minute.</w:t>
      </w:r>
    </w:p>
    <w:p>
      <w:pPr>
        <w:pStyle w:val="Heading2"/>
        <w:spacing w:after="120" w:before="240"/>
      </w:pPr>
      <w:r>
        <w:rPr>
          <w:b/>
          <w:bCs/>
          <w:color w:val="1F4E79"/>
          <w:sz w:val="24"/>
          <w:szCs w:val="24"/>
        </w:rPr>
        <w:t xml:space="preserve">1. Recommended Architecture</w:t>
      </w:r>
    </w:p>
    <w:p>
      <w:pPr>
        <w:spacing w:after="120"/>
      </w:pPr>
      <w:r>
        <w:rPr>
          <w:sz w:val="22"/>
          <w:szCs w:val="22"/>
        </w:rPr>
        <w:t xml:space="preserve">Microservices Architecture (with an event-driven backbone) is recommended over a monolith or serverless-only approach.</w:t>
      </w:r>
    </w:p>
    <w:p>
      <w:pPr>
        <w:pStyle w:val="Heading2"/>
        <w:spacing w:after="120" w:before="240"/>
      </w:pPr>
      <w:r>
        <w:rPr>
          <w:b/>
          <w:bCs/>
          <w:color w:val="1F4E79"/>
          <w:sz w:val="24"/>
          <w:szCs w:val="24"/>
        </w:rPr>
        <w:t xml:space="preserve">2. Three Reasons for the Choice</w:t>
      </w:r>
    </w:p>
    <w:p>
      <w:pPr>
        <w:pStyle w:val="ListParagraph"/>
        <w:numPr>
          <w:ilvl w:val="0"/>
          <w:numId w:val="2"/>
        </w:numPr>
        <w:spacing w:after="60"/>
      </w:pPr>
      <w:r>
        <w:rPr>
          <w:sz w:val="22"/>
          <w:szCs w:val="22"/>
        </w:rPr>
        <w:t xml:space="preserve">Independent scalability: high-traffic services (e.g., Order Placement, Delivery Tracking) can be scaled independently of low-traffic services (e.g., Support), optimizing cost and performance during peak load.</w:t>
      </w:r>
    </w:p>
    <w:p>
      <w:pPr>
        <w:pStyle w:val="ListParagraph"/>
        <w:numPr>
          <w:ilvl w:val="0"/>
          <w:numId w:val="2"/>
        </w:numPr>
        <w:spacing w:after="60"/>
      </w:pPr>
      <w:r>
        <w:rPr>
          <w:sz w:val="22"/>
          <w:szCs w:val="22"/>
        </w:rPr>
        <w:t xml:space="preserve">Fault isolation: if the Payments service fails, Order browsing and restaurant search can continue functioning, improving overall system resilience compared to a monolith.</w:t>
      </w:r>
    </w:p>
    <w:p>
      <w:pPr>
        <w:pStyle w:val="ListParagraph"/>
        <w:numPr>
          <w:ilvl w:val="0"/>
          <w:numId w:val="2"/>
        </w:numPr>
        <w:spacing w:after="60"/>
      </w:pPr>
      <w:r>
        <w:rPr>
          <w:sz w:val="22"/>
          <w:szCs w:val="22"/>
        </w:rPr>
        <w:t xml:space="preserve">Independent deployment and technology choice: teams can deploy updates to individual services (e.g., Delivery routing algorithm) without redeploying the entire platform, enabling faster iteration for a fast-moving startup.</w:t>
      </w:r>
    </w:p>
    <w:p>
      <w:pPr>
        <w:spacing w:after="120"/>
      </w:pPr>
    </w:p>
    <w:p>
      <w:pPr>
        <w:pStyle w:val="Heading2"/>
        <w:spacing w:after="120" w:before="240"/>
      </w:pPr>
      <w:r>
        <w:rPr>
          <w:b/>
          <w:bCs/>
          <w:color w:val="1F4E79"/>
          <w:sz w:val="24"/>
          <w:szCs w:val="24"/>
        </w:rPr>
        <w:t xml:space="preserve">3. Event-Driven Architecture Explained</w:t>
      </w:r>
    </w:p>
    <w:p>
      <w:pPr>
        <w:spacing w:after="120"/>
      </w:pPr>
      <w:r>
        <w:rPr>
          <w:sz w:val="22"/>
          <w:szCs w:val="22"/>
        </w:rPr>
        <w:t xml:space="preserve">In an event-driven architecture, services communicate asynchronously by publishing and subscribing to events (e.g., 'OrderPlaced', 'PaymentConfirmed', 'DriverAssigned') through a message broker such as Kafka or RabbitMQ, instead of calling each other directly. This decouples services — the Order service simply emits an event and doesn't need to know which services react to it. It naturally handles bursty, high-volume traffic (thousands of orders per minute) by buffering events in the broker, and it allows new services (e.g., analytics, fraud detection) to be added later by simply subscribing to existing event streams without changing upstream services.</w:t>
      </w:r>
    </w:p>
    <w:p>
      <w:pPr>
        <w:pStyle w:val="Heading2"/>
        <w:spacing w:after="120" w:before="240"/>
      </w:pPr>
      <w:r>
        <w:rPr>
          <w:b/>
          <w:bCs/>
          <w:color w:val="1F4E79"/>
          <w:sz w:val="24"/>
          <w:szCs w:val="24"/>
        </w:rPr>
        <w:t xml:space="preserve">4. Suitable Microservices</w:t>
      </w:r>
    </w:p>
    <w:p>
      <w:pPr>
        <w:pStyle w:val="ListParagraph"/>
        <w:numPr>
          <w:ilvl w:val="0"/>
          <w:numId w:val="3"/>
        </w:numPr>
        <w:spacing w:after="60"/>
      </w:pPr>
      <w:r>
        <w:rPr>
          <w:sz w:val="22"/>
          <w:szCs w:val="22"/>
        </w:rPr>
        <w:t xml:space="preserve">Order Service — manages order creation, cart, and order status</w:t>
      </w:r>
    </w:p>
    <w:p>
      <w:pPr>
        <w:pStyle w:val="ListParagraph"/>
        <w:numPr>
          <w:ilvl w:val="0"/>
          <w:numId w:val="3"/>
        </w:numPr>
        <w:spacing w:after="60"/>
      </w:pPr>
      <w:r>
        <w:rPr>
          <w:sz w:val="22"/>
          <w:szCs w:val="22"/>
        </w:rPr>
        <w:t xml:space="preserve">Payment Service — handles payment processing, refunds, and reconciliation</w:t>
      </w:r>
    </w:p>
    <w:p>
      <w:pPr>
        <w:pStyle w:val="ListParagraph"/>
        <w:numPr>
          <w:ilvl w:val="0"/>
          <w:numId w:val="3"/>
        </w:numPr>
        <w:spacing w:after="60"/>
      </w:pPr>
      <w:r>
        <w:rPr>
          <w:sz w:val="22"/>
          <w:szCs w:val="22"/>
        </w:rPr>
        <w:t xml:space="preserve">Delivery/Logistics Service — assigns drivers, tracks real-time delivery location and ETA</w:t>
      </w:r>
    </w:p>
    <w:p>
      <w:pPr>
        <w:pStyle w:val="Heading1"/>
        <w:pBdr>
          <w:bottom w:val="single" w:color="1F4E79" w:sz="6" w:space="4"/>
        </w:pBdr>
        <w:spacing w:after="200" w:before="400"/>
      </w:pPr>
      <w:r>
        <w:rPr>
          <w:b/>
          <w:bCs/>
          <w:color w:val="1F4E79"/>
          <w:sz w:val="30"/>
          <w:szCs w:val="30"/>
        </w:rPr>
        <w:t xml:space="preserve">Problem 4: API-First Development for a Hotel Booking Platform</w:t>
      </w:r>
    </w:p>
    <w:p>
      <w:pPr>
        <w:spacing w:after="120"/>
      </w:pPr>
      <w:r>
        <w:rPr>
          <w:i/>
          <w:iCs/>
          <w:sz w:val="22"/>
          <w:szCs w:val="22"/>
        </w:rPr>
        <w:t xml:space="preserve">Scenario: A hotel booking platform's frontend, backend, and mobile teams must work in parallel, guided by an API-first approach using OpenAPI/Swagger.</w:t>
      </w:r>
    </w:p>
    <w:p>
      <w:pPr>
        <w:pStyle w:val="Heading2"/>
        <w:spacing w:after="120" w:before="240"/>
      </w:pPr>
      <w:r>
        <w:rPr>
          <w:b/>
          <w:bCs/>
          <w:color w:val="1F4E79"/>
          <w:sz w:val="24"/>
          <w:szCs w:val="24"/>
        </w:rPr>
        <w:t xml:space="preserve">1. Why API-First Is Suitable</w:t>
      </w:r>
    </w:p>
    <w:p>
      <w:pPr>
        <w:spacing w:after="120"/>
      </w:pPr>
      <w:r>
        <w:rPr>
          <w:sz w:val="22"/>
          <w:szCs w:val="22"/>
        </w:rPr>
        <w:t xml:space="preserve">API-first means the API contract (OpenAPI/Swagger spec) is designed and agreed upon before implementation begins. This is ideal here because frontend, backend, and mobile teams need to work in parallel: once the contract is fixed, frontend and mobile developers can build against a mocked API generated from the spec while the backend team implements it independently. It reduces integration surprises, enables automatic client SDK and documentation generation, and lets multiple teams move at the same time instead of the frontend waiting for the backend to finish.</w:t>
      </w:r>
    </w:p>
    <w:p>
      <w:pPr>
        <w:pStyle w:val="Heading2"/>
        <w:spacing w:after="120" w:before="240"/>
      </w:pPr>
      <w:r>
        <w:rPr>
          <w:b/>
          <w:bCs/>
          <w:color w:val="1F4E79"/>
          <w:sz w:val="24"/>
          <w:szCs w:val="24"/>
        </w:rPr>
        <w:t xml:space="preserve">2. Sample Swagger/OpenAPI Endpoint — Room Availability Check</w:t>
      </w:r>
    </w:p>
    <w:p>
      <w:pPr>
        <w:pBdr>
          <w:top w:val="single" w:color="BFBFBF" w:sz="4"/>
          <w:bottom w:val="single" w:color="BFBFBF" w:sz="4"/>
          <w:left w:val="single" w:color="BFBFBF" w:sz="4"/>
          <w:right w:val="single" w:color="BFBFBF" w:sz="4"/>
        </w:pBdr>
        <w:shd w:fill="F2F2F2" w:color="auto" w:val="clear"/>
        <w:spacing w:after="200"/>
      </w:pPr>
      <w:r>
        <w:rPr>
          <w:rFonts w:ascii="Courier New" w:cs="Courier New" w:eastAsia="Courier New" w:hAnsi="Courier New"/>
          <w:sz w:val="19"/>
          <w:szCs w:val="19"/>
        </w:rPr>
        <w:t xml:space="preserve">GET /api/v1/hotels/{hotelId}/rooms/availability
  Parameters:
    hotelId    (path, string, required)
    checkIn    (query, date, required)   e.g. 2026-08-10
    checkOut   (query, date, required)   e.g. 2026-08-12
    guests     (query, integer, optional, default=2)
  Responses:
    200 OK
      { "roomsAvailable": 14,
        "roomType": "Deluxe",
        "pricePerNight": 3499.00,
        "currency": "INR" }
    404 Not Found  -&gt; hotelId does not exist
    400 Bad Request -&gt; checkOut earlier than checkIn</w:t>
      </w:r>
    </w:p>
    <w:p>
      <w:pPr>
        <w:pStyle w:val="Heading2"/>
        <w:spacing w:after="120" w:before="240"/>
      </w:pPr>
      <w:r>
        <w:rPr>
          <w:b/>
          <w:bCs/>
          <w:color w:val="1F4E79"/>
          <w:sz w:val="24"/>
          <w:szCs w:val="24"/>
        </w:rPr>
        <w:t xml:space="preserve">3. API Versioning Strategy</w:t>
      </w:r>
    </w:p>
    <w:p>
      <w:pPr>
        <w:spacing w:after="120"/>
      </w:pPr>
      <w:r>
        <w:rPr>
          <w:sz w:val="22"/>
          <w:szCs w:val="22"/>
        </w:rPr>
        <w:t xml:space="preserve">Use URI-based versioning (e.g., /api/v1/..., /api/v2/...), keeping the version number visible in the path. When breaking changes are needed (e.g., a new response schema for availability), a new version (v2) is released while v1 continues to run for existing mobile app clients until they upgrade, giving teams a controlled, backward-compatible migration path instead of breaking all clients simultaneously.</w:t>
      </w:r>
    </w:p>
    <w:p>
      <w:pPr>
        <w:pStyle w:val="Heading2"/>
        <w:spacing w:after="120" w:before="240"/>
      </w:pPr>
      <w:r>
        <w:rPr>
          <w:b/>
          <w:bCs/>
          <w:color w:val="1F4E79"/>
          <w:sz w:val="24"/>
          <w:szCs w:val="24"/>
        </w:rPr>
        <w:t xml:space="preserve">4. Two Benefits of Docker Containerization</w:t>
      </w:r>
    </w:p>
    <w:p>
      <w:pPr>
        <w:pStyle w:val="ListParagraph"/>
        <w:numPr>
          <w:ilvl w:val="0"/>
          <w:numId w:val="2"/>
        </w:numPr>
        <w:spacing w:after="60"/>
      </w:pPr>
      <w:r>
        <w:rPr>
          <w:sz w:val="22"/>
          <w:szCs w:val="22"/>
        </w:rPr>
        <w:t xml:space="preserve">Consistency across environments: the API runs identically on a developer's laptop, in staging, and in production, eliminating 'it works on my machine' issues since the container packages code, runtime, and dependencies together.</w:t>
      </w:r>
    </w:p>
    <w:p>
      <w:pPr>
        <w:pStyle w:val="ListParagraph"/>
        <w:numPr>
          <w:ilvl w:val="0"/>
          <w:numId w:val="2"/>
        </w:numPr>
        <w:spacing w:after="60"/>
      </w:pPr>
      <w:r>
        <w:rPr>
          <w:sz w:val="22"/>
          <w:szCs w:val="22"/>
        </w:rPr>
        <w:t xml:space="preserve">Faster, isolated scaling and deployment: each microservice (or the API gateway) can be containerized and scaled independently using an orchestrator (e.g., Kubernetes), and new instances can be spun up in seconds during traffic spikes such as holiday booking rushes.</w:t>
      </w:r>
    </w:p>
    <w:p>
      <w:pPr>
        <w:pStyle w:val="Heading1"/>
        <w:pBdr>
          <w:bottom w:val="single" w:color="1F4E79" w:sz="6" w:space="4"/>
        </w:pBdr>
        <w:spacing w:after="200" w:before="400"/>
      </w:pPr>
      <w:r>
        <w:rPr>
          <w:b/>
          <w:bCs/>
          <w:color w:val="1F4E79"/>
          <w:sz w:val="30"/>
          <w:szCs w:val="30"/>
        </w:rPr>
        <w:t xml:space="preserve">Problem 5: Formal Verification &amp; Design by Contract for a Payment System</w:t>
      </w:r>
    </w:p>
    <w:p>
      <w:pPr>
        <w:spacing w:after="120"/>
      </w:pPr>
      <w:r>
        <w:rPr>
          <w:i/>
          <w:iCs/>
          <w:sz w:val="22"/>
          <w:szCs w:val="22"/>
        </w:rPr>
        <w:t xml:space="preserve">Scenario: A digital payment system bank app needs formally verified, correctness-critical logic to avoid financial errors, using Design by Contract.</w:t>
      </w:r>
    </w:p>
    <w:p>
      <w:pPr>
        <w:pStyle w:val="Heading2"/>
        <w:spacing w:after="120" w:before="240"/>
      </w:pPr>
      <w:r>
        <w:rPr>
          <w:b/>
          <w:bCs/>
          <w:color w:val="1F4E79"/>
          <w:sz w:val="24"/>
          <w:szCs w:val="24"/>
        </w:rPr>
        <w:t xml:space="preserve">1. Where Formal Verification Is Used</w:t>
      </w:r>
    </w:p>
    <w:p>
      <w:pPr>
        <w:spacing w:after="120"/>
      </w:pPr>
      <w:r>
        <w:rPr>
          <w:sz w:val="22"/>
          <w:szCs w:val="22"/>
        </w:rPr>
        <w:t xml:space="preserve">Formal verification is used for correctness-critical logic where errors carry high financial, safety, or legal cost: fund-transfer and balance-update logic in banking, aviation flight-control software, medical device firmware, railway signalling systems, and cryptographic/security protocols. In this scenario, it should be applied specifically to the Fund Transfer module, since even a rare rounding or race-condition bug could cause incorrect debits/credits at scale.</w:t>
      </w:r>
    </w:p>
    <w:p>
      <w:pPr>
        <w:pStyle w:val="Heading2"/>
        <w:spacing w:after="120" w:before="240"/>
      </w:pPr>
      <w:r>
        <w:rPr>
          <w:b/>
          <w:bCs/>
          <w:color w:val="1F4E79"/>
          <w:sz w:val="24"/>
          <w:szCs w:val="24"/>
        </w:rPr>
        <w:t xml:space="preserve">2. Design-by-Contract Specification — Fund Transfer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4E79" w:color="auto" w:val="clear"/>
            <w:tcMar>
              <w:top w:type="dxa" w:w="80"/>
              <w:left w:type="dxa" w:w="100"/>
              <w:bottom w:type="dxa" w:w="80"/>
              <w:right w:type="dxa" w:w="100"/>
            </w:tcMar>
            <w:vAlign w:val="center"/>
          </w:tcPr>
          <w:p>
            <w:r>
              <w:rPr>
                <w:b/>
                <w:bCs/>
                <w:color w:val="FFFFFF"/>
                <w:sz w:val="21"/>
                <w:szCs w:val="21"/>
              </w:rPr>
              <w:t xml:space="preserve">Contract Element</w:t>
            </w:r>
          </w:p>
        </w:tc>
        <w:tc>
          <w:tcPr>
            <w:tcW w:type="dxa" w:w="7100"/>
            <w:shd w:fill="1F4E79" w:color="auto" w:val="clear"/>
            <w:tcMar>
              <w:top w:type="dxa" w:w="80"/>
              <w:left w:type="dxa" w:w="100"/>
              <w:bottom w:type="dxa" w:w="80"/>
              <w:right w:type="dxa" w:w="100"/>
            </w:tcMar>
            <w:vAlign w:val="center"/>
          </w:tcPr>
          <w:p>
            <w:r>
              <w:rPr>
                <w:b/>
                <w:bCs/>
                <w:color w:val="FFFFFF"/>
                <w:sz w:val="21"/>
                <w:szCs w:val="21"/>
              </w:rPr>
              <w:t xml:space="preserve">Specification</w:t>
            </w:r>
          </w:p>
        </w:tc>
      </w:tr>
      <w:tr>
        <w:tc>
          <w:tcPr>
            <w:tcW w:type="dxa" w:w="2600"/>
            <w:shd w:fill="FFFFFF" w:color="auto" w:val="clear"/>
            <w:tcMar>
              <w:top w:type="dxa" w:w="80"/>
              <w:left w:type="dxa" w:w="100"/>
              <w:bottom w:type="dxa" w:w="80"/>
              <w:right w:type="dxa" w:w="100"/>
            </w:tcMar>
            <w:vAlign w:val="center"/>
          </w:tcPr>
          <w:p>
            <w:r>
              <w:rPr>
                <w:b w:val="false"/>
                <w:bCs w:val="false"/>
                <w:color w:val="000000"/>
                <w:sz w:val="21"/>
                <w:szCs w:val="21"/>
              </w:rPr>
              <w:t xml:space="preserve">Preconditions</w:t>
            </w:r>
          </w:p>
        </w:tc>
        <w:tc>
          <w:tcPr>
            <w:tcW w:type="dxa" w:w="7100"/>
            <w:shd w:fill="FFFFFF" w:color="auto" w:val="clear"/>
            <w:tcMar>
              <w:top w:type="dxa" w:w="80"/>
              <w:left w:type="dxa" w:w="100"/>
              <w:bottom w:type="dxa" w:w="80"/>
              <w:right w:type="dxa" w:w="100"/>
            </w:tcMar>
            <w:vAlign w:val="center"/>
          </w:tcPr>
          <w:p>
            <w:r>
              <w:rPr>
                <w:b w:val="false"/>
                <w:bCs w:val="false"/>
                <w:color w:val="000000"/>
                <w:sz w:val="21"/>
                <w:szCs w:val="21"/>
              </w:rPr>
              <w:t xml:space="preserve">senderAccount.status = ACTIVE; receiverAccount.status = ACTIVE; senderAccount.balance ≥ transferAmount; transferAmount &gt; 0; senderAccount ≠ receiverAccount</w:t>
            </w:r>
          </w:p>
        </w:tc>
      </w:tr>
      <w:tr>
        <w:tc>
          <w:tcPr>
            <w:tcW w:type="dxa" w:w="2600"/>
            <w:shd w:fill="F2F2F2" w:color="auto" w:val="clear"/>
            <w:tcMar>
              <w:top w:type="dxa" w:w="80"/>
              <w:left w:type="dxa" w:w="100"/>
              <w:bottom w:type="dxa" w:w="80"/>
              <w:right w:type="dxa" w:w="100"/>
            </w:tcMar>
            <w:vAlign w:val="center"/>
          </w:tcPr>
          <w:p>
            <w:r>
              <w:rPr>
                <w:b w:val="false"/>
                <w:bCs w:val="false"/>
                <w:color w:val="000000"/>
                <w:sz w:val="21"/>
                <w:szCs w:val="21"/>
              </w:rPr>
              <w:t xml:space="preserve">Postconditions</w:t>
            </w:r>
          </w:p>
        </w:tc>
        <w:tc>
          <w:tcPr>
            <w:tcW w:type="dxa" w:w="7100"/>
            <w:shd w:fill="F2F2F2" w:color="auto" w:val="clear"/>
            <w:tcMar>
              <w:top w:type="dxa" w:w="80"/>
              <w:left w:type="dxa" w:w="100"/>
              <w:bottom w:type="dxa" w:w="80"/>
              <w:right w:type="dxa" w:w="100"/>
            </w:tcMar>
            <w:vAlign w:val="center"/>
          </w:tcPr>
          <w:p>
            <w:r>
              <w:rPr>
                <w:b w:val="false"/>
                <w:bCs w:val="false"/>
                <w:color w:val="000000"/>
                <w:sz w:val="21"/>
                <w:szCs w:val="21"/>
              </w:rPr>
              <w:t xml:space="preserve">senderAccount.balance = old(senderAccount.balance) − transferAmount; receiverAccount.balance = old(receiverAccount.balance) + transferAmount; a TransactionRecord is created with status = COMPLETED</w:t>
            </w:r>
          </w:p>
        </w:tc>
      </w:tr>
      <w:tr>
        <w:tc>
          <w:tcPr>
            <w:tcW w:type="dxa" w:w="2600"/>
            <w:shd w:fill="FFFFFF" w:color="auto" w:val="clear"/>
            <w:tcMar>
              <w:top w:type="dxa" w:w="80"/>
              <w:left w:type="dxa" w:w="100"/>
              <w:bottom w:type="dxa" w:w="80"/>
              <w:right w:type="dxa" w:w="100"/>
            </w:tcMar>
            <w:vAlign w:val="center"/>
          </w:tcPr>
          <w:p>
            <w:r>
              <w:rPr>
                <w:b w:val="false"/>
                <w:bCs w:val="false"/>
                <w:color w:val="000000"/>
                <w:sz w:val="21"/>
                <w:szCs w:val="21"/>
              </w:rPr>
              <w:t xml:space="preserve">Invariants</w:t>
            </w:r>
          </w:p>
        </w:tc>
        <w:tc>
          <w:tcPr>
            <w:tcW w:type="dxa" w:w="7100"/>
            <w:shd w:fill="FFFFFF" w:color="auto" w:val="clear"/>
            <w:tcMar>
              <w:top w:type="dxa" w:w="80"/>
              <w:left w:type="dxa" w:w="100"/>
              <w:bottom w:type="dxa" w:w="80"/>
              <w:right w:type="dxa" w:w="100"/>
            </w:tcMar>
            <w:vAlign w:val="center"/>
          </w:tcPr>
          <w:p>
            <w:r>
              <w:rPr>
                <w:b w:val="false"/>
                <w:bCs w:val="false"/>
                <w:color w:val="000000"/>
                <w:sz w:val="21"/>
                <w:szCs w:val="21"/>
              </w:rPr>
              <w:t xml:space="preserve">totalSystemBalance remains constant before and after the transfer (no money is created or destroyed); no account balance is ever negative</w:t>
            </w:r>
          </w:p>
        </w:tc>
      </w:tr>
    </w:tbl>
    <w:p>
      <w:pPr>
        <w:spacing w:after="120"/>
      </w:pPr>
    </w:p>
    <w:p>
      <w:pPr>
        <w:pStyle w:val="Heading2"/>
        <w:spacing w:after="120" w:before="240"/>
      </w:pPr>
      <w:r>
        <w:rPr>
          <w:b/>
          <w:bCs/>
          <w:color w:val="1F4E79"/>
          <w:sz w:val="24"/>
          <w:szCs w:val="24"/>
        </w:rPr>
        <w:t xml:space="preserve">3. How Contracts Improve Reliability</w:t>
      </w:r>
    </w:p>
    <w:p>
      <w:pPr>
        <w:spacing w:after="120"/>
      </w:pPr>
      <w:r>
        <w:rPr>
          <w:sz w:val="22"/>
          <w:szCs w:val="22"/>
        </w:rPr>
        <w:t xml:space="preserve">Preconditions stop invalid operations (e.g., insufficient balance, inactive account) from ever executing, catching errors at the point of call rather than deep inside the system. Postconditions let the system automatically verify that every transfer produced the exact expected result, catching implementation bugs immediately. Invariants (like total balance conservation) act as a continuous safety net that can be checked after every operation, so any violation — from a bug or a concurrency issue — is detected before it can propagate to more transactions or reach the customer.</w:t>
      </w:r>
    </w:p>
    <w:p>
      <w:pPr>
        <w:pStyle w:val="Heading2"/>
        <w:spacing w:after="120" w:before="240"/>
      </w:pPr>
      <w:r>
        <w:rPr>
          <w:b/>
          <w:bCs/>
          <w:color w:val="1F4E79"/>
          <w:sz w:val="24"/>
          <w:szCs w:val="24"/>
        </w:rPr>
        <w:t xml:space="preserve">4. Real-World Failure Example</w:t>
      </w:r>
    </w:p>
    <w:p>
      <w:pPr>
        <w:spacing w:after="120"/>
      </w:pPr>
      <w:r>
        <w:rPr>
          <w:sz w:val="22"/>
          <w:szCs w:val="22"/>
        </w:rPr>
        <w:t xml:space="preserve">A well-known real-world illustration is the 2012 Knight Capital trading incident, where a software deployment error caused an automated trading system to execute unintended, rapidly repeating orders because required safeguards (contract-style checks preventing reuse of an old code path) were missing. Within about 45 minutes the firm suffered roughly $440 million in losses. In banking terms, an equivalent risk in a fund-transfer system without formal contracts would be a race condition allowing the same transfer to be processed twice ('double-spend'), which strict pre/postcondition and invariant checks — verifying the transaction hasn't already been applied and that total balance is conserved — are specifically designed to prevent.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2026-07-20T04:11:00.796Z</dcterms:created>
  <dcterms:modified xsi:type="dcterms:W3CDTF">2026-07-20T04:11:00.808Z</dcterms:modified>
</cp:coreProperties>
</file>

<file path=docProps/custom.xml><?xml version="1.0" encoding="utf-8"?>
<Properties xmlns="http://schemas.openxmlformats.org/officeDocument/2006/custom-properties" xmlns:vt="http://schemas.openxmlformats.org/officeDocument/2006/docPropsVTypes"/>
</file>