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27 June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TEAM-MERN-09</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RentalHouse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pStyle w:val="Heading2"/>
      </w:pPr>
      <w:r>
        <w:t>Data Flow Diagram</w:t>
      </w:r>
    </w:p>
    <w:p>
      <w:r>
        <w:t>Below is the light-themed Level 1 Data Flow Diagram (DFD) for the RentalHouse platform:</w:t>
      </w:r>
    </w:p>
    <w:p>
      <w:r>
        <w:drawing>
          <wp:inline>
            <wp:extent cx="5029200" cy="5029200"/>
            <wp:docPr id="11" name="Picture 11"/>
            <wp:cNvGraphicFramePr>
              <a:graphicFrameLocks noChangeAspect="1"/>
            </wp:cNvGraphicFramePr>
            <a:graphic>
              <a:graphicData uri="http://schemas.openxmlformats.org/drawingml/2006/picture">
                <pic:pic>
                  <pic:nvPicPr>
                    <pic:cNvPr id="0" name="data_flow_diagram.png"/>
                    <pic:cNvPicPr/>
                  </pic:nvPicPr>
                  <pic:blipFill>
                    <a:blip r:embed="rId12"/>
                    <a:stretch>
                      <a:fillRect/>
                    </a:stretch>
                  </pic:blipFill>
                  <pic:spPr>
                    <a:xfrm>
                      <a:off x="0" y="0"/>
                      <a:ext cx="5029200" cy="5029200"/>
                    </a:xfrm>
                    <a:prstGeom prst="rect"/>
                  </pic:spPr>
                </pic:pic>
              </a:graphicData>
            </a:graphic>
          </wp:inline>
        </w:drawing>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