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>
            <w:r>
              <w:t>27 June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>
            <w:r>
              <w:t>TEAM-MERN-09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>
            <w:r>
              <w:t>RentalHouse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FR-1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User Registration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Registration through Form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Registration through Gmail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Registration through LinkedIN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FR-2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User Confirmation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Confirmation via Email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Confirmation via OTP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r>
              <w:t>FR-3</w:t>
            </w:r>
          </w:p>
        </w:tc>
        <w:tc>
          <w:tcPr/>
          <w:p>
            <w:r>
              <w:t>Property Search &amp; Filter</w:t>
            </w:r>
          </w:p>
        </w:tc>
        <w:tc>
          <w:tcPr/>
          <w:p>
            <w:r>
              <w:t>Search listings by city, filter by rent range, bedrooms, bathrooms, and property type.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FR-4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W w:type="dxa" w:w="926"/>
          </w:tcPr>
          <w:p>
            <w:r>
              <w:t>FR-4</w:t>
            </w:r>
          </w:p>
        </w:tc>
        <w:tc>
          <w:tcPr>
            <w:tcW w:type="dxa" w:w="3150"/>
          </w:tcPr>
          <w:p>
            <w:r>
              <w:t>Visit Scheduling</w:t>
            </w:r>
          </w:p>
        </w:tc>
        <w:tc>
          <w:tcPr>
            <w:tcW w:type="dxa" w:w="5248"/>
          </w:tcPr>
          <w:p>
            <w:r>
              <w:t>Tenants submit visit requests on properties; owners approve/reject.</w:t>
            </w:r>
          </w:p>
        </w:tc>
      </w:tr>
      <w:tr>
        <w:tc>
          <w:tcPr>
            <w:tcW w:type="dxa" w:w="926"/>
          </w:tcPr>
          <w:p>
            <w:r>
              <w:t>FR-5</w:t>
            </w:r>
          </w:p>
        </w:tc>
        <w:tc>
          <w:tcPr>
            <w:tcW w:type="dxa" w:w="3150"/>
          </w:tcPr>
          <w:p>
            <w:r>
              <w:t>Comparison Drawer</w:t>
            </w:r>
          </w:p>
        </w:tc>
        <w:tc>
          <w:tcPr>
            <w:tcW w:type="dxa" w:w="5248"/>
          </w:tcPr>
          <w:p>
            <w:r>
              <w:t>Compare up to 3 listings side-by-side using the comparison overlay.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Responsive layout with Bootstrap 5 and skeleton shimmering loaders.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Password hashing using bcrypt, JWT session token validation, authorization middleware.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Robust database connection fallback to MongoMemoryServer if remote Atlas connection fails.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Vite Bundler for frontend and optimized Mongoose database indexing.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Standard hosting compatibility on cloud servers with high availability.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color w:val="222222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Decoupled frontend-backend 3-tier MERN stack architecture.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