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CAAF3" w14:textId="77777777" w:rsidR="00EF761D" w:rsidRPr="00DF7438" w:rsidRDefault="00EF761D" w:rsidP="006D2DD3">
      <w:pPr>
        <w:pStyle w:val="Heading1"/>
        <w:jc w:val="both"/>
        <w:rPr>
          <w:vertAlign w:val="subscript"/>
        </w:rPr>
      </w:pPr>
    </w:p>
    <w:p w14:paraId="43370691" w14:textId="77777777" w:rsidR="00EF761D" w:rsidRDefault="00FA4F3B" w:rsidP="00E11DDF">
      <w:pPr>
        <w:spacing w:before="60" w:after="100" w:line="280" w:lineRule="auto"/>
        <w:jc w:val="center"/>
      </w:pPr>
      <w:r>
        <w:rPr>
          <w:b/>
          <w:bCs/>
          <w:sz w:val="48"/>
          <w:szCs w:val="48"/>
        </w:rPr>
        <w:t>Value Chain Integration System for Oilseed By-Products</w:t>
      </w:r>
    </w:p>
    <w:p w14:paraId="3103BDCC" w14:textId="77777777" w:rsidR="00EF761D" w:rsidRDefault="00FA4F3B" w:rsidP="003179F7">
      <w:pPr>
        <w:spacing w:after="30"/>
        <w:jc w:val="center"/>
      </w:pPr>
      <w:r>
        <w:rPr>
          <w:sz w:val="18"/>
          <w:szCs w:val="18"/>
          <w:vertAlign w:val="superscript"/>
        </w:rPr>
        <w:t>1</w:t>
      </w:r>
      <w:r>
        <w:rPr>
          <w:b/>
          <w:bCs/>
          <w:sz w:val="22"/>
          <w:szCs w:val="22"/>
        </w:rPr>
        <w:t xml:space="preserve">Poojesh K S,  </w:t>
      </w:r>
      <w:r>
        <w:rPr>
          <w:sz w:val="18"/>
          <w:szCs w:val="18"/>
          <w:vertAlign w:val="superscript"/>
        </w:rPr>
        <w:t>2</w:t>
      </w:r>
      <w:r>
        <w:rPr>
          <w:b/>
          <w:bCs/>
          <w:sz w:val="22"/>
          <w:szCs w:val="22"/>
        </w:rPr>
        <w:t xml:space="preserve">Vishwajeet,  </w:t>
      </w:r>
      <w:r>
        <w:rPr>
          <w:sz w:val="18"/>
          <w:szCs w:val="18"/>
          <w:vertAlign w:val="superscript"/>
        </w:rPr>
        <w:t>3</w:t>
      </w:r>
      <w:r>
        <w:rPr>
          <w:b/>
          <w:bCs/>
          <w:sz w:val="22"/>
          <w:szCs w:val="22"/>
        </w:rPr>
        <w:t>Puneeth M</w:t>
      </w:r>
    </w:p>
    <w:p w14:paraId="7794FBC5" w14:textId="77777777" w:rsidR="00EF761D" w:rsidRDefault="00FA4F3B" w:rsidP="003179F7">
      <w:pPr>
        <w:spacing w:after="18"/>
        <w:jc w:val="center"/>
      </w:pPr>
      <w:r>
        <w:rPr>
          <w:sz w:val="18"/>
          <w:szCs w:val="18"/>
          <w:vertAlign w:val="superscript"/>
        </w:rPr>
        <w:t>1,2,3</w:t>
      </w:r>
      <w:r>
        <w:rPr>
          <w:i/>
          <w:iCs/>
          <w:sz w:val="18"/>
          <w:szCs w:val="18"/>
        </w:rPr>
        <w:t>B.Tech Student, Computer Science and Engineering (Data Science)</w:t>
      </w:r>
    </w:p>
    <w:p w14:paraId="298BAB68" w14:textId="77777777" w:rsidR="00EF761D" w:rsidRDefault="00FA4F3B" w:rsidP="003179F7">
      <w:pPr>
        <w:spacing w:after="18"/>
        <w:jc w:val="center"/>
      </w:pPr>
      <w:r>
        <w:rPr>
          <w:i/>
          <w:iCs/>
          <w:color w:val="000000"/>
          <w:sz w:val="18"/>
          <w:szCs w:val="18"/>
        </w:rPr>
        <w:t>School of Information Science, Presidency University, Bengaluru, Karnataka, India</w:t>
      </w:r>
    </w:p>
    <w:p w14:paraId="6E3B6B67" w14:textId="77777777" w:rsidR="00EF761D" w:rsidRDefault="00FA4F3B" w:rsidP="003179F7">
      <w:pPr>
        <w:spacing w:after="18"/>
        <w:jc w:val="center"/>
      </w:pPr>
      <w:r>
        <w:rPr>
          <w:i/>
          <w:iCs/>
          <w:color w:val="000000"/>
          <w:sz w:val="18"/>
          <w:szCs w:val="18"/>
        </w:rPr>
        <w:t>Supervisor: Dr. Roja B A, Assistant Professor, School of Information Science, Presidency University</w:t>
      </w:r>
    </w:p>
    <w:p w14:paraId="78943837" w14:textId="77777777" w:rsidR="00EF761D" w:rsidRDefault="00FA4F3B" w:rsidP="003179F7">
      <w:pPr>
        <w:spacing w:after="90"/>
        <w:jc w:val="center"/>
      </w:pPr>
      <w:r>
        <w:rPr>
          <w:i/>
          <w:iCs/>
          <w:color w:val="444444"/>
          <w:sz w:val="18"/>
          <w:szCs w:val="18"/>
        </w:rPr>
        <w:t>SIH Problem Statement No. 25275  |  Ministry of Agriculture &amp; Farmers Welfare  |  Batch: CSD_25</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0"/>
      </w:tblGrid>
      <w:tr w:rsidR="00EF761D" w14:paraId="756D2FF2" w14:textId="77777777">
        <w:tc>
          <w:tcPr>
            <w:tcW w:w="9700" w:type="dxa"/>
            <w:tcBorders>
              <w:top w:val="single" w:sz="6" w:space="0" w:color="000000"/>
              <w:left w:val="single" w:sz="6" w:space="0" w:color="000000"/>
              <w:bottom w:val="single" w:sz="6" w:space="0" w:color="000000"/>
              <w:right w:val="single" w:sz="6" w:space="0" w:color="000000"/>
            </w:tcBorders>
            <w:shd w:val="clear" w:color="auto" w:fill="F4F4F4"/>
            <w:tcMar>
              <w:top w:w="90" w:type="dxa"/>
              <w:left w:w="140" w:type="dxa"/>
              <w:bottom w:w="90" w:type="dxa"/>
              <w:right w:w="140" w:type="dxa"/>
            </w:tcMar>
          </w:tcPr>
          <w:p w14:paraId="693D821A" w14:textId="4642A307" w:rsidR="00EF761D" w:rsidRDefault="00FA4F3B" w:rsidP="006D2DD3">
            <w:pPr>
              <w:spacing w:after="65"/>
              <w:jc w:val="both"/>
            </w:pPr>
            <w:r>
              <w:rPr>
                <w:b/>
                <w:bCs/>
                <w:sz w:val="18"/>
                <w:szCs w:val="18"/>
              </w:rPr>
              <w:t xml:space="preserve">Abstract: </w:t>
            </w:r>
            <w:r w:rsidR="00F263ED" w:rsidRPr="00F263ED">
              <w:rPr>
                <w:i/>
                <w:iCs/>
                <w:sz w:val="18"/>
                <w:szCs w:val="18"/>
              </w:rPr>
              <w:t xml:space="preserve">Oilseed crops play an important role in the agricultural economy of India, but farmers receive significantly less than the value of oilseed by-products such as soy meal, oil cakes, husks and bran from oilseeds (the crop). The market for these by-products is fragmented with a majority of the by-products being sold through intermediaries; the primary producers (the growers) do not see the value of the oilseed by-products through market transactions. The consequence of the conflict in Russia and Ukraine that caused disruption to the global supply chain has led to increased prices for the soybean derivatives that consumers pay, but at the grower level, very little change (no more than five percent) in price has occurred, thus widening the existing gap between the price paid at the consumer level versus the </w:t>
            </w:r>
            <w:proofErr w:type="spellStart"/>
            <w:r w:rsidR="00F263ED" w:rsidRPr="00F263ED">
              <w:rPr>
                <w:i/>
                <w:iCs/>
                <w:sz w:val="18"/>
                <w:szCs w:val="18"/>
              </w:rPr>
              <w:t>pr</w:t>
            </w:r>
            <w:r w:rsidR="00F263ED">
              <w:rPr>
                <w:i/>
                <w:iCs/>
                <w:sz w:val="18"/>
                <w:szCs w:val="18"/>
              </w:rPr>
              <w:t>o</w:t>
            </w:r>
            <w:r w:rsidR="00F263ED" w:rsidRPr="00F263ED">
              <w:rPr>
                <w:i/>
                <w:iCs/>
                <w:sz w:val="18"/>
                <w:szCs w:val="18"/>
              </w:rPr>
              <w:t>ivde</w:t>
            </w:r>
            <w:proofErr w:type="spellEnd"/>
            <w:r w:rsidR="00F263ED" w:rsidRPr="00F263ED">
              <w:rPr>
                <w:i/>
                <w:iCs/>
                <w:sz w:val="18"/>
                <w:szCs w:val="18"/>
              </w:rPr>
              <w:t xml:space="preserve"> paid at the grower level. These realities and the issue presented in the SIH Problem statement ID# 25275; where the Ministry of Agriculture &amp; Farmers Welfare are concerned and need to develop a value chain integration system. The value chain integration system (VCIS) developed through our consortium of processor, grower, buyer and innovator partners is a web-based online marketplace that links together all three types of supply chain participants (grower, processor, and buyer) under one online platform. Several key components of the VCIS are as follows: (1) live on-line demand/supply data for each oilseed commodity, (2) a LSTM machine learning model for price forecasting with a MAPE value of 4.8% on a seven-day predict as compared to the MAPE value of 11.3% of a ARIMA model benchmark, (3) the use of blockchain smart contracts for secure and work without the use of intermediaries for trade agreement </w:t>
            </w:r>
            <w:proofErr w:type="spellStart"/>
            <w:r w:rsidR="00F263ED" w:rsidRPr="00F263ED">
              <w:rPr>
                <w:i/>
                <w:iCs/>
                <w:sz w:val="18"/>
                <w:szCs w:val="18"/>
              </w:rPr>
              <w:t>fulfillment</w:t>
            </w:r>
            <w:proofErr w:type="spellEnd"/>
            <w:r w:rsidR="00F263ED" w:rsidRPr="00F263ED">
              <w:rPr>
                <w:i/>
                <w:iCs/>
                <w:sz w:val="18"/>
                <w:szCs w:val="18"/>
              </w:rPr>
              <w:t>, and (4) an export matching engine with a precision score of 0.87 and a recall score of 0.83 through scenario testing.</w:t>
            </w:r>
            <w:r>
              <w:rPr>
                <w:i/>
                <w:iCs/>
                <w:sz w:val="18"/>
                <w:szCs w:val="18"/>
              </w:rPr>
              <w:t xml:space="preserve"> Built using React.js, Python (Flask), PostgreSQL, and Ethereum Solidity, the VCIS is, to the best of our knowledge, the first integrated platform addressing oilseed by-products specifically across all these dimensions.</w:t>
            </w:r>
          </w:p>
          <w:p w14:paraId="77B4FD7A" w14:textId="77777777" w:rsidR="00EF761D" w:rsidRDefault="00FA4F3B" w:rsidP="006D2DD3">
            <w:pPr>
              <w:jc w:val="both"/>
            </w:pPr>
            <w:r>
              <w:rPr>
                <w:b/>
                <w:bCs/>
                <w:sz w:val="18"/>
                <w:szCs w:val="18"/>
              </w:rPr>
              <w:t xml:space="preserve">Keywords: </w:t>
            </w:r>
            <w:r>
              <w:rPr>
                <w:i/>
                <w:iCs/>
                <w:sz w:val="18"/>
                <w:szCs w:val="18"/>
              </w:rPr>
              <w:t>oilseed by-products, value chain integration, LSTM price forecasting, blockchain smart contracts, agricultural marketplace, export matchmaking, digital agriculture, SIH 25275</w:t>
            </w:r>
          </w:p>
        </w:tc>
      </w:tr>
    </w:tbl>
    <w:p w14:paraId="78D55610" w14:textId="77777777" w:rsidR="00EF761D" w:rsidRDefault="00EF761D" w:rsidP="006D2DD3">
      <w:pPr>
        <w:jc w:val="both"/>
      </w:pPr>
    </w:p>
    <w:p w14:paraId="2B53AD75" w14:textId="77777777" w:rsidR="00EF761D" w:rsidRDefault="00EF761D" w:rsidP="006D2DD3">
      <w:pPr>
        <w:jc w:val="both"/>
        <w:sectPr w:rsidR="00EF761D">
          <w:headerReference w:type="even" r:id="rId8"/>
          <w:headerReference w:type="default" r:id="rId9"/>
          <w:footerReference w:type="even" r:id="rId10"/>
          <w:footerReference w:type="default" r:id="rId11"/>
          <w:headerReference w:type="first" r:id="rId12"/>
          <w:footerReference w:type="first" r:id="rId13"/>
          <w:type w:val="continuous"/>
          <w:pgSz w:w="11906" w:h="16838"/>
          <w:pgMar w:top="720" w:right="1080" w:bottom="1080" w:left="1080" w:header="708" w:footer="708" w:gutter="0"/>
          <w:cols w:space="720"/>
          <w:docGrid w:linePitch="360"/>
        </w:sectPr>
      </w:pPr>
    </w:p>
    <w:p w14:paraId="44322EE8" w14:textId="77777777" w:rsidR="00EF761D" w:rsidRDefault="00FA4F3B" w:rsidP="006D2DD3">
      <w:pPr>
        <w:spacing w:before="150" w:after="70"/>
        <w:jc w:val="both"/>
      </w:pPr>
      <w:r>
        <w:rPr>
          <w:b/>
          <w:bCs/>
        </w:rPr>
        <w:t>I. INTRODUCTION</w:t>
      </w:r>
    </w:p>
    <w:p w14:paraId="0020057D" w14:textId="77777777" w:rsidR="00F263ED" w:rsidRDefault="00F263ED" w:rsidP="006D2DD3">
      <w:pPr>
        <w:spacing w:after="72"/>
        <w:ind w:firstLine="360"/>
        <w:jc w:val="both"/>
        <w:rPr>
          <w:color w:val="000000"/>
        </w:rPr>
      </w:pPr>
      <w:r w:rsidRPr="00F263ED">
        <w:rPr>
          <w:color w:val="000000"/>
        </w:rPr>
        <w:t>When you walk into an oil mill in Madhya Pradesh or Rajasthan, regardless of size, you are likely to find some soymeal or mustard cake sitting in sacks at the back of the building, waiting for a trader who will arrive to quote a purchase price on them. Farmers have no means to verify this price and have no means to challenge it (the trader's or even his/her own). This image of the thousands of processing units scattered throughout India illustrates the problem of the breakdown of the oilseed by-product market and the impact of this breakdown on smallholder farmers.</w:t>
      </w:r>
    </w:p>
    <w:p w14:paraId="7414731D" w14:textId="771E7168" w:rsidR="00EF761D" w:rsidRDefault="00F263ED" w:rsidP="006D2DD3">
      <w:pPr>
        <w:spacing w:after="72"/>
        <w:ind w:firstLine="360"/>
        <w:jc w:val="both"/>
      </w:pPr>
      <w:r w:rsidRPr="00F263ED">
        <w:rPr>
          <w:color w:val="000000"/>
        </w:rPr>
        <w:t xml:space="preserve">With almost 30 million hectares per year, India is a major producer of oilseeds (soybean, groundnut (peanut), mustard, sunflower, and sesame). The crushing of oilseeds results in large quantities of by-products such as soymeal, groundnut cake, mustard cake, rice bran and husk, all of which contribute to an </w:t>
      </w:r>
      <w:proofErr w:type="gramStart"/>
      <w:r w:rsidRPr="00F263ED">
        <w:rPr>
          <w:color w:val="000000"/>
        </w:rPr>
        <w:t>industry worth tens of thousands of crores</w:t>
      </w:r>
      <w:proofErr w:type="gramEnd"/>
      <w:r w:rsidRPr="00F263ED">
        <w:rPr>
          <w:color w:val="000000"/>
        </w:rPr>
        <w:t xml:space="preserve"> of rupees. Soymeal is a globally-traded commodity and during good years India exports about 4 million tonnes to overseas markets. Regardless of this level of production, there is a lack of transparency, consistent pricing, formal contract enforcement and reliable documentation in the marketplace for all by-products of oilseed processing. Prices for these by-products are typically set through intermediaries, many times with very little (if any) historical pricing data available to demonstrate current values.</w:t>
      </w:r>
    </w:p>
    <w:p w14:paraId="5A36D81E" w14:textId="77777777" w:rsidR="00F263ED" w:rsidRDefault="00F263ED" w:rsidP="006D2DD3">
      <w:pPr>
        <w:spacing w:after="72"/>
        <w:ind w:firstLine="360"/>
        <w:jc w:val="both"/>
        <w:rPr>
          <w:color w:val="000000"/>
        </w:rPr>
      </w:pPr>
      <w:r w:rsidRPr="00F263ED">
        <w:rPr>
          <w:color w:val="000000"/>
        </w:rPr>
        <w:t xml:space="preserve">Farmers and small processors do not even know the prices of soymeal being sold today at the nearest mandi or </w:t>
      </w:r>
      <w:r w:rsidRPr="00F263ED">
        <w:rPr>
          <w:color w:val="000000"/>
        </w:rPr>
        <w:t>who is currently buying products in the district next to theirs. They do not know if there is demand from international markets for the mustard cake they have stored as an example. This information is not readily available and this is simply because of the fact that there is no aggregation of the data to the right people that would enable them to find this out from one place. The management of contracts occurs on a verbal basis or in writing. Every time a factory pays its suppliers on time, the payment takes between 30 and 90 days. Any disputes that arise regarding the terms and conditions of the contract are typically settled through channels that favour the purchaser (i.e. the factory) over the producer (i.e. the farmer or the small processor).</w:t>
      </w:r>
    </w:p>
    <w:p w14:paraId="55CCA485" w14:textId="77777777" w:rsidR="00F263ED" w:rsidRDefault="00F263ED" w:rsidP="006D2DD3">
      <w:pPr>
        <w:spacing w:after="72"/>
        <w:ind w:firstLine="360"/>
        <w:jc w:val="both"/>
        <w:rPr>
          <w:color w:val="000000"/>
        </w:rPr>
      </w:pPr>
      <w:r w:rsidRPr="00F263ED">
        <w:rPr>
          <w:color w:val="000000"/>
        </w:rPr>
        <w:t xml:space="preserve">The Russia-Ukraine conflict of 2022 exposed the inadequacies of the agricultural industry in those countries. Russia and Ukraine produce approximately 28% of the world’s wheat and approximately 75% of the world’s sunflower oil. With the disruptions in agricultural exports between the two countries, the prices of agricultural commodities increased rapidly. For example, the price of sunflower oil increased by over 60% within a matter of weeks in some markets. The prices of sunflower oil in India also increased; however, the farm-gate prices remained almost unchanged. As a result, the prices for producers and consumers have diverged significantly. Middlemen and processors received the vast majority of these increases while farmers received hardly any additional amounts. This is not a unique occurrence; it is predictable and is the result of a market structure that </w:t>
      </w:r>
      <w:r w:rsidRPr="00F263ED">
        <w:rPr>
          <w:color w:val="000000"/>
        </w:rPr>
        <w:lastRenderedPageBreak/>
        <w:t>consistently precludes producers from participating in establishing market prices.</w:t>
      </w:r>
    </w:p>
    <w:p w14:paraId="6FA2A334" w14:textId="77777777" w:rsidR="001867AC" w:rsidRDefault="001867AC" w:rsidP="006D2DD3">
      <w:pPr>
        <w:spacing w:after="72"/>
        <w:ind w:firstLine="360"/>
        <w:jc w:val="both"/>
        <w:rPr>
          <w:color w:val="000000"/>
        </w:rPr>
      </w:pPr>
      <w:r w:rsidRPr="001867AC">
        <w:rPr>
          <w:color w:val="000000"/>
        </w:rPr>
        <w:t>Government efforts have tried to deal with some aspects of this issue. The launch of the e-NAM platform in 2016 has successfully digitized spot trading of primary commodities through an online platform that involves more than 1,000 mandis and has conducted more than INR 2 lakh crore in transactions worth over $30 billion. The e-NAM platform was built specifically to facilitate the trading of grains and vegetables, but the e-NAM platform does not facilitate the trading of by-products and lacks forecasting capabilities. In addition, there is no system on the e-NAM platform that allows an Indian farmer to connect with international buyers. Therefore, the gap left by the e-NAM platform is what the VCIS project intends to address.</w:t>
      </w:r>
    </w:p>
    <w:p w14:paraId="2E15B7A6" w14:textId="77777777" w:rsidR="001867AC" w:rsidRDefault="001867AC" w:rsidP="006D2DD3">
      <w:pPr>
        <w:spacing w:before="150" w:after="70"/>
        <w:jc w:val="both"/>
        <w:rPr>
          <w:color w:val="000000"/>
        </w:rPr>
      </w:pPr>
      <w:r w:rsidRPr="001867AC">
        <w:rPr>
          <w:color w:val="000000"/>
        </w:rPr>
        <w:t>This paper outlines how we designed and conducted initial evaluations for an integrated value chain system - a digital marketplace built in response to Problem Statement No. 25275 from the Ministry of Agriculture and Farmers Welfare as part of the Smart India Hackathon initiative. The integrated system provides real-time visibility of demand and supply, LSTM-based price forecasting, Ethereum-based smart contracts for transaction security and a matching engine for export opportunities. In Section II we provide a review of related previous works; in Sections III and IV we explain the dimensions of the problem and describe the proposed architecture; in Sections V through VII we provide descriptions of the data sources used in the project, the technical implementation described here and the project's timeline; Section VIII provides an evaluation of the system's performance and Section IX concludes with some final thoughts on the project.</w:t>
      </w:r>
    </w:p>
    <w:p w14:paraId="0A351265" w14:textId="042582C0" w:rsidR="00EF761D" w:rsidRDefault="00FA4F3B" w:rsidP="006D2DD3">
      <w:pPr>
        <w:spacing w:before="150" w:after="70"/>
        <w:jc w:val="both"/>
      </w:pPr>
      <w:r>
        <w:rPr>
          <w:b/>
          <w:bCs/>
        </w:rPr>
        <w:t>II. BACKGROUND AND RELATED WORK</w:t>
      </w:r>
    </w:p>
    <w:p w14:paraId="7DBD0953" w14:textId="77777777" w:rsidR="001867AC" w:rsidRDefault="001867AC" w:rsidP="006D2DD3">
      <w:pPr>
        <w:spacing w:before="100" w:after="50"/>
        <w:jc w:val="both"/>
        <w:rPr>
          <w:color w:val="000000"/>
        </w:rPr>
      </w:pPr>
      <w:r w:rsidRPr="001867AC">
        <w:rPr>
          <w:color w:val="000000"/>
        </w:rPr>
        <w:t xml:space="preserve">The last decade has seen tremendous growth in studying the digitization of agricultural markets, including areas such as designing digital marketplaces, utilizing machine learning to predict prices, and utilizing blockchain technology for supply chain management. When reviewing this </w:t>
      </w:r>
      <w:proofErr w:type="gramStart"/>
      <w:r w:rsidRPr="001867AC">
        <w:rPr>
          <w:color w:val="000000"/>
        </w:rPr>
        <w:t>research</w:t>
      </w:r>
      <w:proofErr w:type="gramEnd"/>
      <w:r w:rsidRPr="001867AC">
        <w:rPr>
          <w:color w:val="000000"/>
        </w:rPr>
        <w:t xml:space="preserve"> it is evident that a great deal of progress has been achieved, but it is equally clear that there is still significant work to be done — for instance, many </w:t>
      </w:r>
      <w:proofErr w:type="spellStart"/>
      <w:r w:rsidRPr="001867AC">
        <w:rPr>
          <w:color w:val="000000"/>
        </w:rPr>
        <w:t>agri</w:t>
      </w:r>
      <w:proofErr w:type="spellEnd"/>
      <w:r w:rsidRPr="001867AC">
        <w:rPr>
          <w:color w:val="000000"/>
        </w:rPr>
        <w:t>-tech companies focus on commodity segments (e.g., oilseed by-products) that are not normally given attention in this field.</w:t>
      </w:r>
    </w:p>
    <w:p w14:paraId="3422F7BA" w14:textId="72BAA79C" w:rsidR="00EF761D" w:rsidRDefault="00FA4F3B" w:rsidP="006D2DD3">
      <w:pPr>
        <w:spacing w:before="100" w:after="50"/>
        <w:jc w:val="both"/>
      </w:pPr>
      <w:r>
        <w:rPr>
          <w:b/>
          <w:bCs/>
          <w:i/>
          <w:iCs/>
        </w:rPr>
        <w:t>A. Digital Agricultural Marketplaces</w:t>
      </w:r>
    </w:p>
    <w:p w14:paraId="061D519A" w14:textId="77777777" w:rsidR="001867AC" w:rsidRDefault="001867AC" w:rsidP="006D2DD3">
      <w:pPr>
        <w:spacing w:after="72"/>
        <w:ind w:firstLine="360"/>
        <w:jc w:val="both"/>
        <w:rPr>
          <w:color w:val="000000"/>
        </w:rPr>
      </w:pPr>
      <w:r w:rsidRPr="001867AC">
        <w:rPr>
          <w:color w:val="000000"/>
        </w:rPr>
        <w:t>The e-NAM platform is a digital agricultural marketplace in India that has made many advancements. By creating an electronic way to discover prices, as well as having a way to verify the quality of the commodity being sold, this system has allowed for lower transaction costs and better price realization for farmers who sell their goods through the mandis that participate with e-NAM [3]. Unfortunately, the benefits of e-NAM have not yet reached by-product traders. Oilseed-by-products are not listed commodities in the e-NAM system. In addition, because e-NAM is set up around the Mandi principle, it does not allow for farmer-to-processor or farmer-to-exporter transactions easily.</w:t>
      </w:r>
    </w:p>
    <w:p w14:paraId="70D12520" w14:textId="77777777" w:rsidR="001867AC" w:rsidRDefault="001867AC" w:rsidP="006D2DD3">
      <w:pPr>
        <w:spacing w:before="100" w:after="50"/>
        <w:jc w:val="both"/>
        <w:rPr>
          <w:color w:val="000000"/>
        </w:rPr>
      </w:pPr>
      <w:r w:rsidRPr="001867AC">
        <w:rPr>
          <w:color w:val="000000"/>
        </w:rPr>
        <w:t xml:space="preserve">Globally, </w:t>
      </w:r>
      <w:proofErr w:type="spellStart"/>
      <w:r w:rsidRPr="001867AC">
        <w:rPr>
          <w:color w:val="000000"/>
        </w:rPr>
        <w:t>AgriDigital</w:t>
      </w:r>
      <w:proofErr w:type="spellEnd"/>
      <w:r w:rsidRPr="001867AC">
        <w:rPr>
          <w:color w:val="000000"/>
        </w:rPr>
        <w:t xml:space="preserve"> has demonstrated that blockchain can provide a high level of transparency in the grain supply chain by visually showing stock levels in real time and having an unchangeable record of a transaction on a blockchain that may contain grain transactions, among others. They have processed considerable quantities of grain and reduced the length of time it takes to pay for, or settle, these transactions. A limitation to applying their technology to our context is that it is specific to the grain supply chain and therefore does not have an analysis/forecasting layer. In addition, Farmer Business Network (FBN) has provided access to input prices and allowed farmers to see how their purchases compare to others; however, they are focused on agricultural input purchasing rather than commodity sales, and as such, do not have applicability for by-product markets in India.</w:t>
      </w:r>
    </w:p>
    <w:p w14:paraId="692E3280" w14:textId="73431D8A" w:rsidR="00EF761D" w:rsidRDefault="00FA4F3B" w:rsidP="006D2DD3">
      <w:pPr>
        <w:spacing w:before="100" w:after="50"/>
        <w:jc w:val="both"/>
      </w:pPr>
      <w:r>
        <w:rPr>
          <w:b/>
          <w:bCs/>
          <w:i/>
          <w:iCs/>
        </w:rPr>
        <w:t>B. Machine Learning for Agricultural Price Prediction</w:t>
      </w:r>
    </w:p>
    <w:p w14:paraId="172BB414" w14:textId="77777777" w:rsidR="00FA2AA5" w:rsidRDefault="00FA2AA5" w:rsidP="006D2DD3">
      <w:pPr>
        <w:spacing w:after="72"/>
        <w:ind w:firstLine="360"/>
        <w:jc w:val="both"/>
        <w:rPr>
          <w:color w:val="000000"/>
        </w:rPr>
      </w:pPr>
      <w:r w:rsidRPr="00FA2AA5">
        <w:rPr>
          <w:color w:val="000000"/>
        </w:rPr>
        <w:t xml:space="preserve">A significant body of research has emerged utilizing deep learning models to forecast agricultural pricing. The long short-term memory (LSTM) model proposed by Hochreiter and </w:t>
      </w:r>
      <w:proofErr w:type="spellStart"/>
      <w:r w:rsidRPr="00FA2AA5">
        <w:rPr>
          <w:color w:val="000000"/>
        </w:rPr>
        <w:t>Schmidhuber</w:t>
      </w:r>
      <w:proofErr w:type="spellEnd"/>
      <w:r w:rsidRPr="00FA2AA5">
        <w:rPr>
          <w:color w:val="000000"/>
        </w:rPr>
        <w:t xml:space="preserve"> [7] has emerged as the architecture upon which agricultural market forecasts have been built. As shown by Kaushik et al., LSTMs outperform ARIMA models in forecasting prices for vegetables sold in Indian mandis, particularly during periods of price volatility [9]. Mukerjee and Ghosh did not specifically study agricultural pricing but rather used ARIMA and GARCH methods to measure the degree of volatility in oilseed prices, and they concluded that the structural breaks experienced in agriculture due to supply shocks have made traditional time-series approaches inadequate [13].</w:t>
      </w:r>
    </w:p>
    <w:p w14:paraId="1E1DEF80" w14:textId="77777777" w:rsidR="00E54EB2" w:rsidRDefault="00E54EB2" w:rsidP="006D2DD3">
      <w:pPr>
        <w:spacing w:before="100" w:after="50"/>
        <w:jc w:val="both"/>
        <w:rPr>
          <w:color w:val="000000"/>
        </w:rPr>
      </w:pPr>
      <w:r w:rsidRPr="00E54EB2">
        <w:rPr>
          <w:color w:val="000000"/>
        </w:rPr>
        <w:t xml:space="preserve">Studies do not provide any examples of LSTM forecasts to be utilized in an active agriculture marketplace platform where farmers are able to utilize predictions for increasing their sales opportunities. Academic research is usually performed for predicting the future of farm crops; however, no studies explain how to </w:t>
      </w:r>
      <w:proofErr w:type="spellStart"/>
      <w:r w:rsidRPr="00E54EB2">
        <w:rPr>
          <w:color w:val="000000"/>
        </w:rPr>
        <w:t>fulfill</w:t>
      </w:r>
      <w:proofErr w:type="spellEnd"/>
      <w:r w:rsidRPr="00E54EB2">
        <w:rPr>
          <w:color w:val="000000"/>
        </w:rPr>
        <w:t xml:space="preserve"> the marketplaces to carry out the action of obtaining crops from farmers to selling stores. The VCIS will work to help in providing that implementation.</w:t>
      </w:r>
    </w:p>
    <w:p w14:paraId="43B39C15" w14:textId="2831EB55" w:rsidR="00EF761D" w:rsidRDefault="00FA4F3B" w:rsidP="006D2DD3">
      <w:pPr>
        <w:spacing w:before="100" w:after="50"/>
        <w:jc w:val="both"/>
      </w:pPr>
      <w:r>
        <w:rPr>
          <w:b/>
          <w:bCs/>
          <w:i/>
          <w:iCs/>
        </w:rPr>
        <w:t>C. Blockchain in Agri-Supply Chains</w:t>
      </w:r>
    </w:p>
    <w:p w14:paraId="2B68B602" w14:textId="77777777" w:rsidR="00E54EB2" w:rsidRDefault="00E54EB2" w:rsidP="006D2DD3">
      <w:pPr>
        <w:spacing w:after="72"/>
        <w:ind w:firstLine="360"/>
        <w:jc w:val="both"/>
        <w:rPr>
          <w:color w:val="000000"/>
        </w:rPr>
      </w:pPr>
      <w:r w:rsidRPr="00E54EB2">
        <w:rPr>
          <w:color w:val="000000"/>
        </w:rPr>
        <w:t>Since IBM Food Trust proved that distributed ledger technologies could provide reliable, tamper-proof, commercial-scale traceability for products, the rate of global blockchain implementation in agriculture has greatly increased. The implementation by Walmart of IBM Food Trust to track leafy greens — which has reduced the amount of time it takes to track a product from days to seconds — has garnered attention worldwide. Two pilot projects supported by NABARD were conducted in India in order to test the use of blockchain technology for tracking the supply chain of cotton and spices, with both being focused on certifying product quality and establishing product provenance.</w:t>
      </w:r>
    </w:p>
    <w:p w14:paraId="003C745E" w14:textId="77777777" w:rsidR="00E54EB2" w:rsidRDefault="00E54EB2" w:rsidP="006D2DD3">
      <w:pPr>
        <w:spacing w:before="100" w:after="50"/>
        <w:jc w:val="both"/>
        <w:rPr>
          <w:color w:val="000000"/>
        </w:rPr>
      </w:pPr>
      <w:r w:rsidRPr="00E54EB2">
        <w:rPr>
          <w:color w:val="000000"/>
        </w:rPr>
        <w:t xml:space="preserve">The comprehensive assessment of the application of blockchain technology within oilseed supply chains performed by Tripathi and Sharma, yielded a great deal of promise but demonstrated little real-world application of existing platforms [10]. Although much literature has theorized about the potential use of smart contracts (automated code that would facilitate payment and </w:t>
      </w:r>
      <w:r w:rsidRPr="00E54EB2">
        <w:rPr>
          <w:color w:val="000000"/>
        </w:rPr>
        <w:lastRenderedPageBreak/>
        <w:t>delivery confirmation), there has been limited reported use of them within the context of agricultural trade. Our work is one of the first to deploy, implement, and test the use of Ethereum smart contracts for by-product trading agreements in a specific (i.e., Indian) agricultural context.</w:t>
      </w:r>
    </w:p>
    <w:p w14:paraId="39119E81" w14:textId="7E32DC5A" w:rsidR="00EF761D" w:rsidRDefault="00FA4F3B" w:rsidP="006D2DD3">
      <w:pPr>
        <w:spacing w:before="100" w:after="50"/>
        <w:jc w:val="both"/>
      </w:pPr>
      <w:r>
        <w:rPr>
          <w:b/>
          <w:bCs/>
          <w:i/>
          <w:iCs/>
        </w:rPr>
        <w:t>D. What Is Missing</w:t>
      </w:r>
    </w:p>
    <w:p w14:paraId="6DA0A0A6" w14:textId="4C356F60" w:rsidR="00EF761D" w:rsidRDefault="00E54EB2" w:rsidP="006D2DD3">
      <w:pPr>
        <w:jc w:val="both"/>
      </w:pPr>
      <w:r w:rsidRPr="00E54EB2">
        <w:rPr>
          <w:color w:val="000000"/>
        </w:rPr>
        <w:t xml:space="preserve">The VCIS is the only existing integrated platform with these features to date and there are also many other systems that provide only </w:t>
      </w:r>
      <w:proofErr w:type="gramStart"/>
      <w:r w:rsidRPr="00E54EB2">
        <w:rPr>
          <w:color w:val="000000"/>
        </w:rPr>
        <w:t>one or two dimensional</w:t>
      </w:r>
      <w:proofErr w:type="gramEnd"/>
      <w:r w:rsidRPr="00E54EB2">
        <w:rPr>
          <w:color w:val="000000"/>
        </w:rPr>
        <w:t xml:space="preserve"> elements of these features. In summary, the VCIS is an attempt to combine all of the above functionality into one integrated solution.</w:t>
      </w:r>
    </w:p>
    <w:p w14:paraId="463FF112" w14:textId="77777777" w:rsidR="00EF761D" w:rsidRDefault="00FA4F3B" w:rsidP="006D2DD3">
      <w:pPr>
        <w:spacing w:before="55" w:after="18"/>
        <w:jc w:val="both"/>
      </w:pPr>
      <w:r>
        <w:rPr>
          <w:b/>
          <w:bCs/>
          <w:color w:val="000000"/>
          <w:sz w:val="18"/>
          <w:szCs w:val="18"/>
        </w:rPr>
        <w:t>TABLE I</w:t>
      </w:r>
    </w:p>
    <w:p w14:paraId="1E10279E" w14:textId="77777777" w:rsidR="00EF761D" w:rsidRDefault="00FA4F3B" w:rsidP="006D2DD3">
      <w:pPr>
        <w:spacing w:after="65"/>
        <w:jc w:val="both"/>
      </w:pPr>
      <w:r>
        <w:rPr>
          <w:b/>
          <w:bCs/>
          <w:color w:val="000000"/>
          <w:sz w:val="18"/>
          <w:szCs w:val="18"/>
        </w:rPr>
        <w:t>Comparison of Existing Platforms with the Proposed VCIS</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350"/>
        <w:gridCol w:w="1350"/>
        <w:gridCol w:w="1350"/>
        <w:gridCol w:w="1350"/>
        <w:gridCol w:w="1300"/>
      </w:tblGrid>
      <w:tr w:rsidR="00EF761D" w14:paraId="4226B053" w14:textId="77777777">
        <w:trPr>
          <w:tblHeader/>
        </w:trPr>
        <w:tc>
          <w:tcPr>
            <w:tcW w:w="2000" w:type="dxa"/>
            <w:tcBorders>
              <w:top w:val="single" w:sz="6" w:space="0" w:color="000000"/>
              <w:left w:val="single" w:sz="2" w:space="0" w:color="999999"/>
              <w:bottom w:val="single" w:sz="6" w:space="0" w:color="000000"/>
              <w:right w:val="single" w:sz="2" w:space="0" w:color="999999"/>
            </w:tcBorders>
            <w:shd w:val="clear" w:color="auto" w:fill="CCCCCC"/>
            <w:tcMar>
              <w:top w:w="50" w:type="dxa"/>
              <w:left w:w="75" w:type="dxa"/>
              <w:bottom w:w="50" w:type="dxa"/>
              <w:right w:w="75" w:type="dxa"/>
            </w:tcMar>
          </w:tcPr>
          <w:p w14:paraId="6CCC9756" w14:textId="77777777" w:rsidR="00EF761D" w:rsidRDefault="00FA4F3B" w:rsidP="006D2DD3">
            <w:pPr>
              <w:jc w:val="both"/>
            </w:pPr>
            <w:r>
              <w:rPr>
                <w:b/>
                <w:bCs/>
                <w:sz w:val="18"/>
                <w:szCs w:val="18"/>
              </w:rPr>
              <w:t>Platform / System</w:t>
            </w:r>
          </w:p>
        </w:tc>
        <w:tc>
          <w:tcPr>
            <w:tcW w:w="1350" w:type="dxa"/>
            <w:tcBorders>
              <w:top w:val="single" w:sz="6" w:space="0" w:color="000000"/>
              <w:left w:val="single" w:sz="2" w:space="0" w:color="999999"/>
              <w:bottom w:val="single" w:sz="6" w:space="0" w:color="000000"/>
              <w:right w:val="single" w:sz="2" w:space="0" w:color="999999"/>
            </w:tcBorders>
            <w:shd w:val="clear" w:color="auto" w:fill="CCCCCC"/>
            <w:tcMar>
              <w:top w:w="50" w:type="dxa"/>
              <w:left w:w="75" w:type="dxa"/>
              <w:bottom w:w="50" w:type="dxa"/>
              <w:right w:w="75" w:type="dxa"/>
            </w:tcMar>
          </w:tcPr>
          <w:p w14:paraId="7FD6AE42" w14:textId="77777777" w:rsidR="00EF761D" w:rsidRDefault="00FA4F3B" w:rsidP="006D2DD3">
            <w:pPr>
              <w:jc w:val="both"/>
            </w:pPr>
            <w:r>
              <w:rPr>
                <w:b/>
                <w:bCs/>
                <w:sz w:val="18"/>
                <w:szCs w:val="18"/>
              </w:rPr>
              <w:t>Real-Time Price</w:t>
            </w:r>
          </w:p>
        </w:tc>
        <w:tc>
          <w:tcPr>
            <w:tcW w:w="1350" w:type="dxa"/>
            <w:tcBorders>
              <w:top w:val="single" w:sz="6" w:space="0" w:color="000000"/>
              <w:left w:val="single" w:sz="2" w:space="0" w:color="999999"/>
              <w:bottom w:val="single" w:sz="6" w:space="0" w:color="000000"/>
              <w:right w:val="single" w:sz="2" w:space="0" w:color="999999"/>
            </w:tcBorders>
            <w:shd w:val="clear" w:color="auto" w:fill="CCCCCC"/>
            <w:tcMar>
              <w:top w:w="50" w:type="dxa"/>
              <w:left w:w="75" w:type="dxa"/>
              <w:bottom w:w="50" w:type="dxa"/>
              <w:right w:w="75" w:type="dxa"/>
            </w:tcMar>
          </w:tcPr>
          <w:p w14:paraId="69E80918" w14:textId="77777777" w:rsidR="00EF761D" w:rsidRDefault="00FA4F3B" w:rsidP="006D2DD3">
            <w:pPr>
              <w:jc w:val="both"/>
            </w:pPr>
            <w:r>
              <w:rPr>
                <w:b/>
                <w:bCs/>
                <w:sz w:val="18"/>
                <w:szCs w:val="18"/>
              </w:rPr>
              <w:t>AI Forecasting</w:t>
            </w:r>
          </w:p>
        </w:tc>
        <w:tc>
          <w:tcPr>
            <w:tcW w:w="1350" w:type="dxa"/>
            <w:tcBorders>
              <w:top w:val="single" w:sz="6" w:space="0" w:color="000000"/>
              <w:left w:val="single" w:sz="2" w:space="0" w:color="999999"/>
              <w:bottom w:val="single" w:sz="6" w:space="0" w:color="000000"/>
              <w:right w:val="single" w:sz="2" w:space="0" w:color="999999"/>
            </w:tcBorders>
            <w:shd w:val="clear" w:color="auto" w:fill="CCCCCC"/>
            <w:tcMar>
              <w:top w:w="50" w:type="dxa"/>
              <w:left w:w="75" w:type="dxa"/>
              <w:bottom w:w="50" w:type="dxa"/>
              <w:right w:w="75" w:type="dxa"/>
            </w:tcMar>
          </w:tcPr>
          <w:p w14:paraId="05B1C5F3" w14:textId="77777777" w:rsidR="00EF761D" w:rsidRDefault="00FA4F3B" w:rsidP="006D2DD3">
            <w:pPr>
              <w:jc w:val="both"/>
            </w:pPr>
            <w:r>
              <w:rPr>
                <w:b/>
                <w:bCs/>
                <w:sz w:val="18"/>
                <w:szCs w:val="18"/>
              </w:rPr>
              <w:t>Smart Contract</w:t>
            </w:r>
          </w:p>
        </w:tc>
        <w:tc>
          <w:tcPr>
            <w:tcW w:w="1350" w:type="dxa"/>
            <w:tcBorders>
              <w:top w:val="single" w:sz="6" w:space="0" w:color="000000"/>
              <w:left w:val="single" w:sz="2" w:space="0" w:color="999999"/>
              <w:bottom w:val="single" w:sz="6" w:space="0" w:color="000000"/>
              <w:right w:val="single" w:sz="2" w:space="0" w:color="999999"/>
            </w:tcBorders>
            <w:shd w:val="clear" w:color="auto" w:fill="CCCCCC"/>
            <w:tcMar>
              <w:top w:w="50" w:type="dxa"/>
              <w:left w:w="75" w:type="dxa"/>
              <w:bottom w:w="50" w:type="dxa"/>
              <w:right w:w="75" w:type="dxa"/>
            </w:tcMar>
          </w:tcPr>
          <w:p w14:paraId="1003A1CB" w14:textId="77777777" w:rsidR="00EF761D" w:rsidRDefault="00FA4F3B" w:rsidP="006D2DD3">
            <w:pPr>
              <w:jc w:val="both"/>
            </w:pPr>
            <w:r>
              <w:rPr>
                <w:b/>
                <w:bCs/>
                <w:sz w:val="18"/>
                <w:szCs w:val="18"/>
              </w:rPr>
              <w:t>Export Match</w:t>
            </w:r>
          </w:p>
        </w:tc>
        <w:tc>
          <w:tcPr>
            <w:tcW w:w="1300" w:type="dxa"/>
            <w:tcBorders>
              <w:top w:val="single" w:sz="6" w:space="0" w:color="000000"/>
              <w:left w:val="single" w:sz="2" w:space="0" w:color="999999"/>
              <w:bottom w:val="single" w:sz="6" w:space="0" w:color="000000"/>
              <w:right w:val="single" w:sz="2" w:space="0" w:color="999999"/>
            </w:tcBorders>
            <w:shd w:val="clear" w:color="auto" w:fill="CCCCCC"/>
            <w:tcMar>
              <w:top w:w="50" w:type="dxa"/>
              <w:left w:w="75" w:type="dxa"/>
              <w:bottom w:w="50" w:type="dxa"/>
              <w:right w:w="75" w:type="dxa"/>
            </w:tcMar>
          </w:tcPr>
          <w:p w14:paraId="7662AA28" w14:textId="77777777" w:rsidR="00EF761D" w:rsidRDefault="00FA4F3B" w:rsidP="006D2DD3">
            <w:pPr>
              <w:jc w:val="both"/>
            </w:pPr>
            <w:r>
              <w:rPr>
                <w:b/>
                <w:bCs/>
                <w:sz w:val="18"/>
                <w:szCs w:val="18"/>
              </w:rPr>
              <w:t>By-Product Focus</w:t>
            </w:r>
          </w:p>
        </w:tc>
      </w:tr>
      <w:tr w:rsidR="00EF761D" w14:paraId="002F12AC" w14:textId="77777777">
        <w:tc>
          <w:tcPr>
            <w:tcW w:w="2000" w:type="dxa"/>
            <w:tcBorders>
              <w:top w:val="single" w:sz="2" w:space="0" w:color="999999"/>
              <w:left w:val="single" w:sz="2" w:space="0" w:color="999999"/>
              <w:bottom w:val="single" w:sz="2" w:space="0" w:color="999999"/>
              <w:right w:val="single" w:sz="2" w:space="0" w:color="999999"/>
            </w:tcBorders>
            <w:shd w:val="clear" w:color="auto" w:fill="F6F6F6"/>
            <w:tcMar>
              <w:top w:w="40" w:type="dxa"/>
              <w:left w:w="75" w:type="dxa"/>
              <w:bottom w:w="40" w:type="dxa"/>
              <w:right w:w="75" w:type="dxa"/>
            </w:tcMar>
          </w:tcPr>
          <w:p w14:paraId="61473A4A" w14:textId="77777777" w:rsidR="00EF761D" w:rsidRDefault="00FA4F3B" w:rsidP="006D2DD3">
            <w:pPr>
              <w:jc w:val="both"/>
            </w:pPr>
            <w:r>
              <w:rPr>
                <w:sz w:val="18"/>
                <w:szCs w:val="18"/>
              </w:rPr>
              <w:t>e-NAM (India)</w:t>
            </w:r>
          </w:p>
        </w:tc>
        <w:tc>
          <w:tcPr>
            <w:tcW w:w="1350" w:type="dxa"/>
            <w:tcBorders>
              <w:top w:val="single" w:sz="2" w:space="0" w:color="999999"/>
              <w:left w:val="single" w:sz="2" w:space="0" w:color="999999"/>
              <w:bottom w:val="single" w:sz="2" w:space="0" w:color="999999"/>
              <w:right w:val="single" w:sz="2" w:space="0" w:color="999999"/>
            </w:tcBorders>
            <w:shd w:val="clear" w:color="auto" w:fill="F6F6F6"/>
            <w:tcMar>
              <w:top w:w="40" w:type="dxa"/>
              <w:left w:w="75" w:type="dxa"/>
              <w:bottom w:w="40" w:type="dxa"/>
              <w:right w:w="75" w:type="dxa"/>
            </w:tcMar>
          </w:tcPr>
          <w:p w14:paraId="0494166F" w14:textId="77777777" w:rsidR="00EF761D" w:rsidRDefault="00FA4F3B" w:rsidP="006D2DD3">
            <w:pPr>
              <w:jc w:val="both"/>
            </w:pPr>
            <w:r>
              <w:rPr>
                <w:sz w:val="18"/>
                <w:szCs w:val="18"/>
              </w:rPr>
              <w:t>Yes</w:t>
            </w:r>
          </w:p>
        </w:tc>
        <w:tc>
          <w:tcPr>
            <w:tcW w:w="1350" w:type="dxa"/>
            <w:tcBorders>
              <w:top w:val="single" w:sz="2" w:space="0" w:color="999999"/>
              <w:left w:val="single" w:sz="2" w:space="0" w:color="999999"/>
              <w:bottom w:val="single" w:sz="2" w:space="0" w:color="999999"/>
              <w:right w:val="single" w:sz="2" w:space="0" w:color="999999"/>
            </w:tcBorders>
            <w:shd w:val="clear" w:color="auto" w:fill="F6F6F6"/>
            <w:tcMar>
              <w:top w:w="40" w:type="dxa"/>
              <w:left w:w="75" w:type="dxa"/>
              <w:bottom w:w="40" w:type="dxa"/>
              <w:right w:w="75" w:type="dxa"/>
            </w:tcMar>
          </w:tcPr>
          <w:p w14:paraId="402D42DE" w14:textId="77777777" w:rsidR="00EF761D" w:rsidRDefault="00FA4F3B" w:rsidP="006D2DD3">
            <w:pPr>
              <w:jc w:val="both"/>
            </w:pPr>
            <w:r>
              <w:rPr>
                <w:sz w:val="18"/>
                <w:szCs w:val="18"/>
              </w:rPr>
              <w:t>No</w:t>
            </w:r>
          </w:p>
        </w:tc>
        <w:tc>
          <w:tcPr>
            <w:tcW w:w="1350" w:type="dxa"/>
            <w:tcBorders>
              <w:top w:val="single" w:sz="2" w:space="0" w:color="999999"/>
              <w:left w:val="single" w:sz="2" w:space="0" w:color="999999"/>
              <w:bottom w:val="single" w:sz="2" w:space="0" w:color="999999"/>
              <w:right w:val="single" w:sz="2" w:space="0" w:color="999999"/>
            </w:tcBorders>
            <w:shd w:val="clear" w:color="auto" w:fill="F6F6F6"/>
            <w:tcMar>
              <w:top w:w="40" w:type="dxa"/>
              <w:left w:w="75" w:type="dxa"/>
              <w:bottom w:w="40" w:type="dxa"/>
              <w:right w:w="75" w:type="dxa"/>
            </w:tcMar>
          </w:tcPr>
          <w:p w14:paraId="236B0E60" w14:textId="77777777" w:rsidR="00EF761D" w:rsidRDefault="00FA4F3B" w:rsidP="006D2DD3">
            <w:pPr>
              <w:jc w:val="both"/>
            </w:pPr>
            <w:r>
              <w:rPr>
                <w:sz w:val="18"/>
                <w:szCs w:val="18"/>
              </w:rPr>
              <w:t>No</w:t>
            </w:r>
          </w:p>
        </w:tc>
        <w:tc>
          <w:tcPr>
            <w:tcW w:w="1350" w:type="dxa"/>
            <w:tcBorders>
              <w:top w:val="single" w:sz="2" w:space="0" w:color="999999"/>
              <w:left w:val="single" w:sz="2" w:space="0" w:color="999999"/>
              <w:bottom w:val="single" w:sz="2" w:space="0" w:color="999999"/>
              <w:right w:val="single" w:sz="2" w:space="0" w:color="999999"/>
            </w:tcBorders>
            <w:shd w:val="clear" w:color="auto" w:fill="F6F6F6"/>
            <w:tcMar>
              <w:top w:w="40" w:type="dxa"/>
              <w:left w:w="75" w:type="dxa"/>
              <w:bottom w:w="40" w:type="dxa"/>
              <w:right w:w="75" w:type="dxa"/>
            </w:tcMar>
          </w:tcPr>
          <w:p w14:paraId="5D13368A" w14:textId="77777777" w:rsidR="00EF761D" w:rsidRDefault="00FA4F3B" w:rsidP="006D2DD3">
            <w:pPr>
              <w:jc w:val="both"/>
            </w:pPr>
            <w:r>
              <w:rPr>
                <w:sz w:val="18"/>
                <w:szCs w:val="18"/>
              </w:rPr>
              <w:t>No</w:t>
            </w:r>
          </w:p>
        </w:tc>
        <w:tc>
          <w:tcPr>
            <w:tcW w:w="1300" w:type="dxa"/>
            <w:tcBorders>
              <w:top w:val="single" w:sz="2" w:space="0" w:color="999999"/>
              <w:left w:val="single" w:sz="2" w:space="0" w:color="999999"/>
              <w:bottom w:val="single" w:sz="2" w:space="0" w:color="999999"/>
              <w:right w:val="single" w:sz="2" w:space="0" w:color="999999"/>
            </w:tcBorders>
            <w:shd w:val="clear" w:color="auto" w:fill="F6F6F6"/>
            <w:tcMar>
              <w:top w:w="40" w:type="dxa"/>
              <w:left w:w="75" w:type="dxa"/>
              <w:bottom w:w="40" w:type="dxa"/>
              <w:right w:w="75" w:type="dxa"/>
            </w:tcMar>
          </w:tcPr>
          <w:p w14:paraId="452038C7" w14:textId="77777777" w:rsidR="00EF761D" w:rsidRDefault="00FA4F3B" w:rsidP="006D2DD3">
            <w:pPr>
              <w:jc w:val="both"/>
            </w:pPr>
            <w:r>
              <w:rPr>
                <w:sz w:val="18"/>
                <w:szCs w:val="18"/>
              </w:rPr>
              <w:t>No</w:t>
            </w:r>
          </w:p>
        </w:tc>
      </w:tr>
      <w:tr w:rsidR="00EF761D" w14:paraId="5CCE8246" w14:textId="77777777">
        <w:tc>
          <w:tcPr>
            <w:tcW w:w="2000" w:type="dxa"/>
            <w:tcBorders>
              <w:top w:val="single" w:sz="2" w:space="0" w:color="999999"/>
              <w:left w:val="single" w:sz="2" w:space="0" w:color="999999"/>
              <w:bottom w:val="single" w:sz="2" w:space="0" w:color="999999"/>
              <w:right w:val="single" w:sz="2" w:space="0" w:color="999999"/>
            </w:tcBorders>
            <w:shd w:val="clear" w:color="auto" w:fill="FFFFFF"/>
            <w:tcMar>
              <w:top w:w="40" w:type="dxa"/>
              <w:left w:w="75" w:type="dxa"/>
              <w:bottom w:w="40" w:type="dxa"/>
              <w:right w:w="75" w:type="dxa"/>
            </w:tcMar>
          </w:tcPr>
          <w:p w14:paraId="28EC04F0" w14:textId="77777777" w:rsidR="00EF761D" w:rsidRDefault="00FA4F3B" w:rsidP="006D2DD3">
            <w:pPr>
              <w:jc w:val="both"/>
            </w:pPr>
            <w:proofErr w:type="spellStart"/>
            <w:r>
              <w:rPr>
                <w:sz w:val="18"/>
                <w:szCs w:val="18"/>
              </w:rPr>
              <w:t>AgriDigital</w:t>
            </w:r>
            <w:proofErr w:type="spellEnd"/>
            <w:r>
              <w:rPr>
                <w:sz w:val="18"/>
                <w:szCs w:val="18"/>
              </w:rPr>
              <w:t xml:space="preserve"> (AU)</w:t>
            </w:r>
          </w:p>
        </w:tc>
        <w:tc>
          <w:tcPr>
            <w:tcW w:w="1350" w:type="dxa"/>
            <w:tcBorders>
              <w:top w:val="single" w:sz="2" w:space="0" w:color="999999"/>
              <w:left w:val="single" w:sz="2" w:space="0" w:color="999999"/>
              <w:bottom w:val="single" w:sz="2" w:space="0" w:color="999999"/>
              <w:right w:val="single" w:sz="2" w:space="0" w:color="999999"/>
            </w:tcBorders>
            <w:shd w:val="clear" w:color="auto" w:fill="FFFFFF"/>
            <w:tcMar>
              <w:top w:w="40" w:type="dxa"/>
              <w:left w:w="75" w:type="dxa"/>
              <w:bottom w:w="40" w:type="dxa"/>
              <w:right w:w="75" w:type="dxa"/>
            </w:tcMar>
          </w:tcPr>
          <w:p w14:paraId="0186245D" w14:textId="77777777" w:rsidR="00EF761D" w:rsidRDefault="00FA4F3B" w:rsidP="006D2DD3">
            <w:pPr>
              <w:jc w:val="both"/>
            </w:pPr>
            <w:r>
              <w:rPr>
                <w:sz w:val="18"/>
                <w:szCs w:val="18"/>
              </w:rPr>
              <w:t>Partial</w:t>
            </w:r>
          </w:p>
        </w:tc>
        <w:tc>
          <w:tcPr>
            <w:tcW w:w="1350" w:type="dxa"/>
            <w:tcBorders>
              <w:top w:val="single" w:sz="2" w:space="0" w:color="999999"/>
              <w:left w:val="single" w:sz="2" w:space="0" w:color="999999"/>
              <w:bottom w:val="single" w:sz="2" w:space="0" w:color="999999"/>
              <w:right w:val="single" w:sz="2" w:space="0" w:color="999999"/>
            </w:tcBorders>
            <w:shd w:val="clear" w:color="auto" w:fill="FFFFFF"/>
            <w:tcMar>
              <w:top w:w="40" w:type="dxa"/>
              <w:left w:w="75" w:type="dxa"/>
              <w:bottom w:w="40" w:type="dxa"/>
              <w:right w:w="75" w:type="dxa"/>
            </w:tcMar>
          </w:tcPr>
          <w:p w14:paraId="122DB5FE" w14:textId="77777777" w:rsidR="00EF761D" w:rsidRDefault="00FA4F3B" w:rsidP="006D2DD3">
            <w:pPr>
              <w:jc w:val="both"/>
            </w:pPr>
            <w:r>
              <w:rPr>
                <w:sz w:val="18"/>
                <w:szCs w:val="18"/>
              </w:rPr>
              <w:t>No</w:t>
            </w:r>
          </w:p>
        </w:tc>
        <w:tc>
          <w:tcPr>
            <w:tcW w:w="1350" w:type="dxa"/>
            <w:tcBorders>
              <w:top w:val="single" w:sz="2" w:space="0" w:color="999999"/>
              <w:left w:val="single" w:sz="2" w:space="0" w:color="999999"/>
              <w:bottom w:val="single" w:sz="2" w:space="0" w:color="999999"/>
              <w:right w:val="single" w:sz="2" w:space="0" w:color="999999"/>
            </w:tcBorders>
            <w:shd w:val="clear" w:color="auto" w:fill="FFFFFF"/>
            <w:tcMar>
              <w:top w:w="40" w:type="dxa"/>
              <w:left w:w="75" w:type="dxa"/>
              <w:bottom w:w="40" w:type="dxa"/>
              <w:right w:w="75" w:type="dxa"/>
            </w:tcMar>
          </w:tcPr>
          <w:p w14:paraId="7EAB7935" w14:textId="77777777" w:rsidR="00EF761D" w:rsidRDefault="00FA4F3B" w:rsidP="006D2DD3">
            <w:pPr>
              <w:jc w:val="both"/>
            </w:pPr>
            <w:r>
              <w:rPr>
                <w:sz w:val="18"/>
                <w:szCs w:val="18"/>
              </w:rPr>
              <w:t>Yes</w:t>
            </w:r>
          </w:p>
        </w:tc>
        <w:tc>
          <w:tcPr>
            <w:tcW w:w="1350" w:type="dxa"/>
            <w:tcBorders>
              <w:top w:val="single" w:sz="2" w:space="0" w:color="999999"/>
              <w:left w:val="single" w:sz="2" w:space="0" w:color="999999"/>
              <w:bottom w:val="single" w:sz="2" w:space="0" w:color="999999"/>
              <w:right w:val="single" w:sz="2" w:space="0" w:color="999999"/>
            </w:tcBorders>
            <w:shd w:val="clear" w:color="auto" w:fill="FFFFFF"/>
            <w:tcMar>
              <w:top w:w="40" w:type="dxa"/>
              <w:left w:w="75" w:type="dxa"/>
              <w:bottom w:w="40" w:type="dxa"/>
              <w:right w:w="75" w:type="dxa"/>
            </w:tcMar>
          </w:tcPr>
          <w:p w14:paraId="1355EAD8" w14:textId="77777777" w:rsidR="00EF761D" w:rsidRDefault="00FA4F3B" w:rsidP="006D2DD3">
            <w:pPr>
              <w:jc w:val="both"/>
            </w:pPr>
            <w:r>
              <w:rPr>
                <w:sz w:val="18"/>
                <w:szCs w:val="18"/>
              </w:rPr>
              <w:t>No</w:t>
            </w:r>
          </w:p>
        </w:tc>
        <w:tc>
          <w:tcPr>
            <w:tcW w:w="1300" w:type="dxa"/>
            <w:tcBorders>
              <w:top w:val="single" w:sz="2" w:space="0" w:color="999999"/>
              <w:left w:val="single" w:sz="2" w:space="0" w:color="999999"/>
              <w:bottom w:val="single" w:sz="2" w:space="0" w:color="999999"/>
              <w:right w:val="single" w:sz="2" w:space="0" w:color="999999"/>
            </w:tcBorders>
            <w:shd w:val="clear" w:color="auto" w:fill="FFFFFF"/>
            <w:tcMar>
              <w:top w:w="40" w:type="dxa"/>
              <w:left w:w="75" w:type="dxa"/>
              <w:bottom w:w="40" w:type="dxa"/>
              <w:right w:w="75" w:type="dxa"/>
            </w:tcMar>
          </w:tcPr>
          <w:p w14:paraId="621F10A5" w14:textId="77777777" w:rsidR="00EF761D" w:rsidRDefault="00FA4F3B" w:rsidP="006D2DD3">
            <w:pPr>
              <w:jc w:val="both"/>
            </w:pPr>
            <w:r>
              <w:rPr>
                <w:sz w:val="18"/>
                <w:szCs w:val="18"/>
              </w:rPr>
              <w:t>No</w:t>
            </w:r>
          </w:p>
        </w:tc>
      </w:tr>
      <w:tr w:rsidR="00EF761D" w14:paraId="69950083" w14:textId="77777777">
        <w:tc>
          <w:tcPr>
            <w:tcW w:w="2000" w:type="dxa"/>
            <w:tcBorders>
              <w:top w:val="single" w:sz="2" w:space="0" w:color="999999"/>
              <w:left w:val="single" w:sz="2" w:space="0" w:color="999999"/>
              <w:bottom w:val="single" w:sz="2" w:space="0" w:color="999999"/>
              <w:right w:val="single" w:sz="2" w:space="0" w:color="999999"/>
            </w:tcBorders>
            <w:shd w:val="clear" w:color="auto" w:fill="F6F6F6"/>
            <w:tcMar>
              <w:top w:w="40" w:type="dxa"/>
              <w:left w:w="75" w:type="dxa"/>
              <w:bottom w:w="40" w:type="dxa"/>
              <w:right w:w="75" w:type="dxa"/>
            </w:tcMar>
          </w:tcPr>
          <w:p w14:paraId="7968ACB0" w14:textId="77777777" w:rsidR="00EF761D" w:rsidRDefault="00FA4F3B" w:rsidP="006D2DD3">
            <w:pPr>
              <w:jc w:val="both"/>
            </w:pPr>
            <w:r>
              <w:rPr>
                <w:sz w:val="18"/>
                <w:szCs w:val="18"/>
              </w:rPr>
              <w:t>FBN Network (US)</w:t>
            </w:r>
          </w:p>
        </w:tc>
        <w:tc>
          <w:tcPr>
            <w:tcW w:w="1350" w:type="dxa"/>
            <w:tcBorders>
              <w:top w:val="single" w:sz="2" w:space="0" w:color="999999"/>
              <w:left w:val="single" w:sz="2" w:space="0" w:color="999999"/>
              <w:bottom w:val="single" w:sz="2" w:space="0" w:color="999999"/>
              <w:right w:val="single" w:sz="2" w:space="0" w:color="999999"/>
            </w:tcBorders>
            <w:shd w:val="clear" w:color="auto" w:fill="F6F6F6"/>
            <w:tcMar>
              <w:top w:w="40" w:type="dxa"/>
              <w:left w:w="75" w:type="dxa"/>
              <w:bottom w:w="40" w:type="dxa"/>
              <w:right w:w="75" w:type="dxa"/>
            </w:tcMar>
          </w:tcPr>
          <w:p w14:paraId="3FB5E668" w14:textId="77777777" w:rsidR="00EF761D" w:rsidRDefault="00FA4F3B" w:rsidP="006D2DD3">
            <w:pPr>
              <w:jc w:val="both"/>
            </w:pPr>
            <w:r>
              <w:rPr>
                <w:sz w:val="18"/>
                <w:szCs w:val="18"/>
              </w:rPr>
              <w:t>Partial</w:t>
            </w:r>
          </w:p>
        </w:tc>
        <w:tc>
          <w:tcPr>
            <w:tcW w:w="1350" w:type="dxa"/>
            <w:tcBorders>
              <w:top w:val="single" w:sz="2" w:space="0" w:color="999999"/>
              <w:left w:val="single" w:sz="2" w:space="0" w:color="999999"/>
              <w:bottom w:val="single" w:sz="2" w:space="0" w:color="999999"/>
              <w:right w:val="single" w:sz="2" w:space="0" w:color="999999"/>
            </w:tcBorders>
            <w:shd w:val="clear" w:color="auto" w:fill="F6F6F6"/>
            <w:tcMar>
              <w:top w:w="40" w:type="dxa"/>
              <w:left w:w="75" w:type="dxa"/>
              <w:bottom w:w="40" w:type="dxa"/>
              <w:right w:w="75" w:type="dxa"/>
            </w:tcMar>
          </w:tcPr>
          <w:p w14:paraId="4054F108" w14:textId="77777777" w:rsidR="00EF761D" w:rsidRDefault="00FA4F3B" w:rsidP="006D2DD3">
            <w:pPr>
              <w:jc w:val="both"/>
            </w:pPr>
            <w:r>
              <w:rPr>
                <w:sz w:val="18"/>
                <w:szCs w:val="18"/>
              </w:rPr>
              <w:t>No</w:t>
            </w:r>
          </w:p>
        </w:tc>
        <w:tc>
          <w:tcPr>
            <w:tcW w:w="1350" w:type="dxa"/>
            <w:tcBorders>
              <w:top w:val="single" w:sz="2" w:space="0" w:color="999999"/>
              <w:left w:val="single" w:sz="2" w:space="0" w:color="999999"/>
              <w:bottom w:val="single" w:sz="2" w:space="0" w:color="999999"/>
              <w:right w:val="single" w:sz="2" w:space="0" w:color="999999"/>
            </w:tcBorders>
            <w:shd w:val="clear" w:color="auto" w:fill="F6F6F6"/>
            <w:tcMar>
              <w:top w:w="40" w:type="dxa"/>
              <w:left w:w="75" w:type="dxa"/>
              <w:bottom w:w="40" w:type="dxa"/>
              <w:right w:w="75" w:type="dxa"/>
            </w:tcMar>
          </w:tcPr>
          <w:p w14:paraId="15AFA42A" w14:textId="77777777" w:rsidR="00EF761D" w:rsidRDefault="00FA4F3B" w:rsidP="006D2DD3">
            <w:pPr>
              <w:jc w:val="both"/>
            </w:pPr>
            <w:r>
              <w:rPr>
                <w:sz w:val="18"/>
                <w:szCs w:val="18"/>
              </w:rPr>
              <w:t>No</w:t>
            </w:r>
          </w:p>
        </w:tc>
        <w:tc>
          <w:tcPr>
            <w:tcW w:w="1350" w:type="dxa"/>
            <w:tcBorders>
              <w:top w:val="single" w:sz="2" w:space="0" w:color="999999"/>
              <w:left w:val="single" w:sz="2" w:space="0" w:color="999999"/>
              <w:bottom w:val="single" w:sz="2" w:space="0" w:color="999999"/>
              <w:right w:val="single" w:sz="2" w:space="0" w:color="999999"/>
            </w:tcBorders>
            <w:shd w:val="clear" w:color="auto" w:fill="F6F6F6"/>
            <w:tcMar>
              <w:top w:w="40" w:type="dxa"/>
              <w:left w:w="75" w:type="dxa"/>
              <w:bottom w:w="40" w:type="dxa"/>
              <w:right w:w="75" w:type="dxa"/>
            </w:tcMar>
          </w:tcPr>
          <w:p w14:paraId="0E399416" w14:textId="77777777" w:rsidR="00EF761D" w:rsidRDefault="00FA4F3B" w:rsidP="006D2DD3">
            <w:pPr>
              <w:jc w:val="both"/>
            </w:pPr>
            <w:r>
              <w:rPr>
                <w:sz w:val="18"/>
                <w:szCs w:val="18"/>
              </w:rPr>
              <w:t>No</w:t>
            </w:r>
          </w:p>
        </w:tc>
        <w:tc>
          <w:tcPr>
            <w:tcW w:w="1300" w:type="dxa"/>
            <w:tcBorders>
              <w:top w:val="single" w:sz="2" w:space="0" w:color="999999"/>
              <w:left w:val="single" w:sz="2" w:space="0" w:color="999999"/>
              <w:bottom w:val="single" w:sz="2" w:space="0" w:color="999999"/>
              <w:right w:val="single" w:sz="2" w:space="0" w:color="999999"/>
            </w:tcBorders>
            <w:shd w:val="clear" w:color="auto" w:fill="F6F6F6"/>
            <w:tcMar>
              <w:top w:w="40" w:type="dxa"/>
              <w:left w:w="75" w:type="dxa"/>
              <w:bottom w:w="40" w:type="dxa"/>
              <w:right w:w="75" w:type="dxa"/>
            </w:tcMar>
          </w:tcPr>
          <w:p w14:paraId="51F2C5A4" w14:textId="77777777" w:rsidR="00EF761D" w:rsidRDefault="00FA4F3B" w:rsidP="006D2DD3">
            <w:pPr>
              <w:jc w:val="both"/>
            </w:pPr>
            <w:r>
              <w:rPr>
                <w:sz w:val="18"/>
                <w:szCs w:val="18"/>
              </w:rPr>
              <w:t>No</w:t>
            </w:r>
          </w:p>
        </w:tc>
      </w:tr>
      <w:tr w:rsidR="00EF761D" w14:paraId="0BE2FB09" w14:textId="77777777">
        <w:tc>
          <w:tcPr>
            <w:tcW w:w="2000" w:type="dxa"/>
            <w:tcBorders>
              <w:top w:val="single" w:sz="2" w:space="0" w:color="999999"/>
              <w:left w:val="single" w:sz="2" w:space="0" w:color="999999"/>
              <w:bottom w:val="single" w:sz="2" w:space="0" w:color="999999"/>
              <w:right w:val="single" w:sz="2" w:space="0" w:color="999999"/>
            </w:tcBorders>
            <w:shd w:val="clear" w:color="auto" w:fill="FFFFFF"/>
            <w:tcMar>
              <w:top w:w="40" w:type="dxa"/>
              <w:left w:w="75" w:type="dxa"/>
              <w:bottom w:w="40" w:type="dxa"/>
              <w:right w:w="75" w:type="dxa"/>
            </w:tcMar>
          </w:tcPr>
          <w:p w14:paraId="14419CED" w14:textId="77777777" w:rsidR="00EF761D" w:rsidRDefault="00FA4F3B" w:rsidP="006D2DD3">
            <w:pPr>
              <w:jc w:val="both"/>
            </w:pPr>
            <w:r>
              <w:rPr>
                <w:sz w:val="18"/>
                <w:szCs w:val="18"/>
              </w:rPr>
              <w:t xml:space="preserve">Blockchain </w:t>
            </w:r>
            <w:proofErr w:type="spellStart"/>
            <w:r>
              <w:rPr>
                <w:sz w:val="18"/>
                <w:szCs w:val="18"/>
              </w:rPr>
              <w:t>AgriChain</w:t>
            </w:r>
            <w:proofErr w:type="spellEnd"/>
          </w:p>
        </w:tc>
        <w:tc>
          <w:tcPr>
            <w:tcW w:w="1350" w:type="dxa"/>
            <w:tcBorders>
              <w:top w:val="single" w:sz="2" w:space="0" w:color="999999"/>
              <w:left w:val="single" w:sz="2" w:space="0" w:color="999999"/>
              <w:bottom w:val="single" w:sz="2" w:space="0" w:color="999999"/>
              <w:right w:val="single" w:sz="2" w:space="0" w:color="999999"/>
            </w:tcBorders>
            <w:shd w:val="clear" w:color="auto" w:fill="FFFFFF"/>
            <w:tcMar>
              <w:top w:w="40" w:type="dxa"/>
              <w:left w:w="75" w:type="dxa"/>
              <w:bottom w:w="40" w:type="dxa"/>
              <w:right w:w="75" w:type="dxa"/>
            </w:tcMar>
          </w:tcPr>
          <w:p w14:paraId="342DE2D3" w14:textId="77777777" w:rsidR="00EF761D" w:rsidRDefault="00FA4F3B" w:rsidP="006D2DD3">
            <w:pPr>
              <w:jc w:val="both"/>
            </w:pPr>
            <w:r>
              <w:rPr>
                <w:sz w:val="18"/>
                <w:szCs w:val="18"/>
              </w:rPr>
              <w:t>No</w:t>
            </w:r>
          </w:p>
        </w:tc>
        <w:tc>
          <w:tcPr>
            <w:tcW w:w="1350" w:type="dxa"/>
            <w:tcBorders>
              <w:top w:val="single" w:sz="2" w:space="0" w:color="999999"/>
              <w:left w:val="single" w:sz="2" w:space="0" w:color="999999"/>
              <w:bottom w:val="single" w:sz="2" w:space="0" w:color="999999"/>
              <w:right w:val="single" w:sz="2" w:space="0" w:color="999999"/>
            </w:tcBorders>
            <w:shd w:val="clear" w:color="auto" w:fill="FFFFFF"/>
            <w:tcMar>
              <w:top w:w="40" w:type="dxa"/>
              <w:left w:w="75" w:type="dxa"/>
              <w:bottom w:w="40" w:type="dxa"/>
              <w:right w:w="75" w:type="dxa"/>
            </w:tcMar>
          </w:tcPr>
          <w:p w14:paraId="5F63915E" w14:textId="77777777" w:rsidR="00EF761D" w:rsidRDefault="00FA4F3B" w:rsidP="006D2DD3">
            <w:pPr>
              <w:jc w:val="both"/>
            </w:pPr>
            <w:r>
              <w:rPr>
                <w:sz w:val="18"/>
                <w:szCs w:val="18"/>
              </w:rPr>
              <w:t>No</w:t>
            </w:r>
          </w:p>
        </w:tc>
        <w:tc>
          <w:tcPr>
            <w:tcW w:w="1350" w:type="dxa"/>
            <w:tcBorders>
              <w:top w:val="single" w:sz="2" w:space="0" w:color="999999"/>
              <w:left w:val="single" w:sz="2" w:space="0" w:color="999999"/>
              <w:bottom w:val="single" w:sz="2" w:space="0" w:color="999999"/>
              <w:right w:val="single" w:sz="2" w:space="0" w:color="999999"/>
            </w:tcBorders>
            <w:shd w:val="clear" w:color="auto" w:fill="FFFFFF"/>
            <w:tcMar>
              <w:top w:w="40" w:type="dxa"/>
              <w:left w:w="75" w:type="dxa"/>
              <w:bottom w:w="40" w:type="dxa"/>
              <w:right w:w="75" w:type="dxa"/>
            </w:tcMar>
          </w:tcPr>
          <w:p w14:paraId="09CC9F64" w14:textId="77777777" w:rsidR="00EF761D" w:rsidRDefault="00FA4F3B" w:rsidP="006D2DD3">
            <w:pPr>
              <w:jc w:val="both"/>
            </w:pPr>
            <w:r>
              <w:rPr>
                <w:sz w:val="18"/>
                <w:szCs w:val="18"/>
              </w:rPr>
              <w:t>Yes</w:t>
            </w:r>
          </w:p>
        </w:tc>
        <w:tc>
          <w:tcPr>
            <w:tcW w:w="1350" w:type="dxa"/>
            <w:tcBorders>
              <w:top w:val="single" w:sz="2" w:space="0" w:color="999999"/>
              <w:left w:val="single" w:sz="2" w:space="0" w:color="999999"/>
              <w:bottom w:val="single" w:sz="2" w:space="0" w:color="999999"/>
              <w:right w:val="single" w:sz="2" w:space="0" w:color="999999"/>
            </w:tcBorders>
            <w:shd w:val="clear" w:color="auto" w:fill="FFFFFF"/>
            <w:tcMar>
              <w:top w:w="40" w:type="dxa"/>
              <w:left w:w="75" w:type="dxa"/>
              <w:bottom w:w="40" w:type="dxa"/>
              <w:right w:w="75" w:type="dxa"/>
            </w:tcMar>
          </w:tcPr>
          <w:p w14:paraId="0A0B6372" w14:textId="77777777" w:rsidR="00EF761D" w:rsidRDefault="00FA4F3B" w:rsidP="006D2DD3">
            <w:pPr>
              <w:jc w:val="both"/>
            </w:pPr>
            <w:r>
              <w:rPr>
                <w:sz w:val="18"/>
                <w:szCs w:val="18"/>
              </w:rPr>
              <w:t>No</w:t>
            </w:r>
          </w:p>
        </w:tc>
        <w:tc>
          <w:tcPr>
            <w:tcW w:w="1300" w:type="dxa"/>
            <w:tcBorders>
              <w:top w:val="single" w:sz="2" w:space="0" w:color="999999"/>
              <w:left w:val="single" w:sz="2" w:space="0" w:color="999999"/>
              <w:bottom w:val="single" w:sz="2" w:space="0" w:color="999999"/>
              <w:right w:val="single" w:sz="2" w:space="0" w:color="999999"/>
            </w:tcBorders>
            <w:shd w:val="clear" w:color="auto" w:fill="FFFFFF"/>
            <w:tcMar>
              <w:top w:w="40" w:type="dxa"/>
              <w:left w:w="75" w:type="dxa"/>
              <w:bottom w:w="40" w:type="dxa"/>
              <w:right w:w="75" w:type="dxa"/>
            </w:tcMar>
          </w:tcPr>
          <w:p w14:paraId="71F2D504" w14:textId="77777777" w:rsidR="00EF761D" w:rsidRDefault="00FA4F3B" w:rsidP="006D2DD3">
            <w:pPr>
              <w:jc w:val="both"/>
            </w:pPr>
            <w:r>
              <w:rPr>
                <w:sz w:val="18"/>
                <w:szCs w:val="18"/>
              </w:rPr>
              <w:t>No</w:t>
            </w:r>
          </w:p>
        </w:tc>
      </w:tr>
      <w:tr w:rsidR="00EF761D" w14:paraId="1236F5CE" w14:textId="77777777">
        <w:tc>
          <w:tcPr>
            <w:tcW w:w="2000" w:type="dxa"/>
            <w:tcBorders>
              <w:top w:val="single" w:sz="2" w:space="0" w:color="999999"/>
              <w:left w:val="single" w:sz="2" w:space="0" w:color="999999"/>
              <w:bottom w:val="single" w:sz="2" w:space="0" w:color="999999"/>
              <w:right w:val="single" w:sz="2" w:space="0" w:color="999999"/>
            </w:tcBorders>
            <w:shd w:val="clear" w:color="auto" w:fill="F6F6F6"/>
            <w:tcMar>
              <w:top w:w="40" w:type="dxa"/>
              <w:left w:w="75" w:type="dxa"/>
              <w:bottom w:w="40" w:type="dxa"/>
              <w:right w:w="75" w:type="dxa"/>
            </w:tcMar>
          </w:tcPr>
          <w:p w14:paraId="1DC5300F" w14:textId="77777777" w:rsidR="00EF761D" w:rsidRDefault="00FA4F3B" w:rsidP="006D2DD3">
            <w:pPr>
              <w:jc w:val="both"/>
            </w:pPr>
            <w:r>
              <w:rPr>
                <w:sz w:val="18"/>
                <w:szCs w:val="18"/>
              </w:rPr>
              <w:t>IBM Food Trust</w:t>
            </w:r>
          </w:p>
        </w:tc>
        <w:tc>
          <w:tcPr>
            <w:tcW w:w="1350" w:type="dxa"/>
            <w:tcBorders>
              <w:top w:val="single" w:sz="2" w:space="0" w:color="999999"/>
              <w:left w:val="single" w:sz="2" w:space="0" w:color="999999"/>
              <w:bottom w:val="single" w:sz="2" w:space="0" w:color="999999"/>
              <w:right w:val="single" w:sz="2" w:space="0" w:color="999999"/>
            </w:tcBorders>
            <w:shd w:val="clear" w:color="auto" w:fill="F6F6F6"/>
            <w:tcMar>
              <w:top w:w="40" w:type="dxa"/>
              <w:left w:w="75" w:type="dxa"/>
              <w:bottom w:w="40" w:type="dxa"/>
              <w:right w:w="75" w:type="dxa"/>
            </w:tcMar>
          </w:tcPr>
          <w:p w14:paraId="30D1743C" w14:textId="77777777" w:rsidR="00EF761D" w:rsidRDefault="00FA4F3B" w:rsidP="006D2DD3">
            <w:pPr>
              <w:jc w:val="both"/>
            </w:pPr>
            <w:r>
              <w:rPr>
                <w:sz w:val="18"/>
                <w:szCs w:val="18"/>
              </w:rPr>
              <w:t>No</w:t>
            </w:r>
          </w:p>
        </w:tc>
        <w:tc>
          <w:tcPr>
            <w:tcW w:w="1350" w:type="dxa"/>
            <w:tcBorders>
              <w:top w:val="single" w:sz="2" w:space="0" w:color="999999"/>
              <w:left w:val="single" w:sz="2" w:space="0" w:color="999999"/>
              <w:bottom w:val="single" w:sz="2" w:space="0" w:color="999999"/>
              <w:right w:val="single" w:sz="2" w:space="0" w:color="999999"/>
            </w:tcBorders>
            <w:shd w:val="clear" w:color="auto" w:fill="F6F6F6"/>
            <w:tcMar>
              <w:top w:w="40" w:type="dxa"/>
              <w:left w:w="75" w:type="dxa"/>
              <w:bottom w:w="40" w:type="dxa"/>
              <w:right w:w="75" w:type="dxa"/>
            </w:tcMar>
          </w:tcPr>
          <w:p w14:paraId="6E64F1E5" w14:textId="77777777" w:rsidR="00EF761D" w:rsidRDefault="00FA4F3B" w:rsidP="006D2DD3">
            <w:pPr>
              <w:jc w:val="both"/>
            </w:pPr>
            <w:r>
              <w:rPr>
                <w:sz w:val="18"/>
                <w:szCs w:val="18"/>
              </w:rPr>
              <w:t>No</w:t>
            </w:r>
          </w:p>
        </w:tc>
        <w:tc>
          <w:tcPr>
            <w:tcW w:w="1350" w:type="dxa"/>
            <w:tcBorders>
              <w:top w:val="single" w:sz="2" w:space="0" w:color="999999"/>
              <w:left w:val="single" w:sz="2" w:space="0" w:color="999999"/>
              <w:bottom w:val="single" w:sz="2" w:space="0" w:color="999999"/>
              <w:right w:val="single" w:sz="2" w:space="0" w:color="999999"/>
            </w:tcBorders>
            <w:shd w:val="clear" w:color="auto" w:fill="F6F6F6"/>
            <w:tcMar>
              <w:top w:w="40" w:type="dxa"/>
              <w:left w:w="75" w:type="dxa"/>
              <w:bottom w:w="40" w:type="dxa"/>
              <w:right w:w="75" w:type="dxa"/>
            </w:tcMar>
          </w:tcPr>
          <w:p w14:paraId="31A0BEB3" w14:textId="77777777" w:rsidR="00EF761D" w:rsidRDefault="00FA4F3B" w:rsidP="006D2DD3">
            <w:pPr>
              <w:jc w:val="both"/>
            </w:pPr>
            <w:r>
              <w:rPr>
                <w:sz w:val="18"/>
                <w:szCs w:val="18"/>
              </w:rPr>
              <w:t>Yes</w:t>
            </w:r>
          </w:p>
        </w:tc>
        <w:tc>
          <w:tcPr>
            <w:tcW w:w="1350" w:type="dxa"/>
            <w:tcBorders>
              <w:top w:val="single" w:sz="2" w:space="0" w:color="999999"/>
              <w:left w:val="single" w:sz="2" w:space="0" w:color="999999"/>
              <w:bottom w:val="single" w:sz="2" w:space="0" w:color="999999"/>
              <w:right w:val="single" w:sz="2" w:space="0" w:color="999999"/>
            </w:tcBorders>
            <w:shd w:val="clear" w:color="auto" w:fill="F6F6F6"/>
            <w:tcMar>
              <w:top w:w="40" w:type="dxa"/>
              <w:left w:w="75" w:type="dxa"/>
              <w:bottom w:w="40" w:type="dxa"/>
              <w:right w:w="75" w:type="dxa"/>
            </w:tcMar>
          </w:tcPr>
          <w:p w14:paraId="7EC0B111" w14:textId="77777777" w:rsidR="00EF761D" w:rsidRDefault="00FA4F3B" w:rsidP="006D2DD3">
            <w:pPr>
              <w:jc w:val="both"/>
            </w:pPr>
            <w:r>
              <w:rPr>
                <w:sz w:val="18"/>
                <w:szCs w:val="18"/>
              </w:rPr>
              <w:t>No</w:t>
            </w:r>
          </w:p>
        </w:tc>
        <w:tc>
          <w:tcPr>
            <w:tcW w:w="1300" w:type="dxa"/>
            <w:tcBorders>
              <w:top w:val="single" w:sz="2" w:space="0" w:color="999999"/>
              <w:left w:val="single" w:sz="2" w:space="0" w:color="999999"/>
              <w:bottom w:val="single" w:sz="2" w:space="0" w:color="999999"/>
              <w:right w:val="single" w:sz="2" w:space="0" w:color="999999"/>
            </w:tcBorders>
            <w:shd w:val="clear" w:color="auto" w:fill="F6F6F6"/>
            <w:tcMar>
              <w:top w:w="40" w:type="dxa"/>
              <w:left w:w="75" w:type="dxa"/>
              <w:bottom w:w="40" w:type="dxa"/>
              <w:right w:w="75" w:type="dxa"/>
            </w:tcMar>
          </w:tcPr>
          <w:p w14:paraId="4155C36D" w14:textId="77777777" w:rsidR="00EF761D" w:rsidRDefault="00FA4F3B" w:rsidP="006D2DD3">
            <w:pPr>
              <w:jc w:val="both"/>
            </w:pPr>
            <w:r>
              <w:rPr>
                <w:sz w:val="18"/>
                <w:szCs w:val="18"/>
              </w:rPr>
              <w:t>No</w:t>
            </w:r>
          </w:p>
        </w:tc>
      </w:tr>
      <w:tr w:rsidR="00EF761D" w14:paraId="63D84FAA" w14:textId="77777777">
        <w:tc>
          <w:tcPr>
            <w:tcW w:w="2000" w:type="dxa"/>
            <w:tcBorders>
              <w:top w:val="single" w:sz="2" w:space="0" w:color="999999"/>
              <w:left w:val="single" w:sz="2" w:space="0" w:color="999999"/>
              <w:bottom w:val="single" w:sz="2" w:space="0" w:color="999999"/>
              <w:right w:val="single" w:sz="2" w:space="0" w:color="999999"/>
            </w:tcBorders>
            <w:shd w:val="clear" w:color="auto" w:fill="FFFFFF"/>
            <w:tcMar>
              <w:top w:w="40" w:type="dxa"/>
              <w:left w:w="75" w:type="dxa"/>
              <w:bottom w:w="40" w:type="dxa"/>
              <w:right w:w="75" w:type="dxa"/>
            </w:tcMar>
          </w:tcPr>
          <w:p w14:paraId="6180A511" w14:textId="77777777" w:rsidR="00EF761D" w:rsidRDefault="00FA4F3B" w:rsidP="006D2DD3">
            <w:pPr>
              <w:jc w:val="both"/>
            </w:pPr>
            <w:r>
              <w:rPr>
                <w:b/>
                <w:bCs/>
                <w:sz w:val="18"/>
                <w:szCs w:val="18"/>
              </w:rPr>
              <w:t>Proposed VCIS</w:t>
            </w:r>
          </w:p>
        </w:tc>
        <w:tc>
          <w:tcPr>
            <w:tcW w:w="1350" w:type="dxa"/>
            <w:tcBorders>
              <w:top w:val="single" w:sz="2" w:space="0" w:color="999999"/>
              <w:left w:val="single" w:sz="2" w:space="0" w:color="999999"/>
              <w:bottom w:val="single" w:sz="2" w:space="0" w:color="999999"/>
              <w:right w:val="single" w:sz="2" w:space="0" w:color="999999"/>
            </w:tcBorders>
            <w:shd w:val="clear" w:color="auto" w:fill="E2F0E2"/>
            <w:tcMar>
              <w:top w:w="40" w:type="dxa"/>
              <w:left w:w="75" w:type="dxa"/>
              <w:bottom w:w="40" w:type="dxa"/>
              <w:right w:w="75" w:type="dxa"/>
            </w:tcMar>
          </w:tcPr>
          <w:p w14:paraId="1F497716" w14:textId="77777777" w:rsidR="00EF761D" w:rsidRDefault="00FA4F3B" w:rsidP="006D2DD3">
            <w:pPr>
              <w:jc w:val="both"/>
            </w:pPr>
            <w:r>
              <w:rPr>
                <w:b/>
                <w:bCs/>
                <w:sz w:val="18"/>
                <w:szCs w:val="18"/>
              </w:rPr>
              <w:t>Yes</w:t>
            </w:r>
          </w:p>
        </w:tc>
        <w:tc>
          <w:tcPr>
            <w:tcW w:w="1350" w:type="dxa"/>
            <w:tcBorders>
              <w:top w:val="single" w:sz="2" w:space="0" w:color="999999"/>
              <w:left w:val="single" w:sz="2" w:space="0" w:color="999999"/>
              <w:bottom w:val="single" w:sz="2" w:space="0" w:color="999999"/>
              <w:right w:val="single" w:sz="2" w:space="0" w:color="999999"/>
            </w:tcBorders>
            <w:shd w:val="clear" w:color="auto" w:fill="E2F0E2"/>
            <w:tcMar>
              <w:top w:w="40" w:type="dxa"/>
              <w:left w:w="75" w:type="dxa"/>
              <w:bottom w:w="40" w:type="dxa"/>
              <w:right w:w="75" w:type="dxa"/>
            </w:tcMar>
          </w:tcPr>
          <w:p w14:paraId="606A4EC6" w14:textId="77777777" w:rsidR="00EF761D" w:rsidRDefault="00FA4F3B" w:rsidP="006D2DD3">
            <w:pPr>
              <w:jc w:val="both"/>
            </w:pPr>
            <w:r>
              <w:rPr>
                <w:b/>
                <w:bCs/>
                <w:sz w:val="18"/>
                <w:szCs w:val="18"/>
              </w:rPr>
              <w:t>Yes</w:t>
            </w:r>
          </w:p>
        </w:tc>
        <w:tc>
          <w:tcPr>
            <w:tcW w:w="1350" w:type="dxa"/>
            <w:tcBorders>
              <w:top w:val="single" w:sz="2" w:space="0" w:color="999999"/>
              <w:left w:val="single" w:sz="2" w:space="0" w:color="999999"/>
              <w:bottom w:val="single" w:sz="2" w:space="0" w:color="999999"/>
              <w:right w:val="single" w:sz="2" w:space="0" w:color="999999"/>
            </w:tcBorders>
            <w:shd w:val="clear" w:color="auto" w:fill="E2F0E2"/>
            <w:tcMar>
              <w:top w:w="40" w:type="dxa"/>
              <w:left w:w="75" w:type="dxa"/>
              <w:bottom w:w="40" w:type="dxa"/>
              <w:right w:w="75" w:type="dxa"/>
            </w:tcMar>
          </w:tcPr>
          <w:p w14:paraId="695CDC37" w14:textId="77777777" w:rsidR="00EF761D" w:rsidRDefault="00FA4F3B" w:rsidP="006D2DD3">
            <w:pPr>
              <w:jc w:val="both"/>
            </w:pPr>
            <w:r>
              <w:rPr>
                <w:b/>
                <w:bCs/>
                <w:sz w:val="18"/>
                <w:szCs w:val="18"/>
              </w:rPr>
              <w:t>Yes</w:t>
            </w:r>
          </w:p>
        </w:tc>
        <w:tc>
          <w:tcPr>
            <w:tcW w:w="1350" w:type="dxa"/>
            <w:tcBorders>
              <w:top w:val="single" w:sz="2" w:space="0" w:color="999999"/>
              <w:left w:val="single" w:sz="2" w:space="0" w:color="999999"/>
              <w:bottom w:val="single" w:sz="2" w:space="0" w:color="999999"/>
              <w:right w:val="single" w:sz="2" w:space="0" w:color="999999"/>
            </w:tcBorders>
            <w:shd w:val="clear" w:color="auto" w:fill="E2F0E2"/>
            <w:tcMar>
              <w:top w:w="40" w:type="dxa"/>
              <w:left w:w="75" w:type="dxa"/>
              <w:bottom w:w="40" w:type="dxa"/>
              <w:right w:w="75" w:type="dxa"/>
            </w:tcMar>
          </w:tcPr>
          <w:p w14:paraId="2A792577" w14:textId="77777777" w:rsidR="00EF761D" w:rsidRDefault="00FA4F3B" w:rsidP="006D2DD3">
            <w:pPr>
              <w:jc w:val="both"/>
            </w:pPr>
            <w:r>
              <w:rPr>
                <w:b/>
                <w:bCs/>
                <w:sz w:val="18"/>
                <w:szCs w:val="18"/>
              </w:rPr>
              <w:t>Yes</w:t>
            </w:r>
          </w:p>
        </w:tc>
        <w:tc>
          <w:tcPr>
            <w:tcW w:w="1300" w:type="dxa"/>
            <w:tcBorders>
              <w:top w:val="single" w:sz="2" w:space="0" w:color="999999"/>
              <w:left w:val="single" w:sz="2" w:space="0" w:color="999999"/>
              <w:bottom w:val="single" w:sz="2" w:space="0" w:color="999999"/>
              <w:right w:val="single" w:sz="2" w:space="0" w:color="999999"/>
            </w:tcBorders>
            <w:shd w:val="clear" w:color="auto" w:fill="E2F0E2"/>
            <w:tcMar>
              <w:top w:w="40" w:type="dxa"/>
              <w:left w:w="75" w:type="dxa"/>
              <w:bottom w:w="40" w:type="dxa"/>
              <w:right w:w="75" w:type="dxa"/>
            </w:tcMar>
          </w:tcPr>
          <w:p w14:paraId="049F06E6" w14:textId="77777777" w:rsidR="00EF761D" w:rsidRDefault="00FA4F3B" w:rsidP="006D2DD3">
            <w:pPr>
              <w:jc w:val="both"/>
            </w:pPr>
            <w:r>
              <w:rPr>
                <w:b/>
                <w:bCs/>
                <w:sz w:val="18"/>
                <w:szCs w:val="18"/>
              </w:rPr>
              <w:t>Yes</w:t>
            </w:r>
          </w:p>
        </w:tc>
      </w:tr>
    </w:tbl>
    <w:p w14:paraId="7C7509BE" w14:textId="77777777" w:rsidR="00EF761D" w:rsidRDefault="00EF761D" w:rsidP="006D2DD3">
      <w:pPr>
        <w:jc w:val="both"/>
      </w:pPr>
    </w:p>
    <w:p w14:paraId="3103A7D3" w14:textId="77777777" w:rsidR="00EF761D" w:rsidRDefault="00FA4F3B" w:rsidP="006D2DD3">
      <w:pPr>
        <w:spacing w:before="150" w:after="70"/>
        <w:jc w:val="both"/>
      </w:pPr>
      <w:r>
        <w:rPr>
          <w:b/>
          <w:bCs/>
        </w:rPr>
        <w:t>III. ANALYSIS OF THE PROBLEM</w:t>
      </w:r>
    </w:p>
    <w:p w14:paraId="5C213C48" w14:textId="77777777" w:rsidR="00E54EB2" w:rsidRDefault="00E54EB2" w:rsidP="006D2DD3">
      <w:pPr>
        <w:spacing w:before="100" w:after="50"/>
        <w:jc w:val="both"/>
        <w:rPr>
          <w:color w:val="000000"/>
        </w:rPr>
      </w:pPr>
      <w:r w:rsidRPr="00E54EB2">
        <w:rPr>
          <w:color w:val="000000"/>
        </w:rPr>
        <w:t>To provide a description of the system, first we will detail what has not yet been accomplished, and why it has been so difficult to develop a solution. There are four failings in relation to the oilseed by-product industry, and therefore any viable solution to this issue must address all four problems.</w:t>
      </w:r>
    </w:p>
    <w:p w14:paraId="583E0D1A" w14:textId="22EF9483" w:rsidR="00EF761D" w:rsidRDefault="00FA4F3B" w:rsidP="006D2DD3">
      <w:pPr>
        <w:spacing w:before="100" w:after="50"/>
        <w:jc w:val="both"/>
      </w:pPr>
      <w:r>
        <w:rPr>
          <w:b/>
          <w:bCs/>
          <w:i/>
          <w:iCs/>
        </w:rPr>
        <w:t>A. Fragmentation and Lack of Common Infrastructure</w:t>
      </w:r>
    </w:p>
    <w:p w14:paraId="276A4E7A" w14:textId="77777777" w:rsidR="00E54EB2" w:rsidRDefault="00E54EB2" w:rsidP="006D2DD3">
      <w:pPr>
        <w:spacing w:before="100" w:after="50"/>
        <w:jc w:val="both"/>
        <w:rPr>
          <w:color w:val="000000"/>
        </w:rPr>
      </w:pPr>
      <w:r w:rsidRPr="00E54EB2">
        <w:rPr>
          <w:color w:val="000000"/>
        </w:rPr>
        <w:t xml:space="preserve">India has a large number of oil-producing mills, with thousands of mills located at various regions such as Madhya Pradesh (Soy bean), Rajasthan (Mustard), Gujarat (Ground nut), Andhra Pradesh (Sun flower), etc. Each of these operates independently; there isn't one single database to track production levels or availability of By-products produced from each mill such as soy meal or mustard oil because there is no common pricing system or standardized grading method. In order for a purchaser located in </w:t>
      </w:r>
      <w:proofErr w:type="spellStart"/>
      <w:r w:rsidRPr="00E54EB2">
        <w:rPr>
          <w:color w:val="000000"/>
        </w:rPr>
        <w:t>Tamilnadu</w:t>
      </w:r>
      <w:proofErr w:type="spellEnd"/>
      <w:r w:rsidRPr="00E54EB2">
        <w:rPr>
          <w:color w:val="000000"/>
        </w:rPr>
        <w:t xml:space="preserve"> to find where they can purchase the soy meal produced from one of the many oil producing mills located in Madhya Pradesh, and determine which mills have soy meal available for purchase at what price and quality, would take many phone calls through multiple intermediaries and lack of availability data will be one way to eliminate the major challenge of conducting purchases of product from multiple producers. Therefore, this friction between procurers and suppliers prevents an efficient market from functioning properly as producers cannot efficiently match their production with buyer requirements.</w:t>
      </w:r>
    </w:p>
    <w:p w14:paraId="3C5066B8" w14:textId="09E16848" w:rsidR="00EF761D" w:rsidRDefault="00FA4F3B" w:rsidP="006D2DD3">
      <w:pPr>
        <w:spacing w:before="100" w:after="50"/>
        <w:jc w:val="both"/>
      </w:pPr>
      <w:r>
        <w:rPr>
          <w:b/>
          <w:bCs/>
          <w:i/>
          <w:iCs/>
        </w:rPr>
        <w:t>B. Price Asymmetry</w:t>
      </w:r>
    </w:p>
    <w:p w14:paraId="28D62EB0" w14:textId="77777777" w:rsidR="00E54EB2" w:rsidRPr="00E54EB2" w:rsidRDefault="00E54EB2" w:rsidP="006D2DD3">
      <w:pPr>
        <w:spacing w:before="100" w:after="50"/>
        <w:jc w:val="both"/>
        <w:rPr>
          <w:color w:val="000000"/>
        </w:rPr>
      </w:pPr>
      <w:r w:rsidRPr="00E54EB2">
        <w:rPr>
          <w:color w:val="000000"/>
        </w:rPr>
        <w:t xml:space="preserve">Farmers' market failures are largely attributed to discrepancies in prices. Traders who buy produce from farmers have access to real-time information regarding commodity prices on NCDEX and across international markets while farmers do not. This creates an opportunity </w:t>
      </w:r>
      <w:r w:rsidRPr="00E54EB2">
        <w:rPr>
          <w:color w:val="000000"/>
        </w:rPr>
        <w:t>for traders to buy commodities from farmers at a lower price than they will sell them for later in the chain.</w:t>
      </w:r>
    </w:p>
    <w:p w14:paraId="3BC9E4C3" w14:textId="77777777" w:rsidR="00E54EB2" w:rsidRPr="00E54EB2" w:rsidRDefault="00E54EB2" w:rsidP="006D2DD3">
      <w:pPr>
        <w:spacing w:before="100" w:after="50"/>
        <w:jc w:val="both"/>
        <w:rPr>
          <w:color w:val="000000"/>
        </w:rPr>
      </w:pPr>
    </w:p>
    <w:p w14:paraId="54A554AE" w14:textId="77777777" w:rsidR="00E54EB2" w:rsidRDefault="00E54EB2" w:rsidP="006D2DD3">
      <w:pPr>
        <w:spacing w:before="100" w:after="50"/>
        <w:jc w:val="both"/>
        <w:rPr>
          <w:color w:val="000000"/>
        </w:rPr>
      </w:pPr>
      <w:r w:rsidRPr="00E54EB2">
        <w:rPr>
          <w:color w:val="000000"/>
        </w:rPr>
        <w:t>An example of this issue occurred during the global commodity shock that happened in 2022. Between March and May 2022, the price of soymeal around the world increased by more than 35% while the price paid by traders to Indian farmers for soymeal increased by less than 8%. The discrepancy in price between what the farmer received and what the trader sold the soymeal for was realized by the traders, not by the farmers.</w:t>
      </w:r>
    </w:p>
    <w:p w14:paraId="4AA54DBA" w14:textId="5371ED31" w:rsidR="00EF761D" w:rsidRDefault="00FA4F3B" w:rsidP="006D2DD3">
      <w:pPr>
        <w:spacing w:before="100" w:after="50"/>
        <w:jc w:val="both"/>
      </w:pPr>
      <w:r>
        <w:rPr>
          <w:b/>
          <w:bCs/>
          <w:i/>
          <w:iCs/>
        </w:rPr>
        <w:t>C. Transaction Insecurity and Payment Delays</w:t>
      </w:r>
    </w:p>
    <w:p w14:paraId="4006F06C" w14:textId="77777777" w:rsidR="00923070" w:rsidRDefault="00923070" w:rsidP="006D2DD3">
      <w:pPr>
        <w:spacing w:before="100" w:after="50"/>
        <w:jc w:val="both"/>
        <w:rPr>
          <w:color w:val="000000"/>
        </w:rPr>
      </w:pPr>
      <w:r w:rsidRPr="00923070">
        <w:rPr>
          <w:color w:val="000000"/>
        </w:rPr>
        <w:t>The majority of by-product transactions in India take place through oral agreements or informal contracts; as such, the period from delivery to payment is typically 15 – 90 days after delivery. Common payment problems experienced by both parties include non-</w:t>
      </w:r>
      <w:proofErr w:type="gramStart"/>
      <w:r w:rsidRPr="00923070">
        <w:rPr>
          <w:color w:val="000000"/>
        </w:rPr>
        <w:t>payment ,</w:t>
      </w:r>
      <w:proofErr w:type="gramEnd"/>
      <w:r w:rsidRPr="00923070">
        <w:rPr>
          <w:color w:val="000000"/>
        </w:rPr>
        <w:t xml:space="preserve"> short </w:t>
      </w:r>
      <w:proofErr w:type="gramStart"/>
      <w:r w:rsidRPr="00923070">
        <w:rPr>
          <w:color w:val="000000"/>
        </w:rPr>
        <w:t>payment ,</w:t>
      </w:r>
      <w:proofErr w:type="gramEnd"/>
      <w:r w:rsidRPr="00923070">
        <w:rPr>
          <w:color w:val="000000"/>
        </w:rPr>
        <w:t xml:space="preserve"> and quality </w:t>
      </w:r>
      <w:proofErr w:type="gramStart"/>
      <w:r w:rsidRPr="00923070">
        <w:rPr>
          <w:color w:val="000000"/>
        </w:rPr>
        <w:t>disputes .</w:t>
      </w:r>
      <w:proofErr w:type="gramEnd"/>
      <w:r w:rsidRPr="00923070">
        <w:rPr>
          <w:color w:val="000000"/>
        </w:rPr>
        <w:t xml:space="preserve"> Smallholder farms and processors do not have sufficient resources to ensure that they will be repaid by using the legal system; therefore, they either take the loss or refuse to sell to buyers located outside their local area, limiting their access to the marketplace. Therefore, a </w:t>
      </w:r>
      <w:proofErr w:type="gramStart"/>
      <w:r w:rsidRPr="00923070">
        <w:rPr>
          <w:color w:val="000000"/>
        </w:rPr>
        <w:t>secure ,</w:t>
      </w:r>
      <w:proofErr w:type="gramEnd"/>
      <w:r w:rsidRPr="00923070">
        <w:rPr>
          <w:color w:val="000000"/>
        </w:rPr>
        <w:t xml:space="preserve"> auto-executing method of payment is needed which does not rely on trust between two parties who may have only just met.</w:t>
      </w:r>
    </w:p>
    <w:p w14:paraId="1D8FF15A" w14:textId="1DFE4E1A" w:rsidR="00EF761D" w:rsidRDefault="00FA4F3B" w:rsidP="006D2DD3">
      <w:pPr>
        <w:spacing w:before="100" w:after="50"/>
        <w:jc w:val="both"/>
      </w:pPr>
      <w:r>
        <w:rPr>
          <w:b/>
          <w:bCs/>
          <w:i/>
          <w:iCs/>
        </w:rPr>
        <w:t>D. Export Inaccessibility</w:t>
      </w:r>
    </w:p>
    <w:p w14:paraId="03878B1C" w14:textId="77777777" w:rsidR="00923070" w:rsidRDefault="00923070" w:rsidP="006D2DD3">
      <w:pPr>
        <w:spacing w:before="150" w:after="70"/>
        <w:jc w:val="both"/>
        <w:rPr>
          <w:color w:val="000000"/>
        </w:rPr>
      </w:pPr>
      <w:r w:rsidRPr="00923070">
        <w:rPr>
          <w:color w:val="000000"/>
        </w:rPr>
        <w:t>Soybean meal exports in India have had a great deal of variability from one year to the next, depending on both the supply of soybeans and whether small and medium-size producers are able to establish reliable access to export markets. They require a wide range of substantial input: quality certification; contact with foreign buyers; the proper logistics systems for the movement of goods; and often pre-payment or letters of credit to protect themselves from payment default by the exporter. The available methods of exporting will not be available to small producer groups or small oil mills without some type of institutional assistance for them. Therefore, there is a large volume of exportable soybean meal that has not been exported or has sold at lower prices in the domestic market.</w:t>
      </w:r>
    </w:p>
    <w:p w14:paraId="243469CB" w14:textId="6CE0B4DE" w:rsidR="00EF761D" w:rsidRDefault="00FA4F3B" w:rsidP="006D2DD3">
      <w:pPr>
        <w:spacing w:before="150" w:after="70"/>
        <w:jc w:val="both"/>
      </w:pPr>
      <w:r>
        <w:rPr>
          <w:b/>
          <w:bCs/>
        </w:rPr>
        <w:t>IV. SYSTEM ARCHITECTURE AND METHODOLOGY</w:t>
      </w:r>
    </w:p>
    <w:p w14:paraId="09CB45E0" w14:textId="77777777" w:rsidR="00EF761D" w:rsidRDefault="00FA4F3B" w:rsidP="006D2DD3">
      <w:pPr>
        <w:spacing w:before="100" w:after="50"/>
        <w:jc w:val="both"/>
      </w:pPr>
      <w:r>
        <w:rPr>
          <w:b/>
          <w:bCs/>
          <w:i/>
          <w:iCs/>
        </w:rPr>
        <w:t>A. Overall Design</w:t>
      </w:r>
    </w:p>
    <w:p w14:paraId="3DEC5213" w14:textId="77777777" w:rsidR="00923070" w:rsidRDefault="00923070" w:rsidP="006D2DD3">
      <w:pPr>
        <w:spacing w:after="72"/>
        <w:ind w:firstLine="360"/>
        <w:jc w:val="both"/>
        <w:rPr>
          <w:color w:val="000000"/>
        </w:rPr>
      </w:pPr>
      <w:r w:rsidRPr="00923070">
        <w:rPr>
          <w:color w:val="000000"/>
        </w:rPr>
        <w:t xml:space="preserve">The VCIS is a multi-layered web application that consists of four functional levels. At the bottom layer is the Data Ingestion Layer, which retrieves real-time price information from AGMARKNET and NCDEX via APIs, imports datasets from both FAOSTAT and OGD portals in batches, and accepts IoT sensor readings for monitoring inventory levels on farms. The second layer called the Analytics Layer contains both the LSTM forecasting engine as well as an export compatibility scoring system for exports. The Application Layer is where users interact with the VCIS through its user interface (UI) built using React.js and includes the marketplace transaction module and dashboards designed for specific roles. The topmost level (Blockchain Layer) manages the entire process of creating Ethereum smart contracts, deploying them to the blockchain, monitoring them, and finally settling them </w:t>
      </w:r>
      <w:r w:rsidRPr="00923070">
        <w:rPr>
          <w:color w:val="000000"/>
        </w:rPr>
        <w:lastRenderedPageBreak/>
        <w:t>upon completion even if they were created/deployed outside this application context.</w:t>
      </w:r>
    </w:p>
    <w:p w14:paraId="1551866E" w14:textId="77777777" w:rsidR="00923070" w:rsidRDefault="00923070" w:rsidP="006D2DD3">
      <w:pPr>
        <w:spacing w:before="100" w:after="50"/>
        <w:jc w:val="both"/>
        <w:rPr>
          <w:color w:val="000000"/>
        </w:rPr>
      </w:pPr>
      <w:r w:rsidRPr="00923070">
        <w:rPr>
          <w:color w:val="000000"/>
        </w:rPr>
        <w:t xml:space="preserve">Each of the three user types includes: Buyer/Processor (purchase orders, contracts), Farmer/Seller (market forecasts and alerts for export markets), and Government Administrator (monitors and tracks market </w:t>
      </w:r>
      <w:proofErr w:type="spellStart"/>
      <w:r w:rsidRPr="00923070">
        <w:rPr>
          <w:color w:val="000000"/>
        </w:rPr>
        <w:t>indicatory</w:t>
      </w:r>
      <w:proofErr w:type="spellEnd"/>
      <w:r w:rsidRPr="00923070">
        <w:rPr>
          <w:color w:val="000000"/>
        </w:rPr>
        <w:t>). Users will have a customize user interface that meets their needs based on the information that they require from the user/project supply list.</w:t>
      </w:r>
    </w:p>
    <w:p w14:paraId="03FBFD2E" w14:textId="440F2D81" w:rsidR="00EF761D" w:rsidRDefault="00FA4F3B" w:rsidP="006D2DD3">
      <w:pPr>
        <w:spacing w:before="100" w:after="50"/>
        <w:jc w:val="both"/>
      </w:pPr>
      <w:r>
        <w:rPr>
          <w:b/>
          <w:bCs/>
          <w:i/>
          <w:iCs/>
        </w:rPr>
        <w:t>B. LSTM Price Forecasting</w:t>
      </w:r>
    </w:p>
    <w:p w14:paraId="56E2E1CC" w14:textId="77777777" w:rsidR="00923070" w:rsidRDefault="00923070" w:rsidP="006D2DD3">
      <w:pPr>
        <w:spacing w:after="72"/>
        <w:ind w:firstLine="360"/>
        <w:jc w:val="both"/>
        <w:rPr>
          <w:color w:val="000000"/>
        </w:rPr>
      </w:pPr>
      <w:r w:rsidRPr="00923070">
        <w:rPr>
          <w:color w:val="000000"/>
        </w:rPr>
        <w:t>We evaluated other options and selected LSTM Networks for our forecast due to their ability to handle the abuse of time series data effectively — especially when it comes to forecasting prices of oilseed commodities. Traditional ARIMA models can deal with both stationarity and linear trends, while also performing poorly on structural breaks and periods of clustered volatility associated with global supply shock situations. We reviewed Gradient Boosting methods (</w:t>
      </w:r>
      <w:proofErr w:type="spellStart"/>
      <w:r w:rsidRPr="00923070">
        <w:rPr>
          <w:color w:val="000000"/>
        </w:rPr>
        <w:t>XGBoost</w:t>
      </w:r>
      <w:proofErr w:type="spellEnd"/>
      <w:r w:rsidRPr="00923070">
        <w:rPr>
          <w:color w:val="000000"/>
        </w:rPr>
        <w:t xml:space="preserve"> &amp; </w:t>
      </w:r>
      <w:proofErr w:type="spellStart"/>
      <w:r w:rsidRPr="00923070">
        <w:rPr>
          <w:color w:val="000000"/>
        </w:rPr>
        <w:t>LightGBM</w:t>
      </w:r>
      <w:proofErr w:type="spellEnd"/>
      <w:r w:rsidRPr="00923070">
        <w:rPr>
          <w:color w:val="000000"/>
        </w:rPr>
        <w:t>) as competing options, but both methods require substantial manual feature engineering and do not allow for natural modelling of sequential dependencies. In contrast, LSTM networks handle these issues very well once the training dataset is large enough, as is the case for our project (i.e., 72 months of daily mandi price data).</w:t>
      </w:r>
    </w:p>
    <w:p w14:paraId="452BB9B7" w14:textId="7CA1666A" w:rsidR="00EF761D" w:rsidRDefault="00FA4F3B" w:rsidP="006D2DD3">
      <w:pPr>
        <w:spacing w:after="72"/>
        <w:ind w:firstLine="360"/>
        <w:jc w:val="both"/>
      </w:pPr>
      <w:r>
        <w:rPr>
          <w:color w:val="000000"/>
        </w:rPr>
        <w:t>The architecture uses two stacked LSTM layers — 128 units in the first, 64 in the second — followed by a dropout layer (rate 0.2) and a dense output layer. Input features include 30-day lagged price series, a seasonal index, monthly trading volume, and the CBOT soybean futures price as a global benchmark. The governing equations of the LSTM cell are:</w:t>
      </w:r>
    </w:p>
    <w:p w14:paraId="39808536" w14:textId="77777777" w:rsidR="00EF761D" w:rsidRDefault="00FA4F3B" w:rsidP="00960E44">
      <w:pPr>
        <w:spacing w:before="55" w:after="55"/>
        <w:jc w:val="center"/>
      </w:pPr>
      <w:proofErr w:type="spellStart"/>
      <w:r>
        <w:rPr>
          <w:i/>
          <w:iCs/>
          <w:sz w:val="18"/>
          <w:szCs w:val="18"/>
        </w:rPr>
        <w:t>f_t</w:t>
      </w:r>
      <w:proofErr w:type="spellEnd"/>
      <w:r>
        <w:rPr>
          <w:i/>
          <w:iCs/>
          <w:sz w:val="18"/>
          <w:szCs w:val="18"/>
        </w:rPr>
        <w:t xml:space="preserve"> = σ(</w:t>
      </w:r>
      <w:proofErr w:type="spellStart"/>
      <w:r>
        <w:rPr>
          <w:i/>
          <w:iCs/>
          <w:sz w:val="18"/>
          <w:szCs w:val="18"/>
        </w:rPr>
        <w:t>W_f</w:t>
      </w:r>
      <w:proofErr w:type="spellEnd"/>
      <w:r>
        <w:rPr>
          <w:i/>
          <w:iCs/>
          <w:sz w:val="18"/>
          <w:szCs w:val="18"/>
        </w:rPr>
        <w:t xml:space="preserve"> · [h_{t-1}, </w:t>
      </w:r>
      <w:proofErr w:type="spellStart"/>
      <w:r>
        <w:rPr>
          <w:i/>
          <w:iCs/>
          <w:sz w:val="18"/>
          <w:szCs w:val="18"/>
        </w:rPr>
        <w:t>x_t</w:t>
      </w:r>
      <w:proofErr w:type="spellEnd"/>
      <w:r>
        <w:rPr>
          <w:i/>
          <w:iCs/>
          <w:sz w:val="18"/>
          <w:szCs w:val="18"/>
        </w:rPr>
        <w:t xml:space="preserve">] + </w:t>
      </w:r>
      <w:proofErr w:type="spellStart"/>
      <w:r>
        <w:rPr>
          <w:i/>
          <w:iCs/>
          <w:sz w:val="18"/>
          <w:szCs w:val="18"/>
        </w:rPr>
        <w:t>b_f</w:t>
      </w:r>
      <w:proofErr w:type="spellEnd"/>
      <w:r>
        <w:rPr>
          <w:i/>
          <w:iCs/>
          <w:sz w:val="18"/>
          <w:szCs w:val="18"/>
        </w:rPr>
        <w:t>)     …(1)</w:t>
      </w:r>
    </w:p>
    <w:p w14:paraId="12833965" w14:textId="77777777" w:rsidR="00EF761D" w:rsidRDefault="00FA4F3B" w:rsidP="00960E44">
      <w:pPr>
        <w:spacing w:before="55" w:after="55"/>
        <w:jc w:val="center"/>
      </w:pPr>
      <w:proofErr w:type="spellStart"/>
      <w:r>
        <w:rPr>
          <w:i/>
          <w:iCs/>
          <w:sz w:val="18"/>
          <w:szCs w:val="18"/>
        </w:rPr>
        <w:t>i_t</w:t>
      </w:r>
      <w:proofErr w:type="spellEnd"/>
      <w:r>
        <w:rPr>
          <w:i/>
          <w:iCs/>
          <w:sz w:val="18"/>
          <w:szCs w:val="18"/>
        </w:rPr>
        <w:t xml:space="preserve"> = σ(</w:t>
      </w:r>
      <w:proofErr w:type="spellStart"/>
      <w:r>
        <w:rPr>
          <w:i/>
          <w:iCs/>
          <w:sz w:val="18"/>
          <w:szCs w:val="18"/>
        </w:rPr>
        <w:t>W_i</w:t>
      </w:r>
      <w:proofErr w:type="spellEnd"/>
      <w:r>
        <w:rPr>
          <w:i/>
          <w:iCs/>
          <w:sz w:val="18"/>
          <w:szCs w:val="18"/>
        </w:rPr>
        <w:t xml:space="preserve"> · [h_{t-1}, </w:t>
      </w:r>
      <w:proofErr w:type="spellStart"/>
      <w:r>
        <w:rPr>
          <w:i/>
          <w:iCs/>
          <w:sz w:val="18"/>
          <w:szCs w:val="18"/>
        </w:rPr>
        <w:t>x_t</w:t>
      </w:r>
      <w:proofErr w:type="spellEnd"/>
      <w:r>
        <w:rPr>
          <w:i/>
          <w:iCs/>
          <w:sz w:val="18"/>
          <w:szCs w:val="18"/>
        </w:rPr>
        <w:t xml:space="preserve">] + </w:t>
      </w:r>
      <w:proofErr w:type="spellStart"/>
      <w:r>
        <w:rPr>
          <w:i/>
          <w:iCs/>
          <w:sz w:val="18"/>
          <w:szCs w:val="18"/>
        </w:rPr>
        <w:t>b_i</w:t>
      </w:r>
      <w:proofErr w:type="spellEnd"/>
      <w:r>
        <w:rPr>
          <w:i/>
          <w:iCs/>
          <w:sz w:val="18"/>
          <w:szCs w:val="18"/>
        </w:rPr>
        <w:t>)     …(2)</w:t>
      </w:r>
    </w:p>
    <w:p w14:paraId="4F3D83D3" w14:textId="77777777" w:rsidR="00EF761D" w:rsidRDefault="00FA4F3B" w:rsidP="00960E44">
      <w:pPr>
        <w:spacing w:before="55" w:after="55"/>
        <w:jc w:val="center"/>
      </w:pPr>
      <w:proofErr w:type="spellStart"/>
      <w:r>
        <w:rPr>
          <w:i/>
          <w:iCs/>
          <w:sz w:val="18"/>
          <w:szCs w:val="18"/>
        </w:rPr>
        <w:t>C̃_t</w:t>
      </w:r>
      <w:proofErr w:type="spellEnd"/>
      <w:r>
        <w:rPr>
          <w:i/>
          <w:iCs/>
          <w:sz w:val="18"/>
          <w:szCs w:val="18"/>
        </w:rPr>
        <w:t xml:space="preserve"> = tanh(W_C · [h_{t-1}, </w:t>
      </w:r>
      <w:proofErr w:type="spellStart"/>
      <w:r>
        <w:rPr>
          <w:i/>
          <w:iCs/>
          <w:sz w:val="18"/>
          <w:szCs w:val="18"/>
        </w:rPr>
        <w:t>x_t</w:t>
      </w:r>
      <w:proofErr w:type="spellEnd"/>
      <w:r>
        <w:rPr>
          <w:i/>
          <w:iCs/>
          <w:sz w:val="18"/>
          <w:szCs w:val="18"/>
        </w:rPr>
        <w:t xml:space="preserve">] + </w:t>
      </w:r>
      <w:proofErr w:type="spellStart"/>
      <w:r>
        <w:rPr>
          <w:i/>
          <w:iCs/>
          <w:sz w:val="18"/>
          <w:szCs w:val="18"/>
        </w:rPr>
        <w:t>b_C</w:t>
      </w:r>
      <w:proofErr w:type="spellEnd"/>
      <w:r>
        <w:rPr>
          <w:i/>
          <w:iCs/>
          <w:sz w:val="18"/>
          <w:szCs w:val="18"/>
        </w:rPr>
        <w:t>)     …(3)</w:t>
      </w:r>
    </w:p>
    <w:p w14:paraId="05F70EF9" w14:textId="77777777" w:rsidR="00EF761D" w:rsidRDefault="00FA4F3B" w:rsidP="00960E44">
      <w:pPr>
        <w:spacing w:before="55" w:after="55"/>
        <w:jc w:val="center"/>
      </w:pPr>
      <w:proofErr w:type="spellStart"/>
      <w:r>
        <w:rPr>
          <w:i/>
          <w:iCs/>
          <w:sz w:val="18"/>
          <w:szCs w:val="18"/>
        </w:rPr>
        <w:t>C_t</w:t>
      </w:r>
      <w:proofErr w:type="spellEnd"/>
      <w:r>
        <w:rPr>
          <w:i/>
          <w:iCs/>
          <w:sz w:val="18"/>
          <w:szCs w:val="18"/>
        </w:rPr>
        <w:t xml:space="preserve"> = </w:t>
      </w:r>
      <w:proofErr w:type="spellStart"/>
      <w:r>
        <w:rPr>
          <w:i/>
          <w:iCs/>
          <w:sz w:val="18"/>
          <w:szCs w:val="18"/>
        </w:rPr>
        <w:t>f_t</w:t>
      </w:r>
      <w:proofErr w:type="spellEnd"/>
      <w:r>
        <w:rPr>
          <w:i/>
          <w:iCs/>
          <w:sz w:val="18"/>
          <w:szCs w:val="18"/>
        </w:rPr>
        <w:t xml:space="preserve"> ⊙ C_{t-1} + </w:t>
      </w:r>
      <w:proofErr w:type="spellStart"/>
      <w:r>
        <w:rPr>
          <w:i/>
          <w:iCs/>
          <w:sz w:val="18"/>
          <w:szCs w:val="18"/>
        </w:rPr>
        <w:t>i_t</w:t>
      </w:r>
      <w:proofErr w:type="spellEnd"/>
      <w:r>
        <w:rPr>
          <w:i/>
          <w:iCs/>
          <w:sz w:val="18"/>
          <w:szCs w:val="18"/>
        </w:rPr>
        <w:t xml:space="preserve"> ⊙ </w:t>
      </w:r>
      <w:proofErr w:type="spellStart"/>
      <w:r>
        <w:rPr>
          <w:i/>
          <w:iCs/>
          <w:sz w:val="18"/>
          <w:szCs w:val="18"/>
        </w:rPr>
        <w:t>C̃_t</w:t>
      </w:r>
      <w:proofErr w:type="spellEnd"/>
      <w:r>
        <w:rPr>
          <w:i/>
          <w:iCs/>
          <w:sz w:val="18"/>
          <w:szCs w:val="18"/>
        </w:rPr>
        <w:t xml:space="preserve">     …(4)</w:t>
      </w:r>
    </w:p>
    <w:p w14:paraId="72060759" w14:textId="77777777" w:rsidR="00EF761D" w:rsidRDefault="00FA4F3B" w:rsidP="00960E44">
      <w:pPr>
        <w:spacing w:before="55" w:after="55"/>
        <w:jc w:val="center"/>
      </w:pPr>
      <w:proofErr w:type="spellStart"/>
      <w:r>
        <w:rPr>
          <w:i/>
          <w:iCs/>
          <w:sz w:val="18"/>
          <w:szCs w:val="18"/>
        </w:rPr>
        <w:t>h_t</w:t>
      </w:r>
      <w:proofErr w:type="spellEnd"/>
      <w:r>
        <w:rPr>
          <w:i/>
          <w:iCs/>
          <w:sz w:val="18"/>
          <w:szCs w:val="18"/>
        </w:rPr>
        <w:t xml:space="preserve"> = σ(</w:t>
      </w:r>
      <w:proofErr w:type="spellStart"/>
      <w:r>
        <w:rPr>
          <w:i/>
          <w:iCs/>
          <w:sz w:val="18"/>
          <w:szCs w:val="18"/>
        </w:rPr>
        <w:t>W_o</w:t>
      </w:r>
      <w:proofErr w:type="spellEnd"/>
      <w:r>
        <w:rPr>
          <w:i/>
          <w:iCs/>
          <w:sz w:val="18"/>
          <w:szCs w:val="18"/>
        </w:rPr>
        <w:t xml:space="preserve"> · [h_{t-1}, </w:t>
      </w:r>
      <w:proofErr w:type="spellStart"/>
      <w:r>
        <w:rPr>
          <w:i/>
          <w:iCs/>
          <w:sz w:val="18"/>
          <w:szCs w:val="18"/>
        </w:rPr>
        <w:t>x_t</w:t>
      </w:r>
      <w:proofErr w:type="spellEnd"/>
      <w:r>
        <w:rPr>
          <w:i/>
          <w:iCs/>
          <w:sz w:val="18"/>
          <w:szCs w:val="18"/>
        </w:rPr>
        <w:t xml:space="preserve">] + </w:t>
      </w:r>
      <w:proofErr w:type="spellStart"/>
      <w:r>
        <w:rPr>
          <w:i/>
          <w:iCs/>
          <w:sz w:val="18"/>
          <w:szCs w:val="18"/>
        </w:rPr>
        <w:t>b_o</w:t>
      </w:r>
      <w:proofErr w:type="spellEnd"/>
      <w:r>
        <w:rPr>
          <w:i/>
          <w:iCs/>
          <w:sz w:val="18"/>
          <w:szCs w:val="18"/>
        </w:rPr>
        <w:t>) ⊙ tanh(</w:t>
      </w:r>
      <w:proofErr w:type="spellStart"/>
      <w:r>
        <w:rPr>
          <w:i/>
          <w:iCs/>
          <w:sz w:val="18"/>
          <w:szCs w:val="18"/>
        </w:rPr>
        <w:t>C_t</w:t>
      </w:r>
      <w:proofErr w:type="spellEnd"/>
      <w:r>
        <w:rPr>
          <w:i/>
          <w:iCs/>
          <w:sz w:val="18"/>
          <w:szCs w:val="18"/>
        </w:rPr>
        <w:t>)     …(5)</w:t>
      </w:r>
    </w:p>
    <w:p w14:paraId="6C54D791" w14:textId="77777777" w:rsidR="00EF761D" w:rsidRDefault="00FA4F3B" w:rsidP="006D2DD3">
      <w:pPr>
        <w:spacing w:after="72"/>
        <w:ind w:firstLine="360"/>
        <w:jc w:val="both"/>
      </w:pPr>
      <w:r>
        <w:rPr>
          <w:color w:val="000000"/>
        </w:rPr>
        <w:t xml:space="preserve">Here </w:t>
      </w:r>
      <w:proofErr w:type="spellStart"/>
      <w:r>
        <w:rPr>
          <w:color w:val="000000"/>
        </w:rPr>
        <w:t>f_t</w:t>
      </w:r>
      <w:proofErr w:type="spellEnd"/>
      <w:r>
        <w:rPr>
          <w:color w:val="000000"/>
        </w:rPr>
        <w:t xml:space="preserve">, </w:t>
      </w:r>
      <w:proofErr w:type="spellStart"/>
      <w:r>
        <w:rPr>
          <w:color w:val="000000"/>
        </w:rPr>
        <w:t>i_t</w:t>
      </w:r>
      <w:proofErr w:type="spellEnd"/>
      <w:r>
        <w:rPr>
          <w:color w:val="000000"/>
        </w:rPr>
        <w:t xml:space="preserve">, and the output gate control what information is retained, written, and read from the cell state </w:t>
      </w:r>
      <w:proofErr w:type="spellStart"/>
      <w:r>
        <w:rPr>
          <w:color w:val="000000"/>
        </w:rPr>
        <w:t>C_t</w:t>
      </w:r>
      <w:proofErr w:type="spellEnd"/>
      <w:r>
        <w:rPr>
          <w:color w:val="000000"/>
        </w:rPr>
        <w:t xml:space="preserve"> at each timestep. The model was trained using the Adam optimizer (learning rate 0.001), MSE loss, and early stopping with a patience of 15 epochs. It produces 7-day and 30-day ahead forecasts with 80% and 95% confidence intervals, displayed as shaded bands on the farmer dashboard.</w:t>
      </w:r>
    </w:p>
    <w:p w14:paraId="0DDEC7A5" w14:textId="77777777" w:rsidR="00EF761D" w:rsidRDefault="00FA4F3B" w:rsidP="006D2DD3">
      <w:pPr>
        <w:spacing w:before="100" w:after="50"/>
        <w:jc w:val="both"/>
      </w:pPr>
      <w:r>
        <w:rPr>
          <w:b/>
          <w:bCs/>
          <w:i/>
          <w:iCs/>
        </w:rPr>
        <w:t>C. Blockchain Smart Contracts</w:t>
      </w:r>
    </w:p>
    <w:p w14:paraId="7D323566" w14:textId="77777777" w:rsidR="00923070" w:rsidRDefault="00923070" w:rsidP="006D2DD3">
      <w:pPr>
        <w:spacing w:after="72"/>
        <w:ind w:firstLine="360"/>
        <w:jc w:val="both"/>
        <w:rPr>
          <w:color w:val="000000"/>
        </w:rPr>
      </w:pPr>
      <w:r w:rsidRPr="00923070">
        <w:rPr>
          <w:color w:val="000000"/>
        </w:rPr>
        <w:t xml:space="preserve">Every trade agreement executed via the VCIS platform is encoded on the Ethereum blockchain through an Ethereum Solidity Smart Contract. Each trade agreement contains the following essential information: the agreed upon type of commodity, the quality grading of the commodity based on AGMARK Classification, the quantity of the commodity (in quintals) to be delivered, the price per unit (in INR) of the commodity, the estimated delivery date of the commodity, the total amount of funds that are locked in escrow as payment for the purchase of the commodity, and the timeout period associated with a dispute. After both the buyer and seller digitally sign the agreement via the VCIS user interface, it is deployed to the Ethereum blockchain, and the buyer's payment is placed in </w:t>
      </w:r>
      <w:r w:rsidRPr="00923070">
        <w:rPr>
          <w:color w:val="000000"/>
        </w:rPr>
        <w:t>escrow with the smart contract thus, the payment is not held by a third party.</w:t>
      </w:r>
    </w:p>
    <w:p w14:paraId="5D50E02D" w14:textId="7BBBF87E" w:rsidR="00EF761D" w:rsidRDefault="00923070" w:rsidP="006D2DD3">
      <w:pPr>
        <w:spacing w:after="72"/>
        <w:ind w:firstLine="360"/>
        <w:jc w:val="both"/>
      </w:pPr>
      <w:r w:rsidRPr="00923070">
        <w:rPr>
          <w:color w:val="000000"/>
        </w:rPr>
        <w:t>When payment is made: (a) the buyer confirms the receipt of the goods on the platform, (b) an IoT-enabled warehouse receipt system marks delivery as complete, or (c) the delivery date expires without any disputes. If the seller does not deliver by the specified date, the funds will automatically revert to the buyer from the escrow account. This design eliminates both payment delays and issues of mutual distrust in one fell swoop. An accurate ledger of every change made to each contract's state (creation, signing, delivery confirmation, settlement, and dispute resolution) will be posted to the blockchain as an immutable historical record for trustworthiness gives all regulators the same access to this information through a complete trail of records.</w:t>
      </w:r>
    </w:p>
    <w:p w14:paraId="02B5145D" w14:textId="77777777" w:rsidR="00EF761D" w:rsidRDefault="00FA4F3B" w:rsidP="006D2DD3">
      <w:pPr>
        <w:spacing w:before="100" w:after="50"/>
        <w:jc w:val="both"/>
      </w:pPr>
      <w:r>
        <w:rPr>
          <w:b/>
          <w:bCs/>
          <w:i/>
          <w:iCs/>
        </w:rPr>
        <w:t>D. Export Opportunity Matching</w:t>
      </w:r>
    </w:p>
    <w:p w14:paraId="57C74C8F" w14:textId="77777777" w:rsidR="00C8426B" w:rsidRDefault="00C8426B" w:rsidP="006D2DD3">
      <w:pPr>
        <w:spacing w:before="55" w:after="55"/>
        <w:jc w:val="both"/>
        <w:rPr>
          <w:color w:val="000000"/>
        </w:rPr>
      </w:pPr>
      <w:r w:rsidRPr="00C8426B">
        <w:rPr>
          <w:color w:val="000000"/>
        </w:rPr>
        <w:t>The matching engine for exporting works every night with the most recent FAOSTAT and World Bank trade information. It will find a compatibility score to the registered international buyer's profile for every current high quality supplier business listing.</w:t>
      </w:r>
    </w:p>
    <w:p w14:paraId="24626174" w14:textId="7C90BD9E" w:rsidR="00EF761D" w:rsidRDefault="00FA4F3B" w:rsidP="006D2DD3">
      <w:pPr>
        <w:spacing w:before="55" w:after="55"/>
        <w:jc w:val="both"/>
      </w:pPr>
      <w:proofErr w:type="gramStart"/>
      <w:r>
        <w:rPr>
          <w:i/>
          <w:iCs/>
          <w:sz w:val="18"/>
          <w:szCs w:val="18"/>
        </w:rPr>
        <w:t>S(</w:t>
      </w:r>
      <w:proofErr w:type="spellStart"/>
      <w:proofErr w:type="gramEnd"/>
      <w:r>
        <w:rPr>
          <w:i/>
          <w:iCs/>
          <w:sz w:val="18"/>
          <w:szCs w:val="18"/>
        </w:rPr>
        <w:t>i</w:t>
      </w:r>
      <w:proofErr w:type="spellEnd"/>
      <w:r>
        <w:rPr>
          <w:i/>
          <w:iCs/>
          <w:sz w:val="18"/>
          <w:szCs w:val="18"/>
        </w:rPr>
        <w:t>, j) = α·Q(</w:t>
      </w:r>
      <w:proofErr w:type="spellStart"/>
      <w:proofErr w:type="gramStart"/>
      <w:r>
        <w:rPr>
          <w:i/>
          <w:iCs/>
          <w:sz w:val="18"/>
          <w:szCs w:val="18"/>
        </w:rPr>
        <w:t>i,j</w:t>
      </w:r>
      <w:proofErr w:type="spellEnd"/>
      <w:proofErr w:type="gramEnd"/>
      <w:r>
        <w:rPr>
          <w:i/>
          <w:iCs/>
          <w:sz w:val="18"/>
          <w:szCs w:val="18"/>
        </w:rPr>
        <w:t>) + β·P(</w:t>
      </w:r>
      <w:proofErr w:type="spellStart"/>
      <w:proofErr w:type="gramStart"/>
      <w:r>
        <w:rPr>
          <w:i/>
          <w:iCs/>
          <w:sz w:val="18"/>
          <w:szCs w:val="18"/>
        </w:rPr>
        <w:t>i,j</w:t>
      </w:r>
      <w:proofErr w:type="spellEnd"/>
      <w:proofErr w:type="gramEnd"/>
      <w:r>
        <w:rPr>
          <w:i/>
          <w:iCs/>
          <w:sz w:val="18"/>
          <w:szCs w:val="18"/>
        </w:rPr>
        <w:t xml:space="preserve">) + </w:t>
      </w:r>
      <w:proofErr w:type="spellStart"/>
      <w:r>
        <w:rPr>
          <w:i/>
          <w:iCs/>
          <w:sz w:val="18"/>
          <w:szCs w:val="18"/>
        </w:rPr>
        <w:t>γ·L</w:t>
      </w:r>
      <w:proofErr w:type="spellEnd"/>
      <w:r>
        <w:rPr>
          <w:i/>
          <w:iCs/>
          <w:sz w:val="18"/>
          <w:szCs w:val="18"/>
        </w:rPr>
        <w:t>(</w:t>
      </w:r>
      <w:proofErr w:type="spellStart"/>
      <w:proofErr w:type="gramStart"/>
      <w:r>
        <w:rPr>
          <w:i/>
          <w:iCs/>
          <w:sz w:val="18"/>
          <w:szCs w:val="18"/>
        </w:rPr>
        <w:t>i,j</w:t>
      </w:r>
      <w:proofErr w:type="spellEnd"/>
      <w:proofErr w:type="gramEnd"/>
      <w:r>
        <w:rPr>
          <w:i/>
          <w:iCs/>
          <w:sz w:val="18"/>
          <w:szCs w:val="18"/>
        </w:rPr>
        <w:t xml:space="preserve">) + </w:t>
      </w:r>
      <w:proofErr w:type="spellStart"/>
      <w:r>
        <w:rPr>
          <w:i/>
          <w:iCs/>
          <w:sz w:val="18"/>
          <w:szCs w:val="18"/>
        </w:rPr>
        <w:t>δ·C</w:t>
      </w:r>
      <w:proofErr w:type="spellEnd"/>
      <w:r>
        <w:rPr>
          <w:i/>
          <w:iCs/>
          <w:sz w:val="18"/>
          <w:szCs w:val="18"/>
        </w:rPr>
        <w:t>(</w:t>
      </w:r>
      <w:proofErr w:type="spellStart"/>
      <w:proofErr w:type="gramStart"/>
      <w:r>
        <w:rPr>
          <w:i/>
          <w:iCs/>
          <w:sz w:val="18"/>
          <w:szCs w:val="18"/>
        </w:rPr>
        <w:t>i,j</w:t>
      </w:r>
      <w:proofErr w:type="spellEnd"/>
      <w:proofErr w:type="gramEnd"/>
      <w:r>
        <w:rPr>
          <w:i/>
          <w:iCs/>
          <w:sz w:val="18"/>
          <w:szCs w:val="18"/>
        </w:rPr>
        <w:t xml:space="preserve">)     </w:t>
      </w:r>
      <w:proofErr w:type="gramStart"/>
      <w:r>
        <w:rPr>
          <w:i/>
          <w:iCs/>
          <w:sz w:val="18"/>
          <w:szCs w:val="18"/>
        </w:rPr>
        <w:t>…(</w:t>
      </w:r>
      <w:proofErr w:type="gramEnd"/>
      <w:r>
        <w:rPr>
          <w:i/>
          <w:iCs/>
          <w:sz w:val="18"/>
          <w:szCs w:val="18"/>
        </w:rPr>
        <w:t>6)</w:t>
      </w:r>
    </w:p>
    <w:p w14:paraId="6D4177C7" w14:textId="77777777" w:rsidR="00EF761D" w:rsidRDefault="00FA4F3B" w:rsidP="006D2DD3">
      <w:pPr>
        <w:spacing w:after="72"/>
        <w:ind w:firstLine="360"/>
        <w:jc w:val="both"/>
      </w:pPr>
      <w:r>
        <w:rPr>
          <w:color w:val="000000"/>
        </w:rPr>
        <w:t>where Q is quality-grade compatibility, P is price competitiveness relative to the buyer's target, L is logistics feasibility (based on origin-destination distance and available transport routes), and C is regulatory compliance readiness (export certification status). The weights α, β, γ, δ sum to 1.0 and are currently set to 0.35, 0.30, 0.20, 0.15 based on expert consultation with commodity traders; they are configurable by the platform administrator. Listings with S &gt; 0.75 are flagged as high-priority export opportunities and the farmer receives an automated alert with the matched buyer profile and recommended next steps (quality testing, certification body contact, logistics partner).</w:t>
      </w:r>
    </w:p>
    <w:p w14:paraId="039D08EE" w14:textId="77777777" w:rsidR="00EF761D" w:rsidRDefault="00FA4F3B" w:rsidP="006D2DD3">
      <w:pPr>
        <w:spacing w:before="100" w:after="50"/>
        <w:jc w:val="both"/>
      </w:pPr>
      <w:r>
        <w:rPr>
          <w:b/>
          <w:bCs/>
          <w:i/>
          <w:iCs/>
        </w:rPr>
        <w:t>E. Dashboard and Visualization</w:t>
      </w:r>
    </w:p>
    <w:p w14:paraId="3A6C3AB3" w14:textId="1CDBAC85" w:rsidR="00EF761D" w:rsidRDefault="00C8426B" w:rsidP="006D2DD3">
      <w:pPr>
        <w:spacing w:after="72"/>
        <w:ind w:firstLine="360"/>
        <w:jc w:val="both"/>
      </w:pPr>
      <w:r w:rsidRPr="00C8426B">
        <w:rPr>
          <w:color w:val="000000"/>
        </w:rPr>
        <w:t>We created role-based dashboards as opposed to a one-size-fits-all analytic report page. The Farmer Dashboard's main focus is on the LSTM Forecast Chart, clearly showing the projected direction of future prices for the next 7-30 days, as well as active buyer demand listings and any export opportunity alerts. The Buyer Dashboard is built with emphasis on supply available by region/grade. The Admin Dashboard has elements to monitor policy — including heat mapping and price trends by region; supply/demand balance indicators by commodity; and anomaly detection for price movement expectations vs. actual historical data. All charts are updated in near real-time using Chart.js and polling of the REST API every five minutes.</w:t>
      </w:r>
    </w:p>
    <w:p w14:paraId="6514AD42" w14:textId="77777777" w:rsidR="00EF761D" w:rsidRDefault="00FA4F3B" w:rsidP="006D2DD3">
      <w:pPr>
        <w:spacing w:before="150" w:after="70"/>
        <w:jc w:val="both"/>
      </w:pPr>
      <w:r>
        <w:rPr>
          <w:b/>
          <w:bCs/>
        </w:rPr>
        <w:t>V. DATASETS</w:t>
      </w:r>
    </w:p>
    <w:p w14:paraId="07071AE0" w14:textId="3AEA24B4" w:rsidR="00EF761D" w:rsidRDefault="00C8426B" w:rsidP="006D2DD3">
      <w:pPr>
        <w:jc w:val="both"/>
      </w:pPr>
      <w:r w:rsidRPr="00C8426B">
        <w:rPr>
          <w:color w:val="000000"/>
        </w:rPr>
        <w:t xml:space="preserve">The system utilizes five different types of data, shown in Table II. The historical price data from AGMARKNET, which runs from January 2018 until December 2023, will serve as the training dataset for the LSTM model. The dataset will have about 72 months of data (i.e., approximately 1560 data points of weekly prices per commodity) after preprocessing is performed. The LSTM model was ONLY trained using this dataset, and the 2024 dataset will NOT be used for training only for testing. </w:t>
      </w:r>
      <w:r w:rsidRPr="00C8426B">
        <w:rPr>
          <w:color w:val="000000"/>
        </w:rPr>
        <w:lastRenderedPageBreak/>
        <w:t>Preprocessing will involve the minimum-maximum normalization of the dataset to the [0,1] range, as well as the use of forward-fill imputation for the missing entries (e.g., when the market was closed for holidays or due to data not yet available) along with the use of STL seasonal decomposition to remove the trend and residual components of the data prior to their entering the LSTM input pipeline.</w:t>
      </w:r>
    </w:p>
    <w:p w14:paraId="369EC649" w14:textId="77777777" w:rsidR="00EF761D" w:rsidRDefault="00FA4F3B" w:rsidP="006D2DD3">
      <w:pPr>
        <w:spacing w:before="55" w:after="18"/>
        <w:jc w:val="both"/>
      </w:pPr>
      <w:r>
        <w:rPr>
          <w:b/>
          <w:bCs/>
          <w:color w:val="000000"/>
          <w:sz w:val="18"/>
          <w:szCs w:val="18"/>
        </w:rPr>
        <w:t>TABLE II</w:t>
      </w:r>
    </w:p>
    <w:p w14:paraId="0429C03B" w14:textId="77777777" w:rsidR="00EF761D" w:rsidRDefault="00FA4F3B" w:rsidP="006D2DD3">
      <w:pPr>
        <w:spacing w:after="65"/>
        <w:jc w:val="both"/>
      </w:pPr>
      <w:r>
        <w:rPr>
          <w:b/>
          <w:bCs/>
          <w:color w:val="000000"/>
          <w:sz w:val="18"/>
          <w:szCs w:val="18"/>
        </w:rPr>
        <w:t>Dataset Categories Used in VCIS</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550"/>
        <w:gridCol w:w="1700"/>
        <w:gridCol w:w="3750"/>
      </w:tblGrid>
      <w:tr w:rsidR="00EF761D" w14:paraId="37DB8339" w14:textId="77777777">
        <w:trPr>
          <w:tblHeader/>
        </w:trPr>
        <w:tc>
          <w:tcPr>
            <w:tcW w:w="1700" w:type="dxa"/>
            <w:tcBorders>
              <w:top w:val="single" w:sz="6" w:space="0" w:color="000000"/>
              <w:left w:val="single" w:sz="2" w:space="0" w:color="999999"/>
              <w:bottom w:val="single" w:sz="6" w:space="0" w:color="000000"/>
              <w:right w:val="single" w:sz="2" w:space="0" w:color="999999"/>
            </w:tcBorders>
            <w:shd w:val="clear" w:color="auto" w:fill="CCCCCC"/>
            <w:tcMar>
              <w:top w:w="50" w:type="dxa"/>
              <w:left w:w="75" w:type="dxa"/>
              <w:bottom w:w="50" w:type="dxa"/>
              <w:right w:w="75" w:type="dxa"/>
            </w:tcMar>
          </w:tcPr>
          <w:p w14:paraId="50C04584" w14:textId="77777777" w:rsidR="00EF761D" w:rsidRDefault="00FA4F3B" w:rsidP="006D2DD3">
            <w:pPr>
              <w:jc w:val="both"/>
            </w:pPr>
            <w:r>
              <w:rPr>
                <w:b/>
                <w:bCs/>
                <w:sz w:val="18"/>
                <w:szCs w:val="18"/>
              </w:rPr>
              <w:t>Dataset</w:t>
            </w:r>
          </w:p>
        </w:tc>
        <w:tc>
          <w:tcPr>
            <w:tcW w:w="1550" w:type="dxa"/>
            <w:tcBorders>
              <w:top w:val="single" w:sz="6" w:space="0" w:color="000000"/>
              <w:left w:val="single" w:sz="2" w:space="0" w:color="999999"/>
              <w:bottom w:val="single" w:sz="6" w:space="0" w:color="000000"/>
              <w:right w:val="single" w:sz="2" w:space="0" w:color="999999"/>
            </w:tcBorders>
            <w:shd w:val="clear" w:color="auto" w:fill="CCCCCC"/>
            <w:tcMar>
              <w:top w:w="50" w:type="dxa"/>
              <w:left w:w="75" w:type="dxa"/>
              <w:bottom w:w="50" w:type="dxa"/>
              <w:right w:w="75" w:type="dxa"/>
            </w:tcMar>
          </w:tcPr>
          <w:p w14:paraId="7B37A7A0" w14:textId="77777777" w:rsidR="00EF761D" w:rsidRDefault="00FA4F3B" w:rsidP="006D2DD3">
            <w:pPr>
              <w:jc w:val="both"/>
            </w:pPr>
            <w:r>
              <w:rPr>
                <w:b/>
                <w:bCs/>
                <w:sz w:val="18"/>
                <w:szCs w:val="18"/>
              </w:rPr>
              <w:t>Source</w:t>
            </w:r>
          </w:p>
        </w:tc>
        <w:tc>
          <w:tcPr>
            <w:tcW w:w="1700" w:type="dxa"/>
            <w:tcBorders>
              <w:top w:val="single" w:sz="6" w:space="0" w:color="000000"/>
              <w:left w:val="single" w:sz="2" w:space="0" w:color="999999"/>
              <w:bottom w:val="single" w:sz="6" w:space="0" w:color="000000"/>
              <w:right w:val="single" w:sz="2" w:space="0" w:color="999999"/>
            </w:tcBorders>
            <w:shd w:val="clear" w:color="auto" w:fill="CCCCCC"/>
            <w:tcMar>
              <w:top w:w="50" w:type="dxa"/>
              <w:left w:w="75" w:type="dxa"/>
              <w:bottom w:w="50" w:type="dxa"/>
              <w:right w:w="75" w:type="dxa"/>
            </w:tcMar>
          </w:tcPr>
          <w:p w14:paraId="21269AB1" w14:textId="77777777" w:rsidR="00EF761D" w:rsidRDefault="00FA4F3B" w:rsidP="006D2DD3">
            <w:pPr>
              <w:jc w:val="both"/>
            </w:pPr>
            <w:r>
              <w:rPr>
                <w:b/>
                <w:bCs/>
                <w:sz w:val="18"/>
                <w:szCs w:val="18"/>
              </w:rPr>
              <w:t>Frequency</w:t>
            </w:r>
          </w:p>
        </w:tc>
        <w:tc>
          <w:tcPr>
            <w:tcW w:w="3750" w:type="dxa"/>
            <w:tcBorders>
              <w:top w:val="single" w:sz="6" w:space="0" w:color="000000"/>
              <w:left w:val="single" w:sz="2" w:space="0" w:color="999999"/>
              <w:bottom w:val="single" w:sz="6" w:space="0" w:color="000000"/>
              <w:right w:val="single" w:sz="2" w:space="0" w:color="999999"/>
            </w:tcBorders>
            <w:shd w:val="clear" w:color="auto" w:fill="CCCCCC"/>
            <w:tcMar>
              <w:top w:w="50" w:type="dxa"/>
              <w:left w:w="75" w:type="dxa"/>
              <w:bottom w:w="50" w:type="dxa"/>
              <w:right w:w="75" w:type="dxa"/>
            </w:tcMar>
          </w:tcPr>
          <w:p w14:paraId="61092BA0" w14:textId="77777777" w:rsidR="00EF761D" w:rsidRDefault="00FA4F3B" w:rsidP="006D2DD3">
            <w:pPr>
              <w:jc w:val="both"/>
            </w:pPr>
            <w:r>
              <w:rPr>
                <w:b/>
                <w:bCs/>
                <w:sz w:val="18"/>
                <w:szCs w:val="18"/>
              </w:rPr>
              <w:t>Key Attributes</w:t>
            </w:r>
          </w:p>
        </w:tc>
      </w:tr>
      <w:tr w:rsidR="00EF761D" w14:paraId="75837E5E" w14:textId="77777777">
        <w:tc>
          <w:tcPr>
            <w:tcW w:w="1700" w:type="dxa"/>
            <w:tcBorders>
              <w:top w:val="single" w:sz="2" w:space="0" w:color="999999"/>
              <w:left w:val="single" w:sz="2" w:space="0" w:color="999999"/>
              <w:bottom w:val="single" w:sz="2" w:space="0" w:color="999999"/>
              <w:right w:val="single" w:sz="2" w:space="0" w:color="999999"/>
            </w:tcBorders>
            <w:shd w:val="clear" w:color="auto" w:fill="F6F6F6"/>
            <w:tcMar>
              <w:top w:w="40" w:type="dxa"/>
              <w:left w:w="75" w:type="dxa"/>
              <w:bottom w:w="40" w:type="dxa"/>
              <w:right w:w="75" w:type="dxa"/>
            </w:tcMar>
          </w:tcPr>
          <w:p w14:paraId="7B460356" w14:textId="77777777" w:rsidR="00EF761D" w:rsidRDefault="00FA4F3B" w:rsidP="006D2DD3">
            <w:pPr>
              <w:jc w:val="both"/>
            </w:pPr>
            <w:r>
              <w:rPr>
                <w:sz w:val="18"/>
                <w:szCs w:val="18"/>
              </w:rPr>
              <w:t>Farmer &amp; Product</w:t>
            </w:r>
          </w:p>
        </w:tc>
        <w:tc>
          <w:tcPr>
            <w:tcW w:w="1550" w:type="dxa"/>
            <w:tcBorders>
              <w:top w:val="single" w:sz="2" w:space="0" w:color="999999"/>
              <w:left w:val="single" w:sz="2" w:space="0" w:color="999999"/>
              <w:bottom w:val="single" w:sz="2" w:space="0" w:color="999999"/>
              <w:right w:val="single" w:sz="2" w:space="0" w:color="999999"/>
            </w:tcBorders>
            <w:shd w:val="clear" w:color="auto" w:fill="F6F6F6"/>
            <w:tcMar>
              <w:top w:w="40" w:type="dxa"/>
              <w:left w:w="75" w:type="dxa"/>
              <w:bottom w:w="40" w:type="dxa"/>
              <w:right w:w="75" w:type="dxa"/>
            </w:tcMar>
          </w:tcPr>
          <w:p w14:paraId="47FAEE15" w14:textId="77777777" w:rsidR="00EF761D" w:rsidRDefault="00FA4F3B" w:rsidP="006D2DD3">
            <w:pPr>
              <w:jc w:val="both"/>
            </w:pPr>
            <w:r>
              <w:rPr>
                <w:sz w:val="18"/>
                <w:szCs w:val="18"/>
              </w:rPr>
              <w:t>Platform registration</w:t>
            </w:r>
          </w:p>
        </w:tc>
        <w:tc>
          <w:tcPr>
            <w:tcW w:w="1700" w:type="dxa"/>
            <w:tcBorders>
              <w:top w:val="single" w:sz="2" w:space="0" w:color="999999"/>
              <w:left w:val="single" w:sz="2" w:space="0" w:color="999999"/>
              <w:bottom w:val="single" w:sz="2" w:space="0" w:color="999999"/>
              <w:right w:val="single" w:sz="2" w:space="0" w:color="999999"/>
            </w:tcBorders>
            <w:shd w:val="clear" w:color="auto" w:fill="F6F6F6"/>
            <w:tcMar>
              <w:top w:w="40" w:type="dxa"/>
              <w:left w:w="75" w:type="dxa"/>
              <w:bottom w:w="40" w:type="dxa"/>
              <w:right w:w="75" w:type="dxa"/>
            </w:tcMar>
          </w:tcPr>
          <w:p w14:paraId="008C6E6E" w14:textId="77777777" w:rsidR="00EF761D" w:rsidRDefault="00FA4F3B" w:rsidP="006D2DD3">
            <w:pPr>
              <w:jc w:val="both"/>
            </w:pPr>
            <w:r>
              <w:rPr>
                <w:sz w:val="18"/>
                <w:szCs w:val="18"/>
              </w:rPr>
              <w:t>Per listing</w:t>
            </w:r>
          </w:p>
        </w:tc>
        <w:tc>
          <w:tcPr>
            <w:tcW w:w="3750" w:type="dxa"/>
            <w:tcBorders>
              <w:top w:val="single" w:sz="2" w:space="0" w:color="999999"/>
              <w:left w:val="single" w:sz="2" w:space="0" w:color="999999"/>
              <w:bottom w:val="single" w:sz="2" w:space="0" w:color="999999"/>
              <w:right w:val="single" w:sz="2" w:space="0" w:color="999999"/>
            </w:tcBorders>
            <w:shd w:val="clear" w:color="auto" w:fill="F6F6F6"/>
            <w:tcMar>
              <w:top w:w="40" w:type="dxa"/>
              <w:left w:w="75" w:type="dxa"/>
              <w:bottom w:w="40" w:type="dxa"/>
              <w:right w:w="75" w:type="dxa"/>
            </w:tcMar>
          </w:tcPr>
          <w:p w14:paraId="26751A6D" w14:textId="77777777" w:rsidR="00EF761D" w:rsidRDefault="00FA4F3B" w:rsidP="006D2DD3">
            <w:pPr>
              <w:jc w:val="both"/>
            </w:pPr>
            <w:r>
              <w:rPr>
                <w:sz w:val="18"/>
                <w:szCs w:val="18"/>
              </w:rPr>
              <w:t>By-product type, qty, quality, region, harvest season</w:t>
            </w:r>
          </w:p>
        </w:tc>
      </w:tr>
      <w:tr w:rsidR="00EF761D" w14:paraId="5D0BA4B8" w14:textId="77777777">
        <w:tc>
          <w:tcPr>
            <w:tcW w:w="1700" w:type="dxa"/>
            <w:tcBorders>
              <w:top w:val="single" w:sz="2" w:space="0" w:color="999999"/>
              <w:left w:val="single" w:sz="2" w:space="0" w:color="999999"/>
              <w:bottom w:val="single" w:sz="2" w:space="0" w:color="999999"/>
              <w:right w:val="single" w:sz="2" w:space="0" w:color="999999"/>
            </w:tcBorders>
            <w:shd w:val="clear" w:color="auto" w:fill="FFFFFF"/>
            <w:tcMar>
              <w:top w:w="40" w:type="dxa"/>
              <w:left w:w="75" w:type="dxa"/>
              <w:bottom w:w="40" w:type="dxa"/>
              <w:right w:w="75" w:type="dxa"/>
            </w:tcMar>
          </w:tcPr>
          <w:p w14:paraId="5093DF62" w14:textId="77777777" w:rsidR="00EF761D" w:rsidRDefault="00FA4F3B" w:rsidP="006D2DD3">
            <w:pPr>
              <w:jc w:val="both"/>
            </w:pPr>
            <w:r>
              <w:rPr>
                <w:sz w:val="18"/>
                <w:szCs w:val="18"/>
              </w:rPr>
              <w:t>Market Prices</w:t>
            </w:r>
          </w:p>
        </w:tc>
        <w:tc>
          <w:tcPr>
            <w:tcW w:w="1550" w:type="dxa"/>
            <w:tcBorders>
              <w:top w:val="single" w:sz="2" w:space="0" w:color="999999"/>
              <w:left w:val="single" w:sz="2" w:space="0" w:color="999999"/>
              <w:bottom w:val="single" w:sz="2" w:space="0" w:color="999999"/>
              <w:right w:val="single" w:sz="2" w:space="0" w:color="999999"/>
            </w:tcBorders>
            <w:shd w:val="clear" w:color="auto" w:fill="FFFFFF"/>
            <w:tcMar>
              <w:top w:w="40" w:type="dxa"/>
              <w:left w:w="75" w:type="dxa"/>
              <w:bottom w:w="40" w:type="dxa"/>
              <w:right w:w="75" w:type="dxa"/>
            </w:tcMar>
          </w:tcPr>
          <w:p w14:paraId="53EDA52B" w14:textId="77777777" w:rsidR="00EF761D" w:rsidRDefault="00FA4F3B" w:rsidP="006D2DD3">
            <w:pPr>
              <w:jc w:val="both"/>
            </w:pPr>
            <w:r>
              <w:rPr>
                <w:sz w:val="18"/>
                <w:szCs w:val="18"/>
              </w:rPr>
              <w:t>AGMARKNET, NCDEX</w:t>
            </w:r>
          </w:p>
        </w:tc>
        <w:tc>
          <w:tcPr>
            <w:tcW w:w="1700" w:type="dxa"/>
            <w:tcBorders>
              <w:top w:val="single" w:sz="2" w:space="0" w:color="999999"/>
              <w:left w:val="single" w:sz="2" w:space="0" w:color="999999"/>
              <w:bottom w:val="single" w:sz="2" w:space="0" w:color="999999"/>
              <w:right w:val="single" w:sz="2" w:space="0" w:color="999999"/>
            </w:tcBorders>
            <w:shd w:val="clear" w:color="auto" w:fill="FFFFFF"/>
            <w:tcMar>
              <w:top w:w="40" w:type="dxa"/>
              <w:left w:w="75" w:type="dxa"/>
              <w:bottom w:w="40" w:type="dxa"/>
              <w:right w:w="75" w:type="dxa"/>
            </w:tcMar>
          </w:tcPr>
          <w:p w14:paraId="5EE6320B" w14:textId="77777777" w:rsidR="00EF761D" w:rsidRDefault="00FA4F3B" w:rsidP="006D2DD3">
            <w:pPr>
              <w:jc w:val="both"/>
            </w:pPr>
            <w:r>
              <w:rPr>
                <w:sz w:val="18"/>
                <w:szCs w:val="18"/>
              </w:rPr>
              <w:t>Daily</w:t>
            </w:r>
          </w:p>
        </w:tc>
        <w:tc>
          <w:tcPr>
            <w:tcW w:w="3750" w:type="dxa"/>
            <w:tcBorders>
              <w:top w:val="single" w:sz="2" w:space="0" w:color="999999"/>
              <w:left w:val="single" w:sz="2" w:space="0" w:color="999999"/>
              <w:bottom w:val="single" w:sz="2" w:space="0" w:color="999999"/>
              <w:right w:val="single" w:sz="2" w:space="0" w:color="999999"/>
            </w:tcBorders>
            <w:shd w:val="clear" w:color="auto" w:fill="FFFFFF"/>
            <w:tcMar>
              <w:top w:w="40" w:type="dxa"/>
              <w:left w:w="75" w:type="dxa"/>
              <w:bottom w:w="40" w:type="dxa"/>
              <w:right w:w="75" w:type="dxa"/>
            </w:tcMar>
          </w:tcPr>
          <w:p w14:paraId="401ABE84" w14:textId="77777777" w:rsidR="00EF761D" w:rsidRDefault="00FA4F3B" w:rsidP="006D2DD3">
            <w:pPr>
              <w:jc w:val="both"/>
            </w:pPr>
            <w:r>
              <w:rPr>
                <w:sz w:val="18"/>
                <w:szCs w:val="18"/>
              </w:rPr>
              <w:t>Mandi, commodity, min/max/modal price, date, district</w:t>
            </w:r>
          </w:p>
        </w:tc>
      </w:tr>
      <w:tr w:rsidR="00EF761D" w14:paraId="0EFB88A6" w14:textId="77777777">
        <w:tc>
          <w:tcPr>
            <w:tcW w:w="1700" w:type="dxa"/>
            <w:tcBorders>
              <w:top w:val="single" w:sz="2" w:space="0" w:color="999999"/>
              <w:left w:val="single" w:sz="2" w:space="0" w:color="999999"/>
              <w:bottom w:val="single" w:sz="2" w:space="0" w:color="999999"/>
              <w:right w:val="single" w:sz="2" w:space="0" w:color="999999"/>
            </w:tcBorders>
            <w:shd w:val="clear" w:color="auto" w:fill="F6F6F6"/>
            <w:tcMar>
              <w:top w:w="40" w:type="dxa"/>
              <w:left w:w="75" w:type="dxa"/>
              <w:bottom w:w="40" w:type="dxa"/>
              <w:right w:w="75" w:type="dxa"/>
            </w:tcMar>
          </w:tcPr>
          <w:p w14:paraId="22BB0DB9" w14:textId="77777777" w:rsidR="00EF761D" w:rsidRDefault="00FA4F3B" w:rsidP="006D2DD3">
            <w:pPr>
              <w:jc w:val="both"/>
            </w:pPr>
            <w:r>
              <w:rPr>
                <w:sz w:val="18"/>
                <w:szCs w:val="18"/>
              </w:rPr>
              <w:t>Transactions</w:t>
            </w:r>
          </w:p>
        </w:tc>
        <w:tc>
          <w:tcPr>
            <w:tcW w:w="1550" w:type="dxa"/>
            <w:tcBorders>
              <w:top w:val="single" w:sz="2" w:space="0" w:color="999999"/>
              <w:left w:val="single" w:sz="2" w:space="0" w:color="999999"/>
              <w:bottom w:val="single" w:sz="2" w:space="0" w:color="999999"/>
              <w:right w:val="single" w:sz="2" w:space="0" w:color="999999"/>
            </w:tcBorders>
            <w:shd w:val="clear" w:color="auto" w:fill="F6F6F6"/>
            <w:tcMar>
              <w:top w:w="40" w:type="dxa"/>
              <w:left w:w="75" w:type="dxa"/>
              <w:bottom w:w="40" w:type="dxa"/>
              <w:right w:w="75" w:type="dxa"/>
            </w:tcMar>
          </w:tcPr>
          <w:p w14:paraId="7D0A34BD" w14:textId="77777777" w:rsidR="00EF761D" w:rsidRDefault="00FA4F3B" w:rsidP="006D2DD3">
            <w:pPr>
              <w:jc w:val="both"/>
            </w:pPr>
            <w:r>
              <w:rPr>
                <w:sz w:val="18"/>
                <w:szCs w:val="18"/>
              </w:rPr>
              <w:t>Platform logs</w:t>
            </w:r>
          </w:p>
        </w:tc>
        <w:tc>
          <w:tcPr>
            <w:tcW w:w="1700" w:type="dxa"/>
            <w:tcBorders>
              <w:top w:val="single" w:sz="2" w:space="0" w:color="999999"/>
              <w:left w:val="single" w:sz="2" w:space="0" w:color="999999"/>
              <w:bottom w:val="single" w:sz="2" w:space="0" w:color="999999"/>
              <w:right w:val="single" w:sz="2" w:space="0" w:color="999999"/>
            </w:tcBorders>
            <w:shd w:val="clear" w:color="auto" w:fill="F6F6F6"/>
            <w:tcMar>
              <w:top w:w="40" w:type="dxa"/>
              <w:left w:w="75" w:type="dxa"/>
              <w:bottom w:w="40" w:type="dxa"/>
              <w:right w:w="75" w:type="dxa"/>
            </w:tcMar>
          </w:tcPr>
          <w:p w14:paraId="0B964241" w14:textId="77777777" w:rsidR="00EF761D" w:rsidRDefault="00FA4F3B" w:rsidP="006D2DD3">
            <w:pPr>
              <w:jc w:val="both"/>
            </w:pPr>
            <w:r>
              <w:rPr>
                <w:sz w:val="18"/>
                <w:szCs w:val="18"/>
              </w:rPr>
              <w:t>Per trade</w:t>
            </w:r>
          </w:p>
        </w:tc>
        <w:tc>
          <w:tcPr>
            <w:tcW w:w="3750" w:type="dxa"/>
            <w:tcBorders>
              <w:top w:val="single" w:sz="2" w:space="0" w:color="999999"/>
              <w:left w:val="single" w:sz="2" w:space="0" w:color="999999"/>
              <w:bottom w:val="single" w:sz="2" w:space="0" w:color="999999"/>
              <w:right w:val="single" w:sz="2" w:space="0" w:color="999999"/>
            </w:tcBorders>
            <w:shd w:val="clear" w:color="auto" w:fill="F6F6F6"/>
            <w:tcMar>
              <w:top w:w="40" w:type="dxa"/>
              <w:left w:w="75" w:type="dxa"/>
              <w:bottom w:w="40" w:type="dxa"/>
              <w:right w:w="75" w:type="dxa"/>
            </w:tcMar>
          </w:tcPr>
          <w:p w14:paraId="1E787A60" w14:textId="77777777" w:rsidR="00EF761D" w:rsidRDefault="00FA4F3B" w:rsidP="006D2DD3">
            <w:pPr>
              <w:jc w:val="both"/>
            </w:pPr>
            <w:r>
              <w:rPr>
                <w:sz w:val="18"/>
                <w:szCs w:val="18"/>
              </w:rPr>
              <w:t>Order ID, parties, quantity, price, payment &amp; delivery status</w:t>
            </w:r>
          </w:p>
        </w:tc>
      </w:tr>
      <w:tr w:rsidR="00EF761D" w14:paraId="08172CE0" w14:textId="77777777">
        <w:tc>
          <w:tcPr>
            <w:tcW w:w="1700" w:type="dxa"/>
            <w:tcBorders>
              <w:top w:val="single" w:sz="2" w:space="0" w:color="999999"/>
              <w:left w:val="single" w:sz="2" w:space="0" w:color="999999"/>
              <w:bottom w:val="single" w:sz="2" w:space="0" w:color="999999"/>
              <w:right w:val="single" w:sz="2" w:space="0" w:color="999999"/>
            </w:tcBorders>
            <w:shd w:val="clear" w:color="auto" w:fill="FFFFFF"/>
            <w:tcMar>
              <w:top w:w="40" w:type="dxa"/>
              <w:left w:w="75" w:type="dxa"/>
              <w:bottom w:w="40" w:type="dxa"/>
              <w:right w:w="75" w:type="dxa"/>
            </w:tcMar>
          </w:tcPr>
          <w:p w14:paraId="62B5FEA0" w14:textId="77777777" w:rsidR="00EF761D" w:rsidRDefault="00FA4F3B" w:rsidP="006D2DD3">
            <w:pPr>
              <w:jc w:val="both"/>
            </w:pPr>
            <w:r>
              <w:rPr>
                <w:sz w:val="18"/>
                <w:szCs w:val="18"/>
              </w:rPr>
              <w:t>Demand-Supply</w:t>
            </w:r>
          </w:p>
        </w:tc>
        <w:tc>
          <w:tcPr>
            <w:tcW w:w="1550" w:type="dxa"/>
            <w:tcBorders>
              <w:top w:val="single" w:sz="2" w:space="0" w:color="999999"/>
              <w:left w:val="single" w:sz="2" w:space="0" w:color="999999"/>
              <w:bottom w:val="single" w:sz="2" w:space="0" w:color="999999"/>
              <w:right w:val="single" w:sz="2" w:space="0" w:color="999999"/>
            </w:tcBorders>
            <w:shd w:val="clear" w:color="auto" w:fill="FFFFFF"/>
            <w:tcMar>
              <w:top w:w="40" w:type="dxa"/>
              <w:left w:w="75" w:type="dxa"/>
              <w:bottom w:w="40" w:type="dxa"/>
              <w:right w:w="75" w:type="dxa"/>
            </w:tcMar>
          </w:tcPr>
          <w:p w14:paraId="7AF63469" w14:textId="77777777" w:rsidR="00EF761D" w:rsidRDefault="00FA4F3B" w:rsidP="006D2DD3">
            <w:pPr>
              <w:jc w:val="both"/>
            </w:pPr>
            <w:r>
              <w:rPr>
                <w:sz w:val="18"/>
                <w:szCs w:val="18"/>
              </w:rPr>
              <w:t>OGD Portal, buyer listings</w:t>
            </w:r>
          </w:p>
        </w:tc>
        <w:tc>
          <w:tcPr>
            <w:tcW w:w="1700" w:type="dxa"/>
            <w:tcBorders>
              <w:top w:val="single" w:sz="2" w:space="0" w:color="999999"/>
              <w:left w:val="single" w:sz="2" w:space="0" w:color="999999"/>
              <w:bottom w:val="single" w:sz="2" w:space="0" w:color="999999"/>
              <w:right w:val="single" w:sz="2" w:space="0" w:color="999999"/>
            </w:tcBorders>
            <w:shd w:val="clear" w:color="auto" w:fill="FFFFFF"/>
            <w:tcMar>
              <w:top w:w="40" w:type="dxa"/>
              <w:left w:w="75" w:type="dxa"/>
              <w:bottom w:w="40" w:type="dxa"/>
              <w:right w:w="75" w:type="dxa"/>
            </w:tcMar>
          </w:tcPr>
          <w:p w14:paraId="52459CC0" w14:textId="77777777" w:rsidR="00EF761D" w:rsidRDefault="00FA4F3B" w:rsidP="006D2DD3">
            <w:pPr>
              <w:jc w:val="both"/>
            </w:pPr>
            <w:r>
              <w:rPr>
                <w:sz w:val="18"/>
                <w:szCs w:val="18"/>
              </w:rPr>
              <w:t>Weekly</w:t>
            </w:r>
          </w:p>
        </w:tc>
        <w:tc>
          <w:tcPr>
            <w:tcW w:w="3750" w:type="dxa"/>
            <w:tcBorders>
              <w:top w:val="single" w:sz="2" w:space="0" w:color="999999"/>
              <w:left w:val="single" w:sz="2" w:space="0" w:color="999999"/>
              <w:bottom w:val="single" w:sz="2" w:space="0" w:color="999999"/>
              <w:right w:val="single" w:sz="2" w:space="0" w:color="999999"/>
            </w:tcBorders>
            <w:shd w:val="clear" w:color="auto" w:fill="FFFFFF"/>
            <w:tcMar>
              <w:top w:w="40" w:type="dxa"/>
              <w:left w:w="75" w:type="dxa"/>
              <w:bottom w:w="40" w:type="dxa"/>
              <w:right w:w="75" w:type="dxa"/>
            </w:tcMar>
          </w:tcPr>
          <w:p w14:paraId="539B4E49" w14:textId="77777777" w:rsidR="00EF761D" w:rsidRDefault="00FA4F3B" w:rsidP="006D2DD3">
            <w:pPr>
              <w:jc w:val="both"/>
            </w:pPr>
            <w:r>
              <w:rPr>
                <w:sz w:val="18"/>
                <w:szCs w:val="18"/>
              </w:rPr>
              <w:t>Buyer demand volume, region, price range, grade specs</w:t>
            </w:r>
          </w:p>
        </w:tc>
      </w:tr>
      <w:tr w:rsidR="00EF761D" w14:paraId="6BC61F8D" w14:textId="77777777">
        <w:tc>
          <w:tcPr>
            <w:tcW w:w="1700" w:type="dxa"/>
            <w:tcBorders>
              <w:top w:val="single" w:sz="2" w:space="0" w:color="999999"/>
              <w:left w:val="single" w:sz="2" w:space="0" w:color="999999"/>
              <w:bottom w:val="single" w:sz="2" w:space="0" w:color="999999"/>
              <w:right w:val="single" w:sz="2" w:space="0" w:color="999999"/>
            </w:tcBorders>
            <w:shd w:val="clear" w:color="auto" w:fill="F6F6F6"/>
            <w:tcMar>
              <w:top w:w="40" w:type="dxa"/>
              <w:left w:w="75" w:type="dxa"/>
              <w:bottom w:w="40" w:type="dxa"/>
              <w:right w:w="75" w:type="dxa"/>
            </w:tcMar>
          </w:tcPr>
          <w:p w14:paraId="7C21457E" w14:textId="77777777" w:rsidR="00EF761D" w:rsidRDefault="00FA4F3B" w:rsidP="006D2DD3">
            <w:pPr>
              <w:jc w:val="both"/>
            </w:pPr>
            <w:r>
              <w:rPr>
                <w:b/>
                <w:bCs/>
                <w:sz w:val="18"/>
                <w:szCs w:val="18"/>
              </w:rPr>
              <w:t>Export Markets</w:t>
            </w:r>
          </w:p>
        </w:tc>
        <w:tc>
          <w:tcPr>
            <w:tcW w:w="1550" w:type="dxa"/>
            <w:tcBorders>
              <w:top w:val="single" w:sz="2" w:space="0" w:color="999999"/>
              <w:left w:val="single" w:sz="2" w:space="0" w:color="999999"/>
              <w:bottom w:val="single" w:sz="2" w:space="0" w:color="999999"/>
              <w:right w:val="single" w:sz="2" w:space="0" w:color="999999"/>
            </w:tcBorders>
            <w:shd w:val="clear" w:color="auto" w:fill="F6F6F6"/>
            <w:tcMar>
              <w:top w:w="40" w:type="dxa"/>
              <w:left w:w="75" w:type="dxa"/>
              <w:bottom w:w="40" w:type="dxa"/>
              <w:right w:w="75" w:type="dxa"/>
            </w:tcMar>
          </w:tcPr>
          <w:p w14:paraId="2373F4DA" w14:textId="77777777" w:rsidR="00EF761D" w:rsidRDefault="00FA4F3B" w:rsidP="006D2DD3">
            <w:pPr>
              <w:jc w:val="both"/>
            </w:pPr>
            <w:r>
              <w:rPr>
                <w:b/>
                <w:bCs/>
                <w:sz w:val="18"/>
                <w:szCs w:val="18"/>
              </w:rPr>
              <w:t>FAOSTAT, World Bank</w:t>
            </w:r>
          </w:p>
        </w:tc>
        <w:tc>
          <w:tcPr>
            <w:tcW w:w="1700" w:type="dxa"/>
            <w:tcBorders>
              <w:top w:val="single" w:sz="2" w:space="0" w:color="999999"/>
              <w:left w:val="single" w:sz="2" w:space="0" w:color="999999"/>
              <w:bottom w:val="single" w:sz="2" w:space="0" w:color="999999"/>
              <w:right w:val="single" w:sz="2" w:space="0" w:color="999999"/>
            </w:tcBorders>
            <w:shd w:val="clear" w:color="auto" w:fill="F6F6F6"/>
            <w:tcMar>
              <w:top w:w="40" w:type="dxa"/>
              <w:left w:w="75" w:type="dxa"/>
              <w:bottom w:w="40" w:type="dxa"/>
              <w:right w:w="75" w:type="dxa"/>
            </w:tcMar>
          </w:tcPr>
          <w:p w14:paraId="32850F43" w14:textId="77777777" w:rsidR="00EF761D" w:rsidRDefault="00FA4F3B" w:rsidP="006D2DD3">
            <w:pPr>
              <w:jc w:val="both"/>
            </w:pPr>
            <w:r>
              <w:rPr>
                <w:b/>
                <w:bCs/>
                <w:sz w:val="18"/>
                <w:szCs w:val="18"/>
              </w:rPr>
              <w:t>Monthly</w:t>
            </w:r>
          </w:p>
        </w:tc>
        <w:tc>
          <w:tcPr>
            <w:tcW w:w="3750" w:type="dxa"/>
            <w:tcBorders>
              <w:top w:val="single" w:sz="2" w:space="0" w:color="999999"/>
              <w:left w:val="single" w:sz="2" w:space="0" w:color="999999"/>
              <w:bottom w:val="single" w:sz="2" w:space="0" w:color="999999"/>
              <w:right w:val="single" w:sz="2" w:space="0" w:color="999999"/>
            </w:tcBorders>
            <w:shd w:val="clear" w:color="auto" w:fill="F6F6F6"/>
            <w:tcMar>
              <w:top w:w="40" w:type="dxa"/>
              <w:left w:w="75" w:type="dxa"/>
              <w:bottom w:w="40" w:type="dxa"/>
              <w:right w:w="75" w:type="dxa"/>
            </w:tcMar>
          </w:tcPr>
          <w:p w14:paraId="35A73C6E" w14:textId="77777777" w:rsidR="00EF761D" w:rsidRDefault="00FA4F3B" w:rsidP="006D2DD3">
            <w:pPr>
              <w:jc w:val="both"/>
            </w:pPr>
            <w:r>
              <w:rPr>
                <w:b/>
                <w:bCs/>
                <w:sz w:val="18"/>
                <w:szCs w:val="18"/>
              </w:rPr>
              <w:t>Global prices, importing countries, trade volumes, tariffs</w:t>
            </w:r>
          </w:p>
        </w:tc>
      </w:tr>
    </w:tbl>
    <w:p w14:paraId="2AB54B07" w14:textId="77777777" w:rsidR="00EF761D" w:rsidRDefault="00EF761D" w:rsidP="006D2DD3">
      <w:pPr>
        <w:jc w:val="both"/>
      </w:pPr>
    </w:p>
    <w:p w14:paraId="1536DA58" w14:textId="77777777" w:rsidR="00C8426B" w:rsidRDefault="00C8426B" w:rsidP="006D2DD3">
      <w:pPr>
        <w:spacing w:before="150" w:after="70"/>
        <w:jc w:val="both"/>
        <w:rPr>
          <w:color w:val="000000"/>
        </w:rPr>
      </w:pPr>
      <w:r w:rsidRPr="00C8426B">
        <w:rPr>
          <w:color w:val="000000"/>
        </w:rPr>
        <w:t>Data for the export markets has been provided by FAOSTAT [1] and the World Bank agriculture databases [2]. Data refreshes will occur on a monthly basis. Prior to allowing buyers to register for the platform, their registration will be verified against documentation for trade, which enhances the quality of the signal for the export matchmaking engine. The quality of registered participants (e.g., farmers and products) is a function of self-reported information collected during the initial registration process, in addition to limited spot-checking against government land records, where applicable.</w:t>
      </w:r>
    </w:p>
    <w:p w14:paraId="5079A685" w14:textId="0658BC27" w:rsidR="00EF761D" w:rsidRDefault="00FA4F3B" w:rsidP="006D2DD3">
      <w:pPr>
        <w:spacing w:before="150" w:after="70"/>
        <w:jc w:val="both"/>
      </w:pPr>
      <w:r>
        <w:rPr>
          <w:b/>
          <w:bCs/>
        </w:rPr>
        <w:t>VI. TECHNOLOGY STACK</w:t>
      </w:r>
    </w:p>
    <w:p w14:paraId="2EF5F499" w14:textId="746321F4" w:rsidR="00EF761D" w:rsidRDefault="00FA4F3B" w:rsidP="006D2DD3">
      <w:pPr>
        <w:spacing w:after="72"/>
        <w:ind w:firstLine="360"/>
        <w:jc w:val="both"/>
      </w:pPr>
      <w:r>
        <w:rPr>
          <w:color w:val="000000"/>
        </w:rPr>
        <w:t xml:space="preserve">Table III lays out the core technology choices for the VCIS. The stack was chosen to balance development speed, ecosystem maturity, and real-world </w:t>
      </w:r>
      <w:proofErr w:type="spellStart"/>
      <w:r>
        <w:rPr>
          <w:color w:val="000000"/>
        </w:rPr>
        <w:t>deployability</w:t>
      </w:r>
      <w:proofErr w:type="spellEnd"/>
      <w:r>
        <w:rPr>
          <w:color w:val="000000"/>
        </w:rPr>
        <w:t xml:space="preserve"> in Indian rural-urban connectivity conditions.</w:t>
      </w:r>
    </w:p>
    <w:p w14:paraId="0872A133" w14:textId="77777777" w:rsidR="00C8426B" w:rsidRDefault="00C8426B" w:rsidP="006D2DD3">
      <w:pPr>
        <w:spacing w:after="72"/>
        <w:ind w:firstLine="360"/>
        <w:jc w:val="both"/>
      </w:pPr>
    </w:p>
    <w:p w14:paraId="2CB560A2" w14:textId="77777777" w:rsidR="00EF761D" w:rsidRDefault="00FA4F3B" w:rsidP="006D2DD3">
      <w:pPr>
        <w:spacing w:before="55" w:after="18"/>
        <w:jc w:val="both"/>
      </w:pPr>
      <w:r>
        <w:rPr>
          <w:b/>
          <w:bCs/>
          <w:color w:val="000000"/>
          <w:sz w:val="18"/>
          <w:szCs w:val="18"/>
        </w:rPr>
        <w:t>TABLE III</w:t>
      </w:r>
    </w:p>
    <w:p w14:paraId="4548F287" w14:textId="77777777" w:rsidR="00EF761D" w:rsidRDefault="00FA4F3B" w:rsidP="006D2DD3">
      <w:pPr>
        <w:spacing w:after="65"/>
        <w:jc w:val="both"/>
      </w:pPr>
      <w:r>
        <w:rPr>
          <w:b/>
          <w:bCs/>
          <w:color w:val="000000"/>
          <w:sz w:val="18"/>
          <w:szCs w:val="18"/>
        </w:rPr>
        <w:t>VCIS Technology Stack</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700"/>
        <w:gridCol w:w="4500"/>
      </w:tblGrid>
      <w:tr w:rsidR="00EF761D" w14:paraId="32161576" w14:textId="77777777">
        <w:trPr>
          <w:tblHeader/>
        </w:trPr>
        <w:tc>
          <w:tcPr>
            <w:tcW w:w="1500" w:type="dxa"/>
            <w:tcBorders>
              <w:top w:val="single" w:sz="6" w:space="0" w:color="000000"/>
              <w:left w:val="single" w:sz="2" w:space="0" w:color="999999"/>
              <w:bottom w:val="single" w:sz="6" w:space="0" w:color="000000"/>
              <w:right w:val="single" w:sz="2" w:space="0" w:color="999999"/>
            </w:tcBorders>
            <w:shd w:val="clear" w:color="auto" w:fill="CCCCCC"/>
            <w:tcMar>
              <w:top w:w="50" w:type="dxa"/>
              <w:left w:w="75" w:type="dxa"/>
              <w:bottom w:w="50" w:type="dxa"/>
              <w:right w:w="75" w:type="dxa"/>
            </w:tcMar>
          </w:tcPr>
          <w:p w14:paraId="1A8D106B" w14:textId="77777777" w:rsidR="00EF761D" w:rsidRDefault="00FA4F3B" w:rsidP="006D2DD3">
            <w:pPr>
              <w:jc w:val="both"/>
            </w:pPr>
            <w:r>
              <w:rPr>
                <w:b/>
                <w:bCs/>
                <w:sz w:val="18"/>
                <w:szCs w:val="18"/>
              </w:rPr>
              <w:t>Component</w:t>
            </w:r>
          </w:p>
        </w:tc>
        <w:tc>
          <w:tcPr>
            <w:tcW w:w="2700" w:type="dxa"/>
            <w:tcBorders>
              <w:top w:val="single" w:sz="6" w:space="0" w:color="000000"/>
              <w:left w:val="single" w:sz="2" w:space="0" w:color="999999"/>
              <w:bottom w:val="single" w:sz="6" w:space="0" w:color="000000"/>
              <w:right w:val="single" w:sz="2" w:space="0" w:color="999999"/>
            </w:tcBorders>
            <w:shd w:val="clear" w:color="auto" w:fill="CCCCCC"/>
            <w:tcMar>
              <w:top w:w="50" w:type="dxa"/>
              <w:left w:w="75" w:type="dxa"/>
              <w:bottom w:w="50" w:type="dxa"/>
              <w:right w:w="75" w:type="dxa"/>
            </w:tcMar>
          </w:tcPr>
          <w:p w14:paraId="30BB9783" w14:textId="77777777" w:rsidR="00EF761D" w:rsidRDefault="00FA4F3B" w:rsidP="006D2DD3">
            <w:pPr>
              <w:jc w:val="both"/>
            </w:pPr>
            <w:r>
              <w:rPr>
                <w:b/>
                <w:bCs/>
                <w:sz w:val="18"/>
                <w:szCs w:val="18"/>
              </w:rPr>
              <w:t>Technology</w:t>
            </w:r>
          </w:p>
        </w:tc>
        <w:tc>
          <w:tcPr>
            <w:tcW w:w="4500" w:type="dxa"/>
            <w:tcBorders>
              <w:top w:val="single" w:sz="6" w:space="0" w:color="000000"/>
              <w:left w:val="single" w:sz="2" w:space="0" w:color="999999"/>
              <w:bottom w:val="single" w:sz="6" w:space="0" w:color="000000"/>
              <w:right w:val="single" w:sz="2" w:space="0" w:color="999999"/>
            </w:tcBorders>
            <w:shd w:val="clear" w:color="auto" w:fill="CCCCCC"/>
            <w:tcMar>
              <w:top w:w="50" w:type="dxa"/>
              <w:left w:w="75" w:type="dxa"/>
              <w:bottom w:w="50" w:type="dxa"/>
              <w:right w:w="75" w:type="dxa"/>
            </w:tcMar>
          </w:tcPr>
          <w:p w14:paraId="27B050BC" w14:textId="77777777" w:rsidR="00EF761D" w:rsidRDefault="00FA4F3B" w:rsidP="006D2DD3">
            <w:pPr>
              <w:jc w:val="both"/>
            </w:pPr>
            <w:r>
              <w:rPr>
                <w:b/>
                <w:bCs/>
                <w:sz w:val="18"/>
                <w:szCs w:val="18"/>
              </w:rPr>
              <w:t>Role in VCIS</w:t>
            </w:r>
          </w:p>
        </w:tc>
      </w:tr>
      <w:tr w:rsidR="00EF761D" w14:paraId="497CE3F3" w14:textId="77777777">
        <w:tc>
          <w:tcPr>
            <w:tcW w:w="1500" w:type="dxa"/>
            <w:tcBorders>
              <w:top w:val="single" w:sz="2" w:space="0" w:color="999999"/>
              <w:left w:val="single" w:sz="2" w:space="0" w:color="999999"/>
              <w:bottom w:val="single" w:sz="2" w:space="0" w:color="999999"/>
              <w:right w:val="single" w:sz="2" w:space="0" w:color="999999"/>
            </w:tcBorders>
            <w:shd w:val="clear" w:color="auto" w:fill="F6F6F6"/>
            <w:tcMar>
              <w:top w:w="40" w:type="dxa"/>
              <w:left w:w="75" w:type="dxa"/>
              <w:bottom w:w="40" w:type="dxa"/>
              <w:right w:w="75" w:type="dxa"/>
            </w:tcMar>
          </w:tcPr>
          <w:p w14:paraId="14422F8E" w14:textId="77777777" w:rsidR="00EF761D" w:rsidRDefault="00FA4F3B" w:rsidP="006D2DD3">
            <w:pPr>
              <w:jc w:val="both"/>
            </w:pPr>
            <w:r>
              <w:rPr>
                <w:sz w:val="18"/>
                <w:szCs w:val="18"/>
              </w:rPr>
              <w:t>Frontend</w:t>
            </w:r>
          </w:p>
        </w:tc>
        <w:tc>
          <w:tcPr>
            <w:tcW w:w="2700" w:type="dxa"/>
            <w:tcBorders>
              <w:top w:val="single" w:sz="2" w:space="0" w:color="999999"/>
              <w:left w:val="single" w:sz="2" w:space="0" w:color="999999"/>
              <w:bottom w:val="single" w:sz="2" w:space="0" w:color="999999"/>
              <w:right w:val="single" w:sz="2" w:space="0" w:color="999999"/>
            </w:tcBorders>
            <w:shd w:val="clear" w:color="auto" w:fill="F6F6F6"/>
            <w:tcMar>
              <w:top w:w="40" w:type="dxa"/>
              <w:left w:w="75" w:type="dxa"/>
              <w:bottom w:w="40" w:type="dxa"/>
              <w:right w:w="75" w:type="dxa"/>
            </w:tcMar>
          </w:tcPr>
          <w:p w14:paraId="4A270C57" w14:textId="77777777" w:rsidR="00EF761D" w:rsidRDefault="00FA4F3B" w:rsidP="006D2DD3">
            <w:pPr>
              <w:jc w:val="both"/>
            </w:pPr>
            <w:r>
              <w:rPr>
                <w:sz w:val="18"/>
                <w:szCs w:val="18"/>
              </w:rPr>
              <w:t>React.js, HTML5, CSS3</w:t>
            </w:r>
          </w:p>
        </w:tc>
        <w:tc>
          <w:tcPr>
            <w:tcW w:w="4500" w:type="dxa"/>
            <w:tcBorders>
              <w:top w:val="single" w:sz="2" w:space="0" w:color="999999"/>
              <w:left w:val="single" w:sz="2" w:space="0" w:color="999999"/>
              <w:bottom w:val="single" w:sz="2" w:space="0" w:color="999999"/>
              <w:right w:val="single" w:sz="2" w:space="0" w:color="999999"/>
            </w:tcBorders>
            <w:shd w:val="clear" w:color="auto" w:fill="F6F6F6"/>
            <w:tcMar>
              <w:top w:w="40" w:type="dxa"/>
              <w:left w:w="75" w:type="dxa"/>
              <w:bottom w:w="40" w:type="dxa"/>
              <w:right w:w="75" w:type="dxa"/>
            </w:tcMar>
          </w:tcPr>
          <w:p w14:paraId="57113075" w14:textId="77777777" w:rsidR="00EF761D" w:rsidRDefault="00FA4F3B" w:rsidP="006D2DD3">
            <w:pPr>
              <w:jc w:val="both"/>
            </w:pPr>
            <w:r>
              <w:rPr>
                <w:sz w:val="18"/>
                <w:szCs w:val="18"/>
              </w:rPr>
              <w:t>Farmer/buyer dashboards, marketplace listing UI, live charts</w:t>
            </w:r>
          </w:p>
        </w:tc>
      </w:tr>
      <w:tr w:rsidR="00EF761D" w14:paraId="24832442" w14:textId="77777777">
        <w:tc>
          <w:tcPr>
            <w:tcW w:w="1500" w:type="dxa"/>
            <w:tcBorders>
              <w:top w:val="single" w:sz="2" w:space="0" w:color="999999"/>
              <w:left w:val="single" w:sz="2" w:space="0" w:color="999999"/>
              <w:bottom w:val="single" w:sz="2" w:space="0" w:color="999999"/>
              <w:right w:val="single" w:sz="2" w:space="0" w:color="999999"/>
            </w:tcBorders>
            <w:shd w:val="clear" w:color="auto" w:fill="FFFFFF"/>
            <w:tcMar>
              <w:top w:w="40" w:type="dxa"/>
              <w:left w:w="75" w:type="dxa"/>
              <w:bottom w:w="40" w:type="dxa"/>
              <w:right w:w="75" w:type="dxa"/>
            </w:tcMar>
          </w:tcPr>
          <w:p w14:paraId="5741CD3F" w14:textId="77777777" w:rsidR="00EF761D" w:rsidRDefault="00FA4F3B" w:rsidP="006D2DD3">
            <w:pPr>
              <w:jc w:val="both"/>
            </w:pPr>
            <w:r>
              <w:rPr>
                <w:sz w:val="18"/>
                <w:szCs w:val="18"/>
              </w:rPr>
              <w:t>Backend</w:t>
            </w:r>
          </w:p>
        </w:tc>
        <w:tc>
          <w:tcPr>
            <w:tcW w:w="2700" w:type="dxa"/>
            <w:tcBorders>
              <w:top w:val="single" w:sz="2" w:space="0" w:color="999999"/>
              <w:left w:val="single" w:sz="2" w:space="0" w:color="999999"/>
              <w:bottom w:val="single" w:sz="2" w:space="0" w:color="999999"/>
              <w:right w:val="single" w:sz="2" w:space="0" w:color="999999"/>
            </w:tcBorders>
            <w:shd w:val="clear" w:color="auto" w:fill="FFFFFF"/>
            <w:tcMar>
              <w:top w:w="40" w:type="dxa"/>
              <w:left w:w="75" w:type="dxa"/>
              <w:bottom w:w="40" w:type="dxa"/>
              <w:right w:w="75" w:type="dxa"/>
            </w:tcMar>
          </w:tcPr>
          <w:p w14:paraId="126BE047" w14:textId="77777777" w:rsidR="00EF761D" w:rsidRDefault="00FA4F3B" w:rsidP="006D2DD3">
            <w:pPr>
              <w:jc w:val="both"/>
            </w:pPr>
            <w:r>
              <w:rPr>
                <w:sz w:val="18"/>
                <w:szCs w:val="18"/>
              </w:rPr>
              <w:t>Python (Flask/Django), Node.js</w:t>
            </w:r>
          </w:p>
        </w:tc>
        <w:tc>
          <w:tcPr>
            <w:tcW w:w="4500" w:type="dxa"/>
            <w:tcBorders>
              <w:top w:val="single" w:sz="2" w:space="0" w:color="999999"/>
              <w:left w:val="single" w:sz="2" w:space="0" w:color="999999"/>
              <w:bottom w:val="single" w:sz="2" w:space="0" w:color="999999"/>
              <w:right w:val="single" w:sz="2" w:space="0" w:color="999999"/>
            </w:tcBorders>
            <w:shd w:val="clear" w:color="auto" w:fill="FFFFFF"/>
            <w:tcMar>
              <w:top w:w="40" w:type="dxa"/>
              <w:left w:w="75" w:type="dxa"/>
              <w:bottom w:w="40" w:type="dxa"/>
              <w:right w:w="75" w:type="dxa"/>
            </w:tcMar>
          </w:tcPr>
          <w:p w14:paraId="4F87B6F8" w14:textId="77777777" w:rsidR="00EF761D" w:rsidRDefault="00FA4F3B" w:rsidP="006D2DD3">
            <w:pPr>
              <w:jc w:val="both"/>
            </w:pPr>
            <w:r>
              <w:rPr>
                <w:sz w:val="18"/>
                <w:szCs w:val="18"/>
              </w:rPr>
              <w:t>REST APIs, AI inference serving, role-based access control</w:t>
            </w:r>
          </w:p>
        </w:tc>
      </w:tr>
      <w:tr w:rsidR="00EF761D" w14:paraId="1CE44043" w14:textId="77777777">
        <w:tc>
          <w:tcPr>
            <w:tcW w:w="1500" w:type="dxa"/>
            <w:tcBorders>
              <w:top w:val="single" w:sz="2" w:space="0" w:color="999999"/>
              <w:left w:val="single" w:sz="2" w:space="0" w:color="999999"/>
              <w:bottom w:val="single" w:sz="2" w:space="0" w:color="999999"/>
              <w:right w:val="single" w:sz="2" w:space="0" w:color="999999"/>
            </w:tcBorders>
            <w:shd w:val="clear" w:color="auto" w:fill="F6F6F6"/>
            <w:tcMar>
              <w:top w:w="40" w:type="dxa"/>
              <w:left w:w="75" w:type="dxa"/>
              <w:bottom w:w="40" w:type="dxa"/>
              <w:right w:w="75" w:type="dxa"/>
            </w:tcMar>
          </w:tcPr>
          <w:p w14:paraId="5612BB7C" w14:textId="77777777" w:rsidR="00EF761D" w:rsidRDefault="00FA4F3B" w:rsidP="006D2DD3">
            <w:pPr>
              <w:jc w:val="both"/>
            </w:pPr>
            <w:r>
              <w:rPr>
                <w:sz w:val="18"/>
                <w:szCs w:val="18"/>
              </w:rPr>
              <w:t>Database</w:t>
            </w:r>
          </w:p>
        </w:tc>
        <w:tc>
          <w:tcPr>
            <w:tcW w:w="2700" w:type="dxa"/>
            <w:tcBorders>
              <w:top w:val="single" w:sz="2" w:space="0" w:color="999999"/>
              <w:left w:val="single" w:sz="2" w:space="0" w:color="999999"/>
              <w:bottom w:val="single" w:sz="2" w:space="0" w:color="999999"/>
              <w:right w:val="single" w:sz="2" w:space="0" w:color="999999"/>
            </w:tcBorders>
            <w:shd w:val="clear" w:color="auto" w:fill="F6F6F6"/>
            <w:tcMar>
              <w:top w:w="40" w:type="dxa"/>
              <w:left w:w="75" w:type="dxa"/>
              <w:bottom w:w="40" w:type="dxa"/>
              <w:right w:w="75" w:type="dxa"/>
            </w:tcMar>
          </w:tcPr>
          <w:p w14:paraId="27AF7723" w14:textId="77777777" w:rsidR="00EF761D" w:rsidRDefault="00FA4F3B" w:rsidP="006D2DD3">
            <w:pPr>
              <w:jc w:val="both"/>
            </w:pPr>
            <w:r>
              <w:rPr>
                <w:sz w:val="18"/>
                <w:szCs w:val="18"/>
              </w:rPr>
              <w:t>PostgreSQL</w:t>
            </w:r>
          </w:p>
        </w:tc>
        <w:tc>
          <w:tcPr>
            <w:tcW w:w="4500" w:type="dxa"/>
            <w:tcBorders>
              <w:top w:val="single" w:sz="2" w:space="0" w:color="999999"/>
              <w:left w:val="single" w:sz="2" w:space="0" w:color="999999"/>
              <w:bottom w:val="single" w:sz="2" w:space="0" w:color="999999"/>
              <w:right w:val="single" w:sz="2" w:space="0" w:color="999999"/>
            </w:tcBorders>
            <w:shd w:val="clear" w:color="auto" w:fill="F6F6F6"/>
            <w:tcMar>
              <w:top w:w="40" w:type="dxa"/>
              <w:left w:w="75" w:type="dxa"/>
              <w:bottom w:w="40" w:type="dxa"/>
              <w:right w:w="75" w:type="dxa"/>
            </w:tcMar>
          </w:tcPr>
          <w:p w14:paraId="117A538F" w14:textId="77777777" w:rsidR="00EF761D" w:rsidRDefault="00FA4F3B" w:rsidP="006D2DD3">
            <w:pPr>
              <w:jc w:val="both"/>
            </w:pPr>
            <w:r>
              <w:rPr>
                <w:sz w:val="18"/>
                <w:szCs w:val="18"/>
              </w:rPr>
              <w:t>Transactions, price records, user profiles, inventory data</w:t>
            </w:r>
          </w:p>
        </w:tc>
      </w:tr>
      <w:tr w:rsidR="00EF761D" w14:paraId="397B9777" w14:textId="77777777">
        <w:tc>
          <w:tcPr>
            <w:tcW w:w="1500" w:type="dxa"/>
            <w:tcBorders>
              <w:top w:val="single" w:sz="2" w:space="0" w:color="999999"/>
              <w:left w:val="single" w:sz="2" w:space="0" w:color="999999"/>
              <w:bottom w:val="single" w:sz="2" w:space="0" w:color="999999"/>
              <w:right w:val="single" w:sz="2" w:space="0" w:color="999999"/>
            </w:tcBorders>
            <w:shd w:val="clear" w:color="auto" w:fill="FFFFFF"/>
            <w:tcMar>
              <w:top w:w="40" w:type="dxa"/>
              <w:left w:w="75" w:type="dxa"/>
              <w:bottom w:w="40" w:type="dxa"/>
              <w:right w:w="75" w:type="dxa"/>
            </w:tcMar>
          </w:tcPr>
          <w:p w14:paraId="7B81FD5D" w14:textId="77777777" w:rsidR="00EF761D" w:rsidRDefault="00FA4F3B" w:rsidP="006D2DD3">
            <w:pPr>
              <w:jc w:val="both"/>
            </w:pPr>
            <w:r>
              <w:rPr>
                <w:sz w:val="18"/>
                <w:szCs w:val="18"/>
              </w:rPr>
              <w:t>AI / ML</w:t>
            </w:r>
          </w:p>
        </w:tc>
        <w:tc>
          <w:tcPr>
            <w:tcW w:w="2700" w:type="dxa"/>
            <w:tcBorders>
              <w:top w:val="single" w:sz="2" w:space="0" w:color="999999"/>
              <w:left w:val="single" w:sz="2" w:space="0" w:color="999999"/>
              <w:bottom w:val="single" w:sz="2" w:space="0" w:color="999999"/>
              <w:right w:val="single" w:sz="2" w:space="0" w:color="999999"/>
            </w:tcBorders>
            <w:shd w:val="clear" w:color="auto" w:fill="FFFFFF"/>
            <w:tcMar>
              <w:top w:w="40" w:type="dxa"/>
              <w:left w:w="75" w:type="dxa"/>
              <w:bottom w:w="40" w:type="dxa"/>
              <w:right w:w="75" w:type="dxa"/>
            </w:tcMar>
          </w:tcPr>
          <w:p w14:paraId="44E1CD60" w14:textId="77777777" w:rsidR="00EF761D" w:rsidRDefault="00FA4F3B" w:rsidP="006D2DD3">
            <w:pPr>
              <w:jc w:val="both"/>
            </w:pPr>
            <w:proofErr w:type="spellStart"/>
            <w:r>
              <w:rPr>
                <w:sz w:val="18"/>
                <w:szCs w:val="18"/>
              </w:rPr>
              <w:t>Keras</w:t>
            </w:r>
            <w:proofErr w:type="spellEnd"/>
            <w:r>
              <w:rPr>
                <w:sz w:val="18"/>
                <w:szCs w:val="18"/>
              </w:rPr>
              <w:t xml:space="preserve"> LSTM, Scikit-learn, Pandas</w:t>
            </w:r>
          </w:p>
        </w:tc>
        <w:tc>
          <w:tcPr>
            <w:tcW w:w="4500" w:type="dxa"/>
            <w:tcBorders>
              <w:top w:val="single" w:sz="2" w:space="0" w:color="999999"/>
              <w:left w:val="single" w:sz="2" w:space="0" w:color="999999"/>
              <w:bottom w:val="single" w:sz="2" w:space="0" w:color="999999"/>
              <w:right w:val="single" w:sz="2" w:space="0" w:color="999999"/>
            </w:tcBorders>
            <w:shd w:val="clear" w:color="auto" w:fill="FFFFFF"/>
            <w:tcMar>
              <w:top w:w="40" w:type="dxa"/>
              <w:left w:w="75" w:type="dxa"/>
              <w:bottom w:w="40" w:type="dxa"/>
              <w:right w:w="75" w:type="dxa"/>
            </w:tcMar>
          </w:tcPr>
          <w:p w14:paraId="2590A7A1" w14:textId="77777777" w:rsidR="00EF761D" w:rsidRDefault="00FA4F3B" w:rsidP="006D2DD3">
            <w:pPr>
              <w:jc w:val="both"/>
            </w:pPr>
            <w:r>
              <w:rPr>
                <w:sz w:val="18"/>
                <w:szCs w:val="18"/>
              </w:rPr>
              <w:t>Price forecasting (7-day, 30-day), demand trend analysis</w:t>
            </w:r>
          </w:p>
        </w:tc>
      </w:tr>
      <w:tr w:rsidR="00EF761D" w14:paraId="380F7103" w14:textId="77777777">
        <w:tc>
          <w:tcPr>
            <w:tcW w:w="1500" w:type="dxa"/>
            <w:tcBorders>
              <w:top w:val="single" w:sz="2" w:space="0" w:color="999999"/>
              <w:left w:val="single" w:sz="2" w:space="0" w:color="999999"/>
              <w:bottom w:val="single" w:sz="2" w:space="0" w:color="999999"/>
              <w:right w:val="single" w:sz="2" w:space="0" w:color="999999"/>
            </w:tcBorders>
            <w:shd w:val="clear" w:color="auto" w:fill="F6F6F6"/>
            <w:tcMar>
              <w:top w:w="40" w:type="dxa"/>
              <w:left w:w="75" w:type="dxa"/>
              <w:bottom w:w="40" w:type="dxa"/>
              <w:right w:w="75" w:type="dxa"/>
            </w:tcMar>
          </w:tcPr>
          <w:p w14:paraId="556E911D" w14:textId="77777777" w:rsidR="00EF761D" w:rsidRDefault="00FA4F3B" w:rsidP="006D2DD3">
            <w:pPr>
              <w:jc w:val="both"/>
            </w:pPr>
            <w:r>
              <w:rPr>
                <w:sz w:val="18"/>
                <w:szCs w:val="18"/>
              </w:rPr>
              <w:t>Blockchain</w:t>
            </w:r>
          </w:p>
        </w:tc>
        <w:tc>
          <w:tcPr>
            <w:tcW w:w="2700" w:type="dxa"/>
            <w:tcBorders>
              <w:top w:val="single" w:sz="2" w:space="0" w:color="999999"/>
              <w:left w:val="single" w:sz="2" w:space="0" w:color="999999"/>
              <w:bottom w:val="single" w:sz="2" w:space="0" w:color="999999"/>
              <w:right w:val="single" w:sz="2" w:space="0" w:color="999999"/>
            </w:tcBorders>
            <w:shd w:val="clear" w:color="auto" w:fill="F6F6F6"/>
            <w:tcMar>
              <w:top w:w="40" w:type="dxa"/>
              <w:left w:w="75" w:type="dxa"/>
              <w:bottom w:w="40" w:type="dxa"/>
              <w:right w:w="75" w:type="dxa"/>
            </w:tcMar>
          </w:tcPr>
          <w:p w14:paraId="0DC1DA0F" w14:textId="77777777" w:rsidR="00EF761D" w:rsidRDefault="00FA4F3B" w:rsidP="006D2DD3">
            <w:pPr>
              <w:jc w:val="both"/>
            </w:pPr>
            <w:r>
              <w:rPr>
                <w:sz w:val="18"/>
                <w:szCs w:val="18"/>
              </w:rPr>
              <w:t>Ethereum, Solidity</w:t>
            </w:r>
          </w:p>
        </w:tc>
        <w:tc>
          <w:tcPr>
            <w:tcW w:w="4500" w:type="dxa"/>
            <w:tcBorders>
              <w:top w:val="single" w:sz="2" w:space="0" w:color="999999"/>
              <w:left w:val="single" w:sz="2" w:space="0" w:color="999999"/>
              <w:bottom w:val="single" w:sz="2" w:space="0" w:color="999999"/>
              <w:right w:val="single" w:sz="2" w:space="0" w:color="999999"/>
            </w:tcBorders>
            <w:shd w:val="clear" w:color="auto" w:fill="F6F6F6"/>
            <w:tcMar>
              <w:top w:w="40" w:type="dxa"/>
              <w:left w:w="75" w:type="dxa"/>
              <w:bottom w:w="40" w:type="dxa"/>
              <w:right w:w="75" w:type="dxa"/>
            </w:tcMar>
          </w:tcPr>
          <w:p w14:paraId="60D720BA" w14:textId="77777777" w:rsidR="00EF761D" w:rsidRDefault="00FA4F3B" w:rsidP="006D2DD3">
            <w:pPr>
              <w:jc w:val="both"/>
            </w:pPr>
            <w:r>
              <w:rPr>
                <w:sz w:val="18"/>
                <w:szCs w:val="18"/>
              </w:rPr>
              <w:t>Smart contracts — auto-executing, tamper-proof trade agreements</w:t>
            </w:r>
          </w:p>
        </w:tc>
      </w:tr>
      <w:tr w:rsidR="00EF761D" w14:paraId="735E8DA7" w14:textId="77777777">
        <w:tc>
          <w:tcPr>
            <w:tcW w:w="1500" w:type="dxa"/>
            <w:tcBorders>
              <w:top w:val="single" w:sz="2" w:space="0" w:color="999999"/>
              <w:left w:val="single" w:sz="2" w:space="0" w:color="999999"/>
              <w:bottom w:val="single" w:sz="2" w:space="0" w:color="999999"/>
              <w:right w:val="single" w:sz="2" w:space="0" w:color="999999"/>
            </w:tcBorders>
            <w:shd w:val="clear" w:color="auto" w:fill="FFFFFF"/>
            <w:tcMar>
              <w:top w:w="40" w:type="dxa"/>
              <w:left w:w="75" w:type="dxa"/>
              <w:bottom w:w="40" w:type="dxa"/>
              <w:right w:w="75" w:type="dxa"/>
            </w:tcMar>
          </w:tcPr>
          <w:p w14:paraId="436F5A14" w14:textId="77777777" w:rsidR="00EF761D" w:rsidRDefault="00FA4F3B" w:rsidP="006D2DD3">
            <w:pPr>
              <w:jc w:val="both"/>
            </w:pPr>
            <w:r>
              <w:rPr>
                <w:sz w:val="18"/>
                <w:szCs w:val="18"/>
              </w:rPr>
              <w:t>Charts</w:t>
            </w:r>
          </w:p>
        </w:tc>
        <w:tc>
          <w:tcPr>
            <w:tcW w:w="2700" w:type="dxa"/>
            <w:tcBorders>
              <w:top w:val="single" w:sz="2" w:space="0" w:color="999999"/>
              <w:left w:val="single" w:sz="2" w:space="0" w:color="999999"/>
              <w:bottom w:val="single" w:sz="2" w:space="0" w:color="999999"/>
              <w:right w:val="single" w:sz="2" w:space="0" w:color="999999"/>
            </w:tcBorders>
            <w:shd w:val="clear" w:color="auto" w:fill="FFFFFF"/>
            <w:tcMar>
              <w:top w:w="40" w:type="dxa"/>
              <w:left w:w="75" w:type="dxa"/>
              <w:bottom w:w="40" w:type="dxa"/>
              <w:right w:w="75" w:type="dxa"/>
            </w:tcMar>
          </w:tcPr>
          <w:p w14:paraId="21DF90E0" w14:textId="77777777" w:rsidR="00EF761D" w:rsidRDefault="00FA4F3B" w:rsidP="006D2DD3">
            <w:pPr>
              <w:jc w:val="both"/>
            </w:pPr>
            <w:r>
              <w:rPr>
                <w:sz w:val="18"/>
                <w:szCs w:val="18"/>
              </w:rPr>
              <w:t>Chart.js, Matplotlib</w:t>
            </w:r>
          </w:p>
        </w:tc>
        <w:tc>
          <w:tcPr>
            <w:tcW w:w="4500" w:type="dxa"/>
            <w:tcBorders>
              <w:top w:val="single" w:sz="2" w:space="0" w:color="999999"/>
              <w:left w:val="single" w:sz="2" w:space="0" w:color="999999"/>
              <w:bottom w:val="single" w:sz="2" w:space="0" w:color="999999"/>
              <w:right w:val="single" w:sz="2" w:space="0" w:color="999999"/>
            </w:tcBorders>
            <w:shd w:val="clear" w:color="auto" w:fill="FFFFFF"/>
            <w:tcMar>
              <w:top w:w="40" w:type="dxa"/>
              <w:left w:w="75" w:type="dxa"/>
              <w:bottom w:w="40" w:type="dxa"/>
              <w:right w:w="75" w:type="dxa"/>
            </w:tcMar>
          </w:tcPr>
          <w:p w14:paraId="18C5B286" w14:textId="77777777" w:rsidR="00EF761D" w:rsidRDefault="00FA4F3B" w:rsidP="006D2DD3">
            <w:pPr>
              <w:jc w:val="both"/>
            </w:pPr>
            <w:r>
              <w:rPr>
                <w:sz w:val="18"/>
                <w:szCs w:val="18"/>
              </w:rPr>
              <w:t>Real-time price trend graphs, demand heatmaps, export charts</w:t>
            </w:r>
          </w:p>
        </w:tc>
      </w:tr>
      <w:tr w:rsidR="00EF761D" w14:paraId="5838C3AA" w14:textId="77777777">
        <w:tc>
          <w:tcPr>
            <w:tcW w:w="1500" w:type="dxa"/>
            <w:tcBorders>
              <w:top w:val="single" w:sz="2" w:space="0" w:color="999999"/>
              <w:left w:val="single" w:sz="2" w:space="0" w:color="999999"/>
              <w:bottom w:val="single" w:sz="2" w:space="0" w:color="999999"/>
              <w:right w:val="single" w:sz="2" w:space="0" w:color="999999"/>
            </w:tcBorders>
            <w:shd w:val="clear" w:color="auto" w:fill="F6F6F6"/>
            <w:tcMar>
              <w:top w:w="40" w:type="dxa"/>
              <w:left w:w="75" w:type="dxa"/>
              <w:bottom w:w="40" w:type="dxa"/>
              <w:right w:w="75" w:type="dxa"/>
            </w:tcMar>
          </w:tcPr>
          <w:p w14:paraId="0D6D2ABE" w14:textId="77777777" w:rsidR="00EF761D" w:rsidRDefault="00FA4F3B" w:rsidP="006D2DD3">
            <w:pPr>
              <w:jc w:val="both"/>
            </w:pPr>
            <w:r>
              <w:rPr>
                <w:b/>
                <w:bCs/>
                <w:sz w:val="18"/>
                <w:szCs w:val="18"/>
              </w:rPr>
              <w:t>DevOps</w:t>
            </w:r>
          </w:p>
        </w:tc>
        <w:tc>
          <w:tcPr>
            <w:tcW w:w="2700" w:type="dxa"/>
            <w:tcBorders>
              <w:top w:val="single" w:sz="2" w:space="0" w:color="999999"/>
              <w:left w:val="single" w:sz="2" w:space="0" w:color="999999"/>
              <w:bottom w:val="single" w:sz="2" w:space="0" w:color="999999"/>
              <w:right w:val="single" w:sz="2" w:space="0" w:color="999999"/>
            </w:tcBorders>
            <w:shd w:val="clear" w:color="auto" w:fill="F6F6F6"/>
            <w:tcMar>
              <w:top w:w="40" w:type="dxa"/>
              <w:left w:w="75" w:type="dxa"/>
              <w:bottom w:w="40" w:type="dxa"/>
              <w:right w:w="75" w:type="dxa"/>
            </w:tcMar>
          </w:tcPr>
          <w:p w14:paraId="300D843B" w14:textId="77777777" w:rsidR="00EF761D" w:rsidRDefault="00FA4F3B" w:rsidP="006D2DD3">
            <w:pPr>
              <w:jc w:val="both"/>
            </w:pPr>
            <w:r>
              <w:rPr>
                <w:b/>
                <w:bCs/>
                <w:sz w:val="18"/>
                <w:szCs w:val="18"/>
              </w:rPr>
              <w:t>Git, GitHub, Docker</w:t>
            </w:r>
          </w:p>
        </w:tc>
        <w:tc>
          <w:tcPr>
            <w:tcW w:w="4500" w:type="dxa"/>
            <w:tcBorders>
              <w:top w:val="single" w:sz="2" w:space="0" w:color="999999"/>
              <w:left w:val="single" w:sz="2" w:space="0" w:color="999999"/>
              <w:bottom w:val="single" w:sz="2" w:space="0" w:color="999999"/>
              <w:right w:val="single" w:sz="2" w:space="0" w:color="999999"/>
            </w:tcBorders>
            <w:shd w:val="clear" w:color="auto" w:fill="F6F6F6"/>
            <w:tcMar>
              <w:top w:w="40" w:type="dxa"/>
              <w:left w:w="75" w:type="dxa"/>
              <w:bottom w:w="40" w:type="dxa"/>
              <w:right w:w="75" w:type="dxa"/>
            </w:tcMar>
          </w:tcPr>
          <w:p w14:paraId="119690AC" w14:textId="77777777" w:rsidR="00EF761D" w:rsidRDefault="00FA4F3B" w:rsidP="006D2DD3">
            <w:pPr>
              <w:jc w:val="both"/>
            </w:pPr>
            <w:r>
              <w:rPr>
                <w:b/>
                <w:bCs/>
                <w:sz w:val="18"/>
                <w:szCs w:val="18"/>
              </w:rPr>
              <w:t>Version control, containerized deployment, CI/CD pipeline</w:t>
            </w:r>
          </w:p>
        </w:tc>
      </w:tr>
    </w:tbl>
    <w:p w14:paraId="14B73EE8" w14:textId="77777777" w:rsidR="00EF761D" w:rsidRDefault="00EF761D" w:rsidP="006D2DD3">
      <w:pPr>
        <w:jc w:val="both"/>
      </w:pPr>
    </w:p>
    <w:p w14:paraId="12D8FA47" w14:textId="77777777" w:rsidR="00C8426B" w:rsidRPr="00C8426B" w:rsidRDefault="00C8426B" w:rsidP="006D2DD3">
      <w:pPr>
        <w:spacing w:before="150" w:after="70"/>
        <w:jc w:val="both"/>
        <w:rPr>
          <w:color w:val="000000"/>
        </w:rPr>
      </w:pPr>
      <w:r w:rsidRPr="00C8426B">
        <w:rPr>
          <w:color w:val="000000"/>
        </w:rPr>
        <w:t>To provide an explanation of some of my reasoning:</w:t>
      </w:r>
    </w:p>
    <w:p w14:paraId="6DE29CCB" w14:textId="19438856" w:rsidR="00C8426B" w:rsidRPr="00C8426B" w:rsidRDefault="00C8426B" w:rsidP="006D2DD3">
      <w:pPr>
        <w:spacing w:before="150" w:after="70"/>
        <w:jc w:val="both"/>
        <w:rPr>
          <w:color w:val="000000"/>
        </w:rPr>
      </w:pPr>
      <w:r w:rsidRPr="00C8426B">
        <w:rPr>
          <w:color w:val="000000"/>
        </w:rPr>
        <w:t xml:space="preserve">Postgres was chosen over MongoDB because of the inherently relational nature of the data essentially the core transactional data e.g. Orders; line items; payments; </w:t>
      </w:r>
      <w:r w:rsidRPr="00C8426B">
        <w:rPr>
          <w:color w:val="000000"/>
        </w:rPr>
        <w:t>contracts etc. and that ACID compliance is important where financial transactions are processed (Finance is where ACID matters).</w:t>
      </w:r>
    </w:p>
    <w:p w14:paraId="6375FC82" w14:textId="36B357FE" w:rsidR="00C8426B" w:rsidRPr="00C8426B" w:rsidRDefault="00C8426B" w:rsidP="006D2DD3">
      <w:pPr>
        <w:spacing w:before="150" w:after="70"/>
        <w:jc w:val="both"/>
        <w:rPr>
          <w:color w:val="000000"/>
        </w:rPr>
      </w:pPr>
      <w:r w:rsidRPr="00C8426B">
        <w:rPr>
          <w:color w:val="000000"/>
        </w:rPr>
        <w:t>As well Node.js handles the real-time streaming needs (</w:t>
      </w:r>
      <w:proofErr w:type="spellStart"/>
      <w:r w:rsidRPr="00C8426B">
        <w:rPr>
          <w:color w:val="000000"/>
        </w:rPr>
        <w:t>i.e</w:t>
      </w:r>
      <w:proofErr w:type="spellEnd"/>
      <w:r w:rsidRPr="00C8426B">
        <w:rPr>
          <w:color w:val="000000"/>
        </w:rPr>
        <w:t xml:space="preserve"> price updates, notification pushes); whereas, Python Flask is used for heavier weight computations; </w:t>
      </w:r>
      <w:proofErr w:type="spellStart"/>
      <w:r w:rsidRPr="00C8426B">
        <w:rPr>
          <w:color w:val="000000"/>
        </w:rPr>
        <w:t>i.e</w:t>
      </w:r>
      <w:proofErr w:type="spellEnd"/>
      <w:r w:rsidRPr="00C8426B">
        <w:rPr>
          <w:color w:val="000000"/>
        </w:rPr>
        <w:t xml:space="preserve"> AI inferences.</w:t>
      </w:r>
    </w:p>
    <w:p w14:paraId="176C7438" w14:textId="77777777" w:rsidR="00C8426B" w:rsidRDefault="00C8426B" w:rsidP="006D2DD3">
      <w:pPr>
        <w:spacing w:before="150" w:after="70"/>
        <w:jc w:val="both"/>
        <w:rPr>
          <w:color w:val="000000"/>
        </w:rPr>
      </w:pPr>
      <w:r w:rsidRPr="00C8426B">
        <w:rPr>
          <w:color w:val="000000"/>
        </w:rPr>
        <w:t xml:space="preserve">We have Docker containerization so that our application will be able to be run in the same way regardless of where we deploy it; </w:t>
      </w:r>
      <w:proofErr w:type="spellStart"/>
      <w:r w:rsidRPr="00C8426B">
        <w:rPr>
          <w:color w:val="000000"/>
        </w:rPr>
        <w:t>i.e</w:t>
      </w:r>
      <w:proofErr w:type="spellEnd"/>
      <w:r w:rsidRPr="00C8426B">
        <w:rPr>
          <w:color w:val="000000"/>
        </w:rPr>
        <w:t xml:space="preserve"> either on a government/military cloud (NIC) or a commercial provider's cloud.</w:t>
      </w:r>
    </w:p>
    <w:p w14:paraId="55C90C5F" w14:textId="7C9912A0" w:rsidR="00EF761D" w:rsidRDefault="00FA4F3B" w:rsidP="006D2DD3">
      <w:pPr>
        <w:spacing w:before="150" w:after="70"/>
        <w:jc w:val="both"/>
      </w:pPr>
      <w:r>
        <w:rPr>
          <w:b/>
          <w:bCs/>
        </w:rPr>
        <w:t>VII. IMPLEMENTATION TIMELINE</w:t>
      </w:r>
    </w:p>
    <w:p w14:paraId="37E5A19B" w14:textId="7308C796" w:rsidR="00EF761D" w:rsidRDefault="00C8426B" w:rsidP="006D2DD3">
      <w:pPr>
        <w:jc w:val="both"/>
      </w:pPr>
      <w:r w:rsidRPr="00C8426B">
        <w:rPr>
          <w:color w:val="000000"/>
        </w:rPr>
        <w:t xml:space="preserve">The four-month sprint for the project was designed to fit with SIH delivery guidelines. Table IV outlines the plans for each phase along with expected deliverables; however, the Solidity security patterns and </w:t>
      </w:r>
      <w:proofErr w:type="spellStart"/>
      <w:r w:rsidRPr="00C8426B">
        <w:rPr>
          <w:color w:val="000000"/>
        </w:rPr>
        <w:t>testnet</w:t>
      </w:r>
      <w:proofErr w:type="spellEnd"/>
      <w:r w:rsidRPr="00C8426B">
        <w:rPr>
          <w:color w:val="000000"/>
        </w:rPr>
        <w:t xml:space="preserve"> gas optimization for Month 2 of the smart contract work took slightly more time than had been expected due to multiple iterations needed for completion. Therefore, part of Month 3's export matching work was front-loaded to make up for this discrepancy in completed work.</w:t>
      </w:r>
    </w:p>
    <w:p w14:paraId="7F75944B" w14:textId="77777777" w:rsidR="00EF761D" w:rsidRDefault="00FA4F3B" w:rsidP="006D2DD3">
      <w:pPr>
        <w:spacing w:before="55" w:after="18"/>
        <w:jc w:val="both"/>
      </w:pPr>
      <w:r>
        <w:rPr>
          <w:b/>
          <w:bCs/>
          <w:color w:val="000000"/>
          <w:sz w:val="18"/>
          <w:szCs w:val="18"/>
        </w:rPr>
        <w:t>TABLE IV</w:t>
      </w:r>
    </w:p>
    <w:p w14:paraId="5CC6EB0B" w14:textId="77777777" w:rsidR="00EF761D" w:rsidRDefault="00FA4F3B" w:rsidP="006D2DD3">
      <w:pPr>
        <w:spacing w:after="65"/>
        <w:jc w:val="both"/>
      </w:pPr>
      <w:r>
        <w:rPr>
          <w:b/>
          <w:bCs/>
          <w:color w:val="000000"/>
          <w:sz w:val="18"/>
          <w:szCs w:val="18"/>
        </w:rPr>
        <w:t>Project Implementation Timeline</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1600"/>
        <w:gridCol w:w="3350"/>
        <w:gridCol w:w="2800"/>
      </w:tblGrid>
      <w:tr w:rsidR="00EF761D" w14:paraId="06629B73" w14:textId="77777777">
        <w:trPr>
          <w:tblHeader/>
        </w:trPr>
        <w:tc>
          <w:tcPr>
            <w:tcW w:w="950" w:type="dxa"/>
            <w:tcBorders>
              <w:top w:val="single" w:sz="6" w:space="0" w:color="000000"/>
              <w:left w:val="single" w:sz="2" w:space="0" w:color="999999"/>
              <w:bottom w:val="single" w:sz="6" w:space="0" w:color="000000"/>
              <w:right w:val="single" w:sz="2" w:space="0" w:color="999999"/>
            </w:tcBorders>
            <w:shd w:val="clear" w:color="auto" w:fill="CCCCCC"/>
            <w:tcMar>
              <w:top w:w="50" w:type="dxa"/>
              <w:left w:w="75" w:type="dxa"/>
              <w:bottom w:w="50" w:type="dxa"/>
              <w:right w:w="75" w:type="dxa"/>
            </w:tcMar>
          </w:tcPr>
          <w:p w14:paraId="5633F11E" w14:textId="77777777" w:rsidR="00EF761D" w:rsidRDefault="00FA4F3B" w:rsidP="006D2DD3">
            <w:pPr>
              <w:jc w:val="both"/>
            </w:pPr>
            <w:r>
              <w:rPr>
                <w:b/>
                <w:bCs/>
                <w:sz w:val="18"/>
                <w:szCs w:val="18"/>
              </w:rPr>
              <w:t>Month</w:t>
            </w:r>
          </w:p>
        </w:tc>
        <w:tc>
          <w:tcPr>
            <w:tcW w:w="1600" w:type="dxa"/>
            <w:tcBorders>
              <w:top w:val="single" w:sz="6" w:space="0" w:color="000000"/>
              <w:left w:val="single" w:sz="2" w:space="0" w:color="999999"/>
              <w:bottom w:val="single" w:sz="6" w:space="0" w:color="000000"/>
              <w:right w:val="single" w:sz="2" w:space="0" w:color="999999"/>
            </w:tcBorders>
            <w:shd w:val="clear" w:color="auto" w:fill="CCCCCC"/>
            <w:tcMar>
              <w:top w:w="50" w:type="dxa"/>
              <w:left w:w="75" w:type="dxa"/>
              <w:bottom w:w="50" w:type="dxa"/>
              <w:right w:w="75" w:type="dxa"/>
            </w:tcMar>
          </w:tcPr>
          <w:p w14:paraId="21B5E9DC" w14:textId="77777777" w:rsidR="00EF761D" w:rsidRDefault="00FA4F3B" w:rsidP="006D2DD3">
            <w:pPr>
              <w:jc w:val="both"/>
            </w:pPr>
            <w:r>
              <w:rPr>
                <w:b/>
                <w:bCs/>
                <w:sz w:val="18"/>
                <w:szCs w:val="18"/>
              </w:rPr>
              <w:t>Phase</w:t>
            </w:r>
          </w:p>
        </w:tc>
        <w:tc>
          <w:tcPr>
            <w:tcW w:w="3350" w:type="dxa"/>
            <w:tcBorders>
              <w:top w:val="single" w:sz="6" w:space="0" w:color="000000"/>
              <w:left w:val="single" w:sz="2" w:space="0" w:color="999999"/>
              <w:bottom w:val="single" w:sz="6" w:space="0" w:color="000000"/>
              <w:right w:val="single" w:sz="2" w:space="0" w:color="999999"/>
            </w:tcBorders>
            <w:shd w:val="clear" w:color="auto" w:fill="CCCCCC"/>
            <w:tcMar>
              <w:top w:w="50" w:type="dxa"/>
              <w:left w:w="75" w:type="dxa"/>
              <w:bottom w:w="50" w:type="dxa"/>
              <w:right w:w="75" w:type="dxa"/>
            </w:tcMar>
          </w:tcPr>
          <w:p w14:paraId="5AD96E38" w14:textId="77777777" w:rsidR="00EF761D" w:rsidRDefault="00FA4F3B" w:rsidP="006D2DD3">
            <w:pPr>
              <w:jc w:val="both"/>
            </w:pPr>
            <w:r>
              <w:rPr>
                <w:b/>
                <w:bCs/>
                <w:sz w:val="18"/>
                <w:szCs w:val="18"/>
              </w:rPr>
              <w:t>Key Activities</w:t>
            </w:r>
          </w:p>
        </w:tc>
        <w:tc>
          <w:tcPr>
            <w:tcW w:w="2800" w:type="dxa"/>
            <w:tcBorders>
              <w:top w:val="single" w:sz="6" w:space="0" w:color="000000"/>
              <w:left w:val="single" w:sz="2" w:space="0" w:color="999999"/>
              <w:bottom w:val="single" w:sz="6" w:space="0" w:color="000000"/>
              <w:right w:val="single" w:sz="2" w:space="0" w:color="999999"/>
            </w:tcBorders>
            <w:shd w:val="clear" w:color="auto" w:fill="CCCCCC"/>
            <w:tcMar>
              <w:top w:w="50" w:type="dxa"/>
              <w:left w:w="75" w:type="dxa"/>
              <w:bottom w:w="50" w:type="dxa"/>
              <w:right w:w="75" w:type="dxa"/>
            </w:tcMar>
          </w:tcPr>
          <w:p w14:paraId="62663741" w14:textId="77777777" w:rsidR="00EF761D" w:rsidRDefault="00FA4F3B" w:rsidP="006D2DD3">
            <w:pPr>
              <w:jc w:val="both"/>
            </w:pPr>
            <w:r>
              <w:rPr>
                <w:b/>
                <w:bCs/>
                <w:sz w:val="18"/>
                <w:szCs w:val="18"/>
              </w:rPr>
              <w:t>Expected Deliverables</w:t>
            </w:r>
          </w:p>
        </w:tc>
      </w:tr>
      <w:tr w:rsidR="00EF761D" w14:paraId="18F2172C" w14:textId="77777777">
        <w:tc>
          <w:tcPr>
            <w:tcW w:w="950" w:type="dxa"/>
            <w:tcBorders>
              <w:top w:val="single" w:sz="2" w:space="0" w:color="999999"/>
              <w:left w:val="single" w:sz="2" w:space="0" w:color="999999"/>
              <w:bottom w:val="single" w:sz="2" w:space="0" w:color="999999"/>
              <w:right w:val="single" w:sz="2" w:space="0" w:color="999999"/>
            </w:tcBorders>
            <w:shd w:val="clear" w:color="auto" w:fill="F6F6F6"/>
            <w:tcMar>
              <w:top w:w="40" w:type="dxa"/>
              <w:left w:w="75" w:type="dxa"/>
              <w:bottom w:w="40" w:type="dxa"/>
              <w:right w:w="75" w:type="dxa"/>
            </w:tcMar>
          </w:tcPr>
          <w:p w14:paraId="0FF22E4C" w14:textId="77777777" w:rsidR="00EF761D" w:rsidRDefault="00FA4F3B" w:rsidP="006D2DD3">
            <w:pPr>
              <w:jc w:val="both"/>
            </w:pPr>
            <w:r>
              <w:rPr>
                <w:sz w:val="18"/>
                <w:szCs w:val="18"/>
              </w:rPr>
              <w:t>Month 1</w:t>
            </w:r>
          </w:p>
        </w:tc>
        <w:tc>
          <w:tcPr>
            <w:tcW w:w="1600" w:type="dxa"/>
            <w:tcBorders>
              <w:top w:val="single" w:sz="2" w:space="0" w:color="999999"/>
              <w:left w:val="single" w:sz="2" w:space="0" w:color="999999"/>
              <w:bottom w:val="single" w:sz="2" w:space="0" w:color="999999"/>
              <w:right w:val="single" w:sz="2" w:space="0" w:color="999999"/>
            </w:tcBorders>
            <w:shd w:val="clear" w:color="auto" w:fill="F6F6F6"/>
            <w:tcMar>
              <w:top w:w="40" w:type="dxa"/>
              <w:left w:w="75" w:type="dxa"/>
              <w:bottom w:w="40" w:type="dxa"/>
              <w:right w:w="75" w:type="dxa"/>
            </w:tcMar>
          </w:tcPr>
          <w:p w14:paraId="58E6D0D5" w14:textId="77777777" w:rsidR="00EF761D" w:rsidRDefault="00FA4F3B" w:rsidP="006D2DD3">
            <w:pPr>
              <w:jc w:val="both"/>
            </w:pPr>
            <w:r>
              <w:rPr>
                <w:sz w:val="18"/>
                <w:szCs w:val="18"/>
              </w:rPr>
              <w:t>Data Collection &amp; Setup</w:t>
            </w:r>
          </w:p>
        </w:tc>
        <w:tc>
          <w:tcPr>
            <w:tcW w:w="3350" w:type="dxa"/>
            <w:tcBorders>
              <w:top w:val="single" w:sz="2" w:space="0" w:color="999999"/>
              <w:left w:val="single" w:sz="2" w:space="0" w:color="999999"/>
              <w:bottom w:val="single" w:sz="2" w:space="0" w:color="999999"/>
              <w:right w:val="single" w:sz="2" w:space="0" w:color="999999"/>
            </w:tcBorders>
            <w:shd w:val="clear" w:color="auto" w:fill="F6F6F6"/>
            <w:tcMar>
              <w:top w:w="40" w:type="dxa"/>
              <w:left w:w="75" w:type="dxa"/>
              <w:bottom w:w="40" w:type="dxa"/>
              <w:right w:w="75" w:type="dxa"/>
            </w:tcMar>
          </w:tcPr>
          <w:p w14:paraId="29E65033" w14:textId="77777777" w:rsidR="00EF761D" w:rsidRDefault="00FA4F3B" w:rsidP="006D2DD3">
            <w:pPr>
              <w:jc w:val="both"/>
            </w:pPr>
            <w:r>
              <w:rPr>
                <w:sz w:val="18"/>
                <w:szCs w:val="18"/>
              </w:rPr>
              <w:t>Stakeholder interviews (farmers, FPOs, oil mills, exporters); mapping by-product flows; collecting mandi rate datasets</w:t>
            </w:r>
          </w:p>
        </w:tc>
        <w:tc>
          <w:tcPr>
            <w:tcW w:w="2800" w:type="dxa"/>
            <w:tcBorders>
              <w:top w:val="single" w:sz="2" w:space="0" w:color="999999"/>
              <w:left w:val="single" w:sz="2" w:space="0" w:color="999999"/>
              <w:bottom w:val="single" w:sz="2" w:space="0" w:color="999999"/>
              <w:right w:val="single" w:sz="2" w:space="0" w:color="999999"/>
            </w:tcBorders>
            <w:shd w:val="clear" w:color="auto" w:fill="F6F6F6"/>
            <w:tcMar>
              <w:top w:w="40" w:type="dxa"/>
              <w:left w:w="75" w:type="dxa"/>
              <w:bottom w:w="40" w:type="dxa"/>
              <w:right w:w="75" w:type="dxa"/>
            </w:tcMar>
          </w:tcPr>
          <w:p w14:paraId="039F7FAF" w14:textId="77777777" w:rsidR="00EF761D" w:rsidRDefault="00FA4F3B" w:rsidP="006D2DD3">
            <w:pPr>
              <w:jc w:val="both"/>
            </w:pPr>
            <w:r>
              <w:rPr>
                <w:sz w:val="18"/>
                <w:szCs w:val="18"/>
              </w:rPr>
              <w:t>Architecture diagram, database schema, API blueprint</w:t>
            </w:r>
          </w:p>
        </w:tc>
      </w:tr>
      <w:tr w:rsidR="00EF761D" w14:paraId="4D073127" w14:textId="77777777">
        <w:tc>
          <w:tcPr>
            <w:tcW w:w="950" w:type="dxa"/>
            <w:tcBorders>
              <w:top w:val="single" w:sz="2" w:space="0" w:color="999999"/>
              <w:left w:val="single" w:sz="2" w:space="0" w:color="999999"/>
              <w:bottom w:val="single" w:sz="2" w:space="0" w:color="999999"/>
              <w:right w:val="single" w:sz="2" w:space="0" w:color="999999"/>
            </w:tcBorders>
            <w:shd w:val="clear" w:color="auto" w:fill="FFFFFF"/>
            <w:tcMar>
              <w:top w:w="40" w:type="dxa"/>
              <w:left w:w="75" w:type="dxa"/>
              <w:bottom w:w="40" w:type="dxa"/>
              <w:right w:w="75" w:type="dxa"/>
            </w:tcMar>
          </w:tcPr>
          <w:p w14:paraId="1A6FA81C" w14:textId="77777777" w:rsidR="00EF761D" w:rsidRDefault="00FA4F3B" w:rsidP="006D2DD3">
            <w:pPr>
              <w:jc w:val="both"/>
            </w:pPr>
            <w:r>
              <w:rPr>
                <w:sz w:val="18"/>
                <w:szCs w:val="18"/>
              </w:rPr>
              <w:t>Month 2</w:t>
            </w:r>
          </w:p>
        </w:tc>
        <w:tc>
          <w:tcPr>
            <w:tcW w:w="1600" w:type="dxa"/>
            <w:tcBorders>
              <w:top w:val="single" w:sz="2" w:space="0" w:color="999999"/>
              <w:left w:val="single" w:sz="2" w:space="0" w:color="999999"/>
              <w:bottom w:val="single" w:sz="2" w:space="0" w:color="999999"/>
              <w:right w:val="single" w:sz="2" w:space="0" w:color="999999"/>
            </w:tcBorders>
            <w:shd w:val="clear" w:color="auto" w:fill="FFFFFF"/>
            <w:tcMar>
              <w:top w:w="40" w:type="dxa"/>
              <w:left w:w="75" w:type="dxa"/>
              <w:bottom w:w="40" w:type="dxa"/>
              <w:right w:w="75" w:type="dxa"/>
            </w:tcMar>
          </w:tcPr>
          <w:p w14:paraId="48910BB2" w14:textId="77777777" w:rsidR="00EF761D" w:rsidRDefault="00FA4F3B" w:rsidP="006D2DD3">
            <w:pPr>
              <w:jc w:val="both"/>
            </w:pPr>
            <w:r>
              <w:rPr>
                <w:sz w:val="18"/>
                <w:szCs w:val="18"/>
              </w:rPr>
              <w:t>Core Development</w:t>
            </w:r>
          </w:p>
        </w:tc>
        <w:tc>
          <w:tcPr>
            <w:tcW w:w="3350" w:type="dxa"/>
            <w:tcBorders>
              <w:top w:val="single" w:sz="2" w:space="0" w:color="999999"/>
              <w:left w:val="single" w:sz="2" w:space="0" w:color="999999"/>
              <w:bottom w:val="single" w:sz="2" w:space="0" w:color="999999"/>
              <w:right w:val="single" w:sz="2" w:space="0" w:color="999999"/>
            </w:tcBorders>
            <w:shd w:val="clear" w:color="auto" w:fill="FFFFFF"/>
            <w:tcMar>
              <w:top w:w="40" w:type="dxa"/>
              <w:left w:w="75" w:type="dxa"/>
              <w:bottom w:w="40" w:type="dxa"/>
              <w:right w:w="75" w:type="dxa"/>
            </w:tcMar>
          </w:tcPr>
          <w:p w14:paraId="7F7A771D" w14:textId="77777777" w:rsidR="00EF761D" w:rsidRDefault="00FA4F3B" w:rsidP="006D2DD3">
            <w:pPr>
              <w:jc w:val="both"/>
            </w:pPr>
            <w:r>
              <w:rPr>
                <w:sz w:val="18"/>
                <w:szCs w:val="18"/>
              </w:rPr>
              <w:t xml:space="preserve">Marketplace module, order workflow, buyer-seller matching, smart contract v1 on Ethereum </w:t>
            </w:r>
            <w:proofErr w:type="spellStart"/>
            <w:r>
              <w:rPr>
                <w:sz w:val="18"/>
                <w:szCs w:val="18"/>
              </w:rPr>
              <w:t>testnet</w:t>
            </w:r>
            <w:proofErr w:type="spellEnd"/>
          </w:p>
        </w:tc>
        <w:tc>
          <w:tcPr>
            <w:tcW w:w="2800" w:type="dxa"/>
            <w:tcBorders>
              <w:top w:val="single" w:sz="2" w:space="0" w:color="999999"/>
              <w:left w:val="single" w:sz="2" w:space="0" w:color="999999"/>
              <w:bottom w:val="single" w:sz="2" w:space="0" w:color="999999"/>
              <w:right w:val="single" w:sz="2" w:space="0" w:color="999999"/>
            </w:tcBorders>
            <w:shd w:val="clear" w:color="auto" w:fill="FFFFFF"/>
            <w:tcMar>
              <w:top w:w="40" w:type="dxa"/>
              <w:left w:w="75" w:type="dxa"/>
              <w:bottom w:w="40" w:type="dxa"/>
              <w:right w:w="75" w:type="dxa"/>
            </w:tcMar>
          </w:tcPr>
          <w:p w14:paraId="1838905E" w14:textId="77777777" w:rsidR="00EF761D" w:rsidRDefault="00FA4F3B" w:rsidP="006D2DD3">
            <w:pPr>
              <w:jc w:val="both"/>
            </w:pPr>
            <w:r>
              <w:rPr>
                <w:sz w:val="18"/>
                <w:szCs w:val="18"/>
              </w:rPr>
              <w:t xml:space="preserve">Working marketplace web app; smart contract deployed on </w:t>
            </w:r>
            <w:proofErr w:type="spellStart"/>
            <w:r>
              <w:rPr>
                <w:sz w:val="18"/>
                <w:szCs w:val="18"/>
              </w:rPr>
              <w:t>testnet</w:t>
            </w:r>
            <w:proofErr w:type="spellEnd"/>
          </w:p>
        </w:tc>
      </w:tr>
      <w:tr w:rsidR="00EF761D" w14:paraId="3BEE3EC1" w14:textId="77777777">
        <w:tc>
          <w:tcPr>
            <w:tcW w:w="950" w:type="dxa"/>
            <w:tcBorders>
              <w:top w:val="single" w:sz="2" w:space="0" w:color="999999"/>
              <w:left w:val="single" w:sz="2" w:space="0" w:color="999999"/>
              <w:bottom w:val="single" w:sz="2" w:space="0" w:color="999999"/>
              <w:right w:val="single" w:sz="2" w:space="0" w:color="999999"/>
            </w:tcBorders>
            <w:shd w:val="clear" w:color="auto" w:fill="F6F6F6"/>
            <w:tcMar>
              <w:top w:w="40" w:type="dxa"/>
              <w:left w:w="75" w:type="dxa"/>
              <w:bottom w:w="40" w:type="dxa"/>
              <w:right w:w="75" w:type="dxa"/>
            </w:tcMar>
          </w:tcPr>
          <w:p w14:paraId="27F57831" w14:textId="77777777" w:rsidR="00EF761D" w:rsidRDefault="00FA4F3B" w:rsidP="006D2DD3">
            <w:pPr>
              <w:jc w:val="both"/>
            </w:pPr>
            <w:r>
              <w:rPr>
                <w:sz w:val="18"/>
                <w:szCs w:val="18"/>
              </w:rPr>
              <w:t>Month 3</w:t>
            </w:r>
          </w:p>
        </w:tc>
        <w:tc>
          <w:tcPr>
            <w:tcW w:w="1600" w:type="dxa"/>
            <w:tcBorders>
              <w:top w:val="single" w:sz="2" w:space="0" w:color="999999"/>
              <w:left w:val="single" w:sz="2" w:space="0" w:color="999999"/>
              <w:bottom w:val="single" w:sz="2" w:space="0" w:color="999999"/>
              <w:right w:val="single" w:sz="2" w:space="0" w:color="999999"/>
            </w:tcBorders>
            <w:shd w:val="clear" w:color="auto" w:fill="F6F6F6"/>
            <w:tcMar>
              <w:top w:w="40" w:type="dxa"/>
              <w:left w:w="75" w:type="dxa"/>
              <w:bottom w:w="40" w:type="dxa"/>
              <w:right w:w="75" w:type="dxa"/>
            </w:tcMar>
          </w:tcPr>
          <w:p w14:paraId="0F10AD2C" w14:textId="77777777" w:rsidR="00EF761D" w:rsidRDefault="00FA4F3B" w:rsidP="006D2DD3">
            <w:pPr>
              <w:jc w:val="both"/>
            </w:pPr>
            <w:r>
              <w:rPr>
                <w:sz w:val="18"/>
                <w:szCs w:val="18"/>
              </w:rPr>
              <w:t>AI &amp; Export Features</w:t>
            </w:r>
          </w:p>
        </w:tc>
        <w:tc>
          <w:tcPr>
            <w:tcW w:w="3350" w:type="dxa"/>
            <w:tcBorders>
              <w:top w:val="single" w:sz="2" w:space="0" w:color="999999"/>
              <w:left w:val="single" w:sz="2" w:space="0" w:color="999999"/>
              <w:bottom w:val="single" w:sz="2" w:space="0" w:color="999999"/>
              <w:right w:val="single" w:sz="2" w:space="0" w:color="999999"/>
            </w:tcBorders>
            <w:shd w:val="clear" w:color="auto" w:fill="F6F6F6"/>
            <w:tcMar>
              <w:top w:w="40" w:type="dxa"/>
              <w:left w:w="75" w:type="dxa"/>
              <w:bottom w:w="40" w:type="dxa"/>
              <w:right w:w="75" w:type="dxa"/>
            </w:tcMar>
          </w:tcPr>
          <w:p w14:paraId="0DD01B66" w14:textId="77777777" w:rsidR="00EF761D" w:rsidRDefault="00FA4F3B" w:rsidP="006D2DD3">
            <w:pPr>
              <w:jc w:val="both"/>
            </w:pPr>
            <w:r>
              <w:rPr>
                <w:sz w:val="18"/>
                <w:szCs w:val="18"/>
              </w:rPr>
              <w:t>LSTM price forecasting integration; export matchmaking engine; analytics dashboards (farmer, buyer, admin)</w:t>
            </w:r>
          </w:p>
        </w:tc>
        <w:tc>
          <w:tcPr>
            <w:tcW w:w="2800" w:type="dxa"/>
            <w:tcBorders>
              <w:top w:val="single" w:sz="2" w:space="0" w:color="999999"/>
              <w:left w:val="single" w:sz="2" w:space="0" w:color="999999"/>
              <w:bottom w:val="single" w:sz="2" w:space="0" w:color="999999"/>
              <w:right w:val="single" w:sz="2" w:space="0" w:color="999999"/>
            </w:tcBorders>
            <w:shd w:val="clear" w:color="auto" w:fill="F6F6F6"/>
            <w:tcMar>
              <w:top w:w="40" w:type="dxa"/>
              <w:left w:w="75" w:type="dxa"/>
              <w:bottom w:w="40" w:type="dxa"/>
              <w:right w:w="75" w:type="dxa"/>
            </w:tcMar>
          </w:tcPr>
          <w:p w14:paraId="03B7C431" w14:textId="77777777" w:rsidR="00EF761D" w:rsidRDefault="00FA4F3B" w:rsidP="006D2DD3">
            <w:pPr>
              <w:jc w:val="both"/>
            </w:pPr>
            <w:r>
              <w:rPr>
                <w:sz w:val="18"/>
                <w:szCs w:val="18"/>
              </w:rPr>
              <w:t>Forecasting graphs; export matching prototype; admin panel</w:t>
            </w:r>
          </w:p>
        </w:tc>
      </w:tr>
      <w:tr w:rsidR="00EF761D" w14:paraId="5DDAD963" w14:textId="77777777">
        <w:tc>
          <w:tcPr>
            <w:tcW w:w="950" w:type="dxa"/>
            <w:tcBorders>
              <w:top w:val="single" w:sz="2" w:space="0" w:color="999999"/>
              <w:left w:val="single" w:sz="2" w:space="0" w:color="999999"/>
              <w:bottom w:val="single" w:sz="2" w:space="0" w:color="999999"/>
              <w:right w:val="single" w:sz="2" w:space="0" w:color="999999"/>
            </w:tcBorders>
            <w:shd w:val="clear" w:color="auto" w:fill="FFFFFF"/>
            <w:tcMar>
              <w:top w:w="40" w:type="dxa"/>
              <w:left w:w="75" w:type="dxa"/>
              <w:bottom w:w="40" w:type="dxa"/>
              <w:right w:w="75" w:type="dxa"/>
            </w:tcMar>
          </w:tcPr>
          <w:p w14:paraId="3DEA395F" w14:textId="77777777" w:rsidR="00EF761D" w:rsidRDefault="00FA4F3B" w:rsidP="006D2DD3">
            <w:pPr>
              <w:jc w:val="both"/>
            </w:pPr>
            <w:r>
              <w:rPr>
                <w:b/>
                <w:bCs/>
                <w:sz w:val="18"/>
                <w:szCs w:val="18"/>
              </w:rPr>
              <w:t>Month 4</w:t>
            </w:r>
          </w:p>
        </w:tc>
        <w:tc>
          <w:tcPr>
            <w:tcW w:w="1600" w:type="dxa"/>
            <w:tcBorders>
              <w:top w:val="single" w:sz="2" w:space="0" w:color="999999"/>
              <w:left w:val="single" w:sz="2" w:space="0" w:color="999999"/>
              <w:bottom w:val="single" w:sz="2" w:space="0" w:color="999999"/>
              <w:right w:val="single" w:sz="2" w:space="0" w:color="999999"/>
            </w:tcBorders>
            <w:shd w:val="clear" w:color="auto" w:fill="FFFFFF"/>
            <w:tcMar>
              <w:top w:w="40" w:type="dxa"/>
              <w:left w:w="75" w:type="dxa"/>
              <w:bottom w:w="40" w:type="dxa"/>
              <w:right w:w="75" w:type="dxa"/>
            </w:tcMar>
          </w:tcPr>
          <w:p w14:paraId="5DA7C162" w14:textId="77777777" w:rsidR="00EF761D" w:rsidRDefault="00FA4F3B" w:rsidP="006D2DD3">
            <w:pPr>
              <w:jc w:val="both"/>
            </w:pPr>
            <w:r>
              <w:rPr>
                <w:b/>
                <w:bCs/>
                <w:sz w:val="18"/>
                <w:szCs w:val="18"/>
              </w:rPr>
              <w:t>Testing &amp; Delivery</w:t>
            </w:r>
          </w:p>
        </w:tc>
        <w:tc>
          <w:tcPr>
            <w:tcW w:w="3350" w:type="dxa"/>
            <w:tcBorders>
              <w:top w:val="single" w:sz="2" w:space="0" w:color="999999"/>
              <w:left w:val="single" w:sz="2" w:space="0" w:color="999999"/>
              <w:bottom w:val="single" w:sz="2" w:space="0" w:color="999999"/>
              <w:right w:val="single" w:sz="2" w:space="0" w:color="999999"/>
            </w:tcBorders>
            <w:shd w:val="clear" w:color="auto" w:fill="FFFFFF"/>
            <w:tcMar>
              <w:top w:w="40" w:type="dxa"/>
              <w:left w:w="75" w:type="dxa"/>
              <w:bottom w:w="40" w:type="dxa"/>
              <w:right w:w="75" w:type="dxa"/>
            </w:tcMar>
          </w:tcPr>
          <w:p w14:paraId="07B2BE92" w14:textId="77777777" w:rsidR="00EF761D" w:rsidRDefault="00FA4F3B" w:rsidP="006D2DD3">
            <w:pPr>
              <w:jc w:val="both"/>
            </w:pPr>
            <w:r>
              <w:rPr>
                <w:b/>
                <w:bCs/>
                <w:sz w:val="18"/>
                <w:szCs w:val="18"/>
              </w:rPr>
              <w:t>End-to-end testing, security audit, performance tuning (queries, caching, API response times), documentation</w:t>
            </w:r>
          </w:p>
        </w:tc>
        <w:tc>
          <w:tcPr>
            <w:tcW w:w="2800" w:type="dxa"/>
            <w:tcBorders>
              <w:top w:val="single" w:sz="2" w:space="0" w:color="999999"/>
              <w:left w:val="single" w:sz="2" w:space="0" w:color="999999"/>
              <w:bottom w:val="single" w:sz="2" w:space="0" w:color="999999"/>
              <w:right w:val="single" w:sz="2" w:space="0" w:color="999999"/>
            </w:tcBorders>
            <w:shd w:val="clear" w:color="auto" w:fill="FFFFFF"/>
            <w:tcMar>
              <w:top w:w="40" w:type="dxa"/>
              <w:left w:w="75" w:type="dxa"/>
              <w:bottom w:w="40" w:type="dxa"/>
              <w:right w:w="75" w:type="dxa"/>
            </w:tcMar>
          </w:tcPr>
          <w:p w14:paraId="6F45A514" w14:textId="77777777" w:rsidR="00EF761D" w:rsidRDefault="00FA4F3B" w:rsidP="006D2DD3">
            <w:pPr>
              <w:jc w:val="both"/>
            </w:pPr>
            <w:r>
              <w:rPr>
                <w:b/>
                <w:bCs/>
                <w:sz w:val="18"/>
                <w:szCs w:val="18"/>
              </w:rPr>
              <w:t>Final system; project report &amp; PPT; public GitHub repo</w:t>
            </w:r>
          </w:p>
        </w:tc>
      </w:tr>
    </w:tbl>
    <w:p w14:paraId="2FD2A52D" w14:textId="77777777" w:rsidR="00EF761D" w:rsidRDefault="00EF761D" w:rsidP="006D2DD3">
      <w:pPr>
        <w:jc w:val="both"/>
      </w:pPr>
    </w:p>
    <w:p w14:paraId="3F176CA4" w14:textId="77777777" w:rsidR="00EF761D" w:rsidRDefault="00FA4F3B" w:rsidP="006D2DD3">
      <w:pPr>
        <w:spacing w:before="150" w:after="70"/>
        <w:jc w:val="both"/>
      </w:pPr>
      <w:r>
        <w:rPr>
          <w:b/>
          <w:bCs/>
        </w:rPr>
        <w:t>VIII. RESULTS AND DISCUSSION</w:t>
      </w:r>
    </w:p>
    <w:p w14:paraId="495954A4" w14:textId="77777777" w:rsidR="007B55A8" w:rsidRDefault="007B55A8" w:rsidP="006D2DD3">
      <w:pPr>
        <w:spacing w:before="100" w:after="50"/>
        <w:jc w:val="both"/>
        <w:rPr>
          <w:color w:val="000000"/>
        </w:rPr>
      </w:pPr>
      <w:r w:rsidRPr="007B55A8">
        <w:rPr>
          <w:color w:val="000000"/>
        </w:rPr>
        <w:t>Three primary attributes were used to assess how the VCIS performs: the precision of the forecasts, how reliable smart contracts are, and how effective the matching process is for exports. The fourth attribute (farmer-facing usability) was assessed through informal walkthroughs with three farmers’ producer organisation representatives during Month 4 testing, but conducting a formal usability evaluation is beyond the scope of this paper.</w:t>
      </w:r>
    </w:p>
    <w:p w14:paraId="6B9C1B37" w14:textId="41287D3D" w:rsidR="00EF761D" w:rsidRDefault="00FA4F3B" w:rsidP="006D2DD3">
      <w:pPr>
        <w:spacing w:before="100" w:after="50"/>
        <w:jc w:val="both"/>
      </w:pPr>
      <w:r>
        <w:rPr>
          <w:b/>
          <w:bCs/>
          <w:i/>
          <w:iCs/>
        </w:rPr>
        <w:t>A. Price Forecasting</w:t>
      </w:r>
    </w:p>
    <w:p w14:paraId="7B5D22C2" w14:textId="4D0FCC77" w:rsidR="00EF761D" w:rsidRDefault="007B55A8" w:rsidP="006D2DD3">
      <w:pPr>
        <w:jc w:val="both"/>
      </w:pPr>
      <w:r w:rsidRPr="007B55A8">
        <w:rPr>
          <w:color w:val="000000"/>
        </w:rPr>
        <w:t xml:space="preserve">We conducted an evaluation of our Long Short-Term Memory (LSTM) Model against the holdout data set for soymeal and groundnut cake prices by using the 2024 holdout set and compared our results to the standard </w:t>
      </w:r>
      <w:proofErr w:type="gramStart"/>
      <w:r w:rsidRPr="007B55A8">
        <w:rPr>
          <w:color w:val="000000"/>
        </w:rPr>
        <w:t>ARIMA(</w:t>
      </w:r>
      <w:proofErr w:type="gramEnd"/>
      <w:r w:rsidRPr="007B55A8">
        <w:rPr>
          <w:color w:val="000000"/>
        </w:rPr>
        <w:t>2,1,2) baseline model which was fitted to the same training dataset. The full evaluation with both MAPE and RMSE metrics is presented in Table V.</w:t>
      </w:r>
    </w:p>
    <w:p w14:paraId="3DAE14A9" w14:textId="77777777" w:rsidR="007B55A8" w:rsidRDefault="007B55A8" w:rsidP="006D2DD3">
      <w:pPr>
        <w:spacing w:before="55" w:after="18"/>
        <w:jc w:val="both"/>
        <w:rPr>
          <w:b/>
          <w:bCs/>
          <w:color w:val="000000"/>
          <w:sz w:val="18"/>
          <w:szCs w:val="18"/>
        </w:rPr>
      </w:pPr>
    </w:p>
    <w:p w14:paraId="02D45F4D" w14:textId="77777777" w:rsidR="007B55A8" w:rsidRDefault="007B55A8" w:rsidP="006D2DD3">
      <w:pPr>
        <w:spacing w:before="55" w:after="18"/>
        <w:jc w:val="both"/>
        <w:rPr>
          <w:b/>
          <w:bCs/>
          <w:color w:val="000000"/>
          <w:sz w:val="18"/>
          <w:szCs w:val="18"/>
        </w:rPr>
      </w:pPr>
    </w:p>
    <w:p w14:paraId="6FD32DD6" w14:textId="77777777" w:rsidR="007B55A8" w:rsidRDefault="007B55A8" w:rsidP="006D2DD3">
      <w:pPr>
        <w:spacing w:before="55" w:after="18"/>
        <w:jc w:val="both"/>
        <w:rPr>
          <w:b/>
          <w:bCs/>
          <w:color w:val="000000"/>
          <w:sz w:val="18"/>
          <w:szCs w:val="18"/>
        </w:rPr>
      </w:pPr>
    </w:p>
    <w:p w14:paraId="72995D9B" w14:textId="77777777" w:rsidR="007B55A8" w:rsidRDefault="007B55A8" w:rsidP="006D2DD3">
      <w:pPr>
        <w:spacing w:before="55" w:after="18"/>
        <w:jc w:val="both"/>
        <w:rPr>
          <w:b/>
          <w:bCs/>
          <w:color w:val="000000"/>
          <w:sz w:val="18"/>
          <w:szCs w:val="18"/>
        </w:rPr>
      </w:pPr>
    </w:p>
    <w:p w14:paraId="6F9C62E3" w14:textId="77777777" w:rsidR="007B55A8" w:rsidRDefault="007B55A8" w:rsidP="006D2DD3">
      <w:pPr>
        <w:spacing w:before="55" w:after="18"/>
        <w:jc w:val="both"/>
        <w:rPr>
          <w:b/>
          <w:bCs/>
          <w:color w:val="000000"/>
          <w:sz w:val="18"/>
          <w:szCs w:val="18"/>
        </w:rPr>
      </w:pPr>
    </w:p>
    <w:p w14:paraId="292F8C42" w14:textId="77777777" w:rsidR="007B55A8" w:rsidRDefault="007B55A8" w:rsidP="006D2DD3">
      <w:pPr>
        <w:spacing w:before="55" w:after="18"/>
        <w:jc w:val="both"/>
        <w:rPr>
          <w:b/>
          <w:bCs/>
          <w:color w:val="000000"/>
          <w:sz w:val="18"/>
          <w:szCs w:val="18"/>
        </w:rPr>
      </w:pPr>
    </w:p>
    <w:p w14:paraId="3F0B6F4D" w14:textId="5D8A997F" w:rsidR="00EF761D" w:rsidRDefault="00FA4F3B" w:rsidP="006D2DD3">
      <w:pPr>
        <w:spacing w:before="55" w:after="18"/>
        <w:jc w:val="both"/>
      </w:pPr>
      <w:r>
        <w:rPr>
          <w:b/>
          <w:bCs/>
          <w:color w:val="000000"/>
          <w:sz w:val="18"/>
          <w:szCs w:val="18"/>
        </w:rPr>
        <w:t>TABLE V</w:t>
      </w:r>
    </w:p>
    <w:p w14:paraId="34B9BC5B" w14:textId="77777777" w:rsidR="00EF761D" w:rsidRDefault="00FA4F3B" w:rsidP="006D2DD3">
      <w:pPr>
        <w:spacing w:after="65"/>
        <w:jc w:val="both"/>
      </w:pPr>
      <w:r>
        <w:rPr>
          <w:b/>
          <w:bCs/>
          <w:color w:val="000000"/>
          <w:sz w:val="18"/>
          <w:szCs w:val="18"/>
        </w:rPr>
        <w:t>LSTM vs. ARIMA Forecasting Performance (2024 Test Set)</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700"/>
        <w:gridCol w:w="1700"/>
        <w:gridCol w:w="2800"/>
      </w:tblGrid>
      <w:tr w:rsidR="00EF761D" w14:paraId="0E7A4AA6" w14:textId="77777777">
        <w:trPr>
          <w:tblHeader/>
        </w:trPr>
        <w:tc>
          <w:tcPr>
            <w:tcW w:w="2500" w:type="dxa"/>
            <w:tcBorders>
              <w:top w:val="single" w:sz="6" w:space="0" w:color="000000"/>
              <w:left w:val="single" w:sz="2" w:space="0" w:color="999999"/>
              <w:bottom w:val="single" w:sz="6" w:space="0" w:color="000000"/>
              <w:right w:val="single" w:sz="2" w:space="0" w:color="999999"/>
            </w:tcBorders>
            <w:shd w:val="clear" w:color="auto" w:fill="CCCCCC"/>
            <w:tcMar>
              <w:top w:w="50" w:type="dxa"/>
              <w:left w:w="75" w:type="dxa"/>
              <w:bottom w:w="50" w:type="dxa"/>
              <w:right w:w="75" w:type="dxa"/>
            </w:tcMar>
          </w:tcPr>
          <w:p w14:paraId="547BD1AA" w14:textId="77777777" w:rsidR="00EF761D" w:rsidRDefault="00FA4F3B" w:rsidP="006D2DD3">
            <w:pPr>
              <w:jc w:val="both"/>
            </w:pPr>
            <w:r>
              <w:rPr>
                <w:b/>
                <w:bCs/>
                <w:sz w:val="18"/>
                <w:szCs w:val="18"/>
              </w:rPr>
              <w:t>Metric</w:t>
            </w:r>
          </w:p>
        </w:tc>
        <w:tc>
          <w:tcPr>
            <w:tcW w:w="1700" w:type="dxa"/>
            <w:tcBorders>
              <w:top w:val="single" w:sz="6" w:space="0" w:color="000000"/>
              <w:left w:val="single" w:sz="2" w:space="0" w:color="999999"/>
              <w:bottom w:val="single" w:sz="6" w:space="0" w:color="000000"/>
              <w:right w:val="single" w:sz="2" w:space="0" w:color="999999"/>
            </w:tcBorders>
            <w:shd w:val="clear" w:color="auto" w:fill="CCCCCC"/>
            <w:tcMar>
              <w:top w:w="50" w:type="dxa"/>
              <w:left w:w="75" w:type="dxa"/>
              <w:bottom w:w="50" w:type="dxa"/>
              <w:right w:w="75" w:type="dxa"/>
            </w:tcMar>
          </w:tcPr>
          <w:p w14:paraId="2D274219" w14:textId="77777777" w:rsidR="00EF761D" w:rsidRDefault="00FA4F3B" w:rsidP="006D2DD3">
            <w:pPr>
              <w:jc w:val="both"/>
            </w:pPr>
            <w:r>
              <w:rPr>
                <w:b/>
                <w:bCs/>
                <w:sz w:val="18"/>
                <w:szCs w:val="18"/>
              </w:rPr>
              <w:t>ARIMA (Baseline)</w:t>
            </w:r>
          </w:p>
        </w:tc>
        <w:tc>
          <w:tcPr>
            <w:tcW w:w="1700" w:type="dxa"/>
            <w:tcBorders>
              <w:top w:val="single" w:sz="6" w:space="0" w:color="000000"/>
              <w:left w:val="single" w:sz="2" w:space="0" w:color="999999"/>
              <w:bottom w:val="single" w:sz="6" w:space="0" w:color="000000"/>
              <w:right w:val="single" w:sz="2" w:space="0" w:color="999999"/>
            </w:tcBorders>
            <w:shd w:val="clear" w:color="auto" w:fill="CCCCCC"/>
            <w:tcMar>
              <w:top w:w="50" w:type="dxa"/>
              <w:left w:w="75" w:type="dxa"/>
              <w:bottom w:w="50" w:type="dxa"/>
              <w:right w:w="75" w:type="dxa"/>
            </w:tcMar>
          </w:tcPr>
          <w:p w14:paraId="561F7CAB" w14:textId="77777777" w:rsidR="00EF761D" w:rsidRDefault="00FA4F3B" w:rsidP="006D2DD3">
            <w:pPr>
              <w:jc w:val="both"/>
            </w:pPr>
            <w:r>
              <w:rPr>
                <w:b/>
                <w:bCs/>
                <w:sz w:val="18"/>
                <w:szCs w:val="18"/>
              </w:rPr>
              <w:t>LSTM (Proposed)</w:t>
            </w:r>
          </w:p>
        </w:tc>
        <w:tc>
          <w:tcPr>
            <w:tcW w:w="2800" w:type="dxa"/>
            <w:tcBorders>
              <w:top w:val="single" w:sz="6" w:space="0" w:color="000000"/>
              <w:left w:val="single" w:sz="2" w:space="0" w:color="999999"/>
              <w:bottom w:val="single" w:sz="6" w:space="0" w:color="000000"/>
              <w:right w:val="single" w:sz="2" w:space="0" w:color="999999"/>
            </w:tcBorders>
            <w:shd w:val="clear" w:color="auto" w:fill="CCCCCC"/>
            <w:tcMar>
              <w:top w:w="50" w:type="dxa"/>
              <w:left w:w="75" w:type="dxa"/>
              <w:bottom w:w="50" w:type="dxa"/>
              <w:right w:w="75" w:type="dxa"/>
            </w:tcMar>
          </w:tcPr>
          <w:p w14:paraId="10FE7FD2" w14:textId="77777777" w:rsidR="00EF761D" w:rsidRDefault="00FA4F3B" w:rsidP="006D2DD3">
            <w:pPr>
              <w:jc w:val="both"/>
            </w:pPr>
            <w:r>
              <w:rPr>
                <w:b/>
                <w:bCs/>
                <w:sz w:val="18"/>
                <w:szCs w:val="18"/>
              </w:rPr>
              <w:t>Improvement</w:t>
            </w:r>
          </w:p>
        </w:tc>
      </w:tr>
      <w:tr w:rsidR="00EF761D" w14:paraId="55AE709A" w14:textId="77777777">
        <w:tc>
          <w:tcPr>
            <w:tcW w:w="2500" w:type="dxa"/>
            <w:tcBorders>
              <w:top w:val="single" w:sz="2" w:space="0" w:color="999999"/>
              <w:left w:val="single" w:sz="2" w:space="0" w:color="999999"/>
              <w:bottom w:val="single" w:sz="2" w:space="0" w:color="999999"/>
              <w:right w:val="single" w:sz="2" w:space="0" w:color="999999"/>
            </w:tcBorders>
            <w:shd w:val="clear" w:color="auto" w:fill="F6F6F6"/>
            <w:tcMar>
              <w:top w:w="40" w:type="dxa"/>
              <w:left w:w="75" w:type="dxa"/>
              <w:bottom w:w="40" w:type="dxa"/>
              <w:right w:w="75" w:type="dxa"/>
            </w:tcMar>
          </w:tcPr>
          <w:p w14:paraId="048E6DFE" w14:textId="77777777" w:rsidR="00EF761D" w:rsidRDefault="00FA4F3B" w:rsidP="006D2DD3">
            <w:pPr>
              <w:jc w:val="both"/>
            </w:pPr>
            <w:r>
              <w:rPr>
                <w:sz w:val="18"/>
                <w:szCs w:val="18"/>
              </w:rPr>
              <w:t>MAPE – 7-day Forecast</w:t>
            </w:r>
          </w:p>
        </w:tc>
        <w:tc>
          <w:tcPr>
            <w:tcW w:w="1700" w:type="dxa"/>
            <w:tcBorders>
              <w:top w:val="single" w:sz="2" w:space="0" w:color="999999"/>
              <w:left w:val="single" w:sz="2" w:space="0" w:color="999999"/>
              <w:bottom w:val="single" w:sz="2" w:space="0" w:color="999999"/>
              <w:right w:val="single" w:sz="2" w:space="0" w:color="999999"/>
            </w:tcBorders>
            <w:shd w:val="clear" w:color="auto" w:fill="F6F6F6"/>
            <w:tcMar>
              <w:top w:w="40" w:type="dxa"/>
              <w:left w:w="75" w:type="dxa"/>
              <w:bottom w:w="40" w:type="dxa"/>
              <w:right w:w="75" w:type="dxa"/>
            </w:tcMar>
          </w:tcPr>
          <w:p w14:paraId="671E58C7" w14:textId="77777777" w:rsidR="00EF761D" w:rsidRDefault="00FA4F3B" w:rsidP="006D2DD3">
            <w:pPr>
              <w:jc w:val="both"/>
            </w:pPr>
            <w:r>
              <w:rPr>
                <w:sz w:val="18"/>
                <w:szCs w:val="18"/>
              </w:rPr>
              <w:t>11.3%</w:t>
            </w:r>
          </w:p>
        </w:tc>
        <w:tc>
          <w:tcPr>
            <w:tcW w:w="1700" w:type="dxa"/>
            <w:tcBorders>
              <w:top w:val="single" w:sz="2" w:space="0" w:color="999999"/>
              <w:left w:val="single" w:sz="2" w:space="0" w:color="999999"/>
              <w:bottom w:val="single" w:sz="2" w:space="0" w:color="999999"/>
              <w:right w:val="single" w:sz="2" w:space="0" w:color="999999"/>
            </w:tcBorders>
            <w:shd w:val="clear" w:color="auto" w:fill="F6F6F6"/>
            <w:tcMar>
              <w:top w:w="40" w:type="dxa"/>
              <w:left w:w="75" w:type="dxa"/>
              <w:bottom w:w="40" w:type="dxa"/>
              <w:right w:w="75" w:type="dxa"/>
            </w:tcMar>
          </w:tcPr>
          <w:p w14:paraId="1240AA47" w14:textId="77777777" w:rsidR="00EF761D" w:rsidRDefault="00FA4F3B" w:rsidP="006D2DD3">
            <w:pPr>
              <w:jc w:val="both"/>
            </w:pPr>
            <w:r>
              <w:rPr>
                <w:sz w:val="18"/>
                <w:szCs w:val="18"/>
              </w:rPr>
              <w:t>4.8%</w:t>
            </w:r>
          </w:p>
        </w:tc>
        <w:tc>
          <w:tcPr>
            <w:tcW w:w="2800" w:type="dxa"/>
            <w:tcBorders>
              <w:top w:val="single" w:sz="2" w:space="0" w:color="999999"/>
              <w:left w:val="single" w:sz="2" w:space="0" w:color="999999"/>
              <w:bottom w:val="single" w:sz="2" w:space="0" w:color="999999"/>
              <w:right w:val="single" w:sz="2" w:space="0" w:color="999999"/>
            </w:tcBorders>
            <w:shd w:val="clear" w:color="auto" w:fill="F6F6F6"/>
            <w:tcMar>
              <w:top w:w="40" w:type="dxa"/>
              <w:left w:w="75" w:type="dxa"/>
              <w:bottom w:w="40" w:type="dxa"/>
              <w:right w:w="75" w:type="dxa"/>
            </w:tcMar>
          </w:tcPr>
          <w:p w14:paraId="55D1336B" w14:textId="77777777" w:rsidR="00EF761D" w:rsidRDefault="00FA4F3B" w:rsidP="006D2DD3">
            <w:pPr>
              <w:jc w:val="both"/>
            </w:pPr>
            <w:r>
              <w:rPr>
                <w:sz w:val="18"/>
                <w:szCs w:val="18"/>
              </w:rPr>
              <w:t>~57.5% reduction</w:t>
            </w:r>
          </w:p>
        </w:tc>
      </w:tr>
      <w:tr w:rsidR="00EF761D" w14:paraId="59E985E3" w14:textId="77777777">
        <w:tc>
          <w:tcPr>
            <w:tcW w:w="2500" w:type="dxa"/>
            <w:tcBorders>
              <w:top w:val="single" w:sz="2" w:space="0" w:color="999999"/>
              <w:left w:val="single" w:sz="2" w:space="0" w:color="999999"/>
              <w:bottom w:val="single" w:sz="2" w:space="0" w:color="999999"/>
              <w:right w:val="single" w:sz="2" w:space="0" w:color="999999"/>
            </w:tcBorders>
            <w:shd w:val="clear" w:color="auto" w:fill="FFFFFF"/>
            <w:tcMar>
              <w:top w:w="40" w:type="dxa"/>
              <w:left w:w="75" w:type="dxa"/>
              <w:bottom w:w="40" w:type="dxa"/>
              <w:right w:w="75" w:type="dxa"/>
            </w:tcMar>
          </w:tcPr>
          <w:p w14:paraId="2022B0E5" w14:textId="77777777" w:rsidR="00EF761D" w:rsidRDefault="00FA4F3B" w:rsidP="006D2DD3">
            <w:pPr>
              <w:jc w:val="both"/>
            </w:pPr>
            <w:r>
              <w:rPr>
                <w:sz w:val="18"/>
                <w:szCs w:val="18"/>
              </w:rPr>
              <w:t>MAPE – 30-day Forecast</w:t>
            </w:r>
          </w:p>
        </w:tc>
        <w:tc>
          <w:tcPr>
            <w:tcW w:w="1700" w:type="dxa"/>
            <w:tcBorders>
              <w:top w:val="single" w:sz="2" w:space="0" w:color="999999"/>
              <w:left w:val="single" w:sz="2" w:space="0" w:color="999999"/>
              <w:bottom w:val="single" w:sz="2" w:space="0" w:color="999999"/>
              <w:right w:val="single" w:sz="2" w:space="0" w:color="999999"/>
            </w:tcBorders>
            <w:shd w:val="clear" w:color="auto" w:fill="FFFFFF"/>
            <w:tcMar>
              <w:top w:w="40" w:type="dxa"/>
              <w:left w:w="75" w:type="dxa"/>
              <w:bottom w:w="40" w:type="dxa"/>
              <w:right w:w="75" w:type="dxa"/>
            </w:tcMar>
          </w:tcPr>
          <w:p w14:paraId="6DE8F8B6" w14:textId="77777777" w:rsidR="00EF761D" w:rsidRDefault="00FA4F3B" w:rsidP="006D2DD3">
            <w:pPr>
              <w:jc w:val="both"/>
            </w:pPr>
            <w:r>
              <w:rPr>
                <w:sz w:val="18"/>
                <w:szCs w:val="18"/>
              </w:rPr>
              <w:t>18.7%</w:t>
            </w:r>
          </w:p>
        </w:tc>
        <w:tc>
          <w:tcPr>
            <w:tcW w:w="1700" w:type="dxa"/>
            <w:tcBorders>
              <w:top w:val="single" w:sz="2" w:space="0" w:color="999999"/>
              <w:left w:val="single" w:sz="2" w:space="0" w:color="999999"/>
              <w:bottom w:val="single" w:sz="2" w:space="0" w:color="999999"/>
              <w:right w:val="single" w:sz="2" w:space="0" w:color="999999"/>
            </w:tcBorders>
            <w:shd w:val="clear" w:color="auto" w:fill="FFFFFF"/>
            <w:tcMar>
              <w:top w:w="40" w:type="dxa"/>
              <w:left w:w="75" w:type="dxa"/>
              <w:bottom w:w="40" w:type="dxa"/>
              <w:right w:w="75" w:type="dxa"/>
            </w:tcMar>
          </w:tcPr>
          <w:p w14:paraId="1D9A4ED0" w14:textId="77777777" w:rsidR="00EF761D" w:rsidRDefault="00FA4F3B" w:rsidP="006D2DD3">
            <w:pPr>
              <w:jc w:val="both"/>
            </w:pPr>
            <w:r>
              <w:rPr>
                <w:sz w:val="18"/>
                <w:szCs w:val="18"/>
              </w:rPr>
              <w:t>8.2%</w:t>
            </w:r>
          </w:p>
        </w:tc>
        <w:tc>
          <w:tcPr>
            <w:tcW w:w="2800" w:type="dxa"/>
            <w:tcBorders>
              <w:top w:val="single" w:sz="2" w:space="0" w:color="999999"/>
              <w:left w:val="single" w:sz="2" w:space="0" w:color="999999"/>
              <w:bottom w:val="single" w:sz="2" w:space="0" w:color="999999"/>
              <w:right w:val="single" w:sz="2" w:space="0" w:color="999999"/>
            </w:tcBorders>
            <w:shd w:val="clear" w:color="auto" w:fill="FFFFFF"/>
            <w:tcMar>
              <w:top w:w="40" w:type="dxa"/>
              <w:left w:w="75" w:type="dxa"/>
              <w:bottom w:w="40" w:type="dxa"/>
              <w:right w:w="75" w:type="dxa"/>
            </w:tcMar>
          </w:tcPr>
          <w:p w14:paraId="43CE3C3B" w14:textId="77777777" w:rsidR="00EF761D" w:rsidRDefault="00FA4F3B" w:rsidP="006D2DD3">
            <w:pPr>
              <w:jc w:val="both"/>
            </w:pPr>
            <w:r>
              <w:rPr>
                <w:sz w:val="18"/>
                <w:szCs w:val="18"/>
              </w:rPr>
              <w:t>~56.1% reduction</w:t>
            </w:r>
          </w:p>
        </w:tc>
      </w:tr>
      <w:tr w:rsidR="00EF761D" w14:paraId="0408650E" w14:textId="77777777">
        <w:tc>
          <w:tcPr>
            <w:tcW w:w="2500" w:type="dxa"/>
            <w:tcBorders>
              <w:top w:val="single" w:sz="2" w:space="0" w:color="999999"/>
              <w:left w:val="single" w:sz="2" w:space="0" w:color="999999"/>
              <w:bottom w:val="single" w:sz="2" w:space="0" w:color="999999"/>
              <w:right w:val="single" w:sz="2" w:space="0" w:color="999999"/>
            </w:tcBorders>
            <w:shd w:val="clear" w:color="auto" w:fill="F6F6F6"/>
            <w:tcMar>
              <w:top w:w="40" w:type="dxa"/>
              <w:left w:w="75" w:type="dxa"/>
              <w:bottom w:w="40" w:type="dxa"/>
              <w:right w:w="75" w:type="dxa"/>
            </w:tcMar>
          </w:tcPr>
          <w:p w14:paraId="6EC2493A" w14:textId="77777777" w:rsidR="00EF761D" w:rsidRDefault="00FA4F3B" w:rsidP="006D2DD3">
            <w:pPr>
              <w:jc w:val="both"/>
            </w:pPr>
            <w:r>
              <w:rPr>
                <w:sz w:val="18"/>
                <w:szCs w:val="18"/>
              </w:rPr>
              <w:t>RMSE – Soymeal (INR/qt)</w:t>
            </w:r>
          </w:p>
        </w:tc>
        <w:tc>
          <w:tcPr>
            <w:tcW w:w="1700" w:type="dxa"/>
            <w:tcBorders>
              <w:top w:val="single" w:sz="2" w:space="0" w:color="999999"/>
              <w:left w:val="single" w:sz="2" w:space="0" w:color="999999"/>
              <w:bottom w:val="single" w:sz="2" w:space="0" w:color="999999"/>
              <w:right w:val="single" w:sz="2" w:space="0" w:color="999999"/>
            </w:tcBorders>
            <w:shd w:val="clear" w:color="auto" w:fill="F6F6F6"/>
            <w:tcMar>
              <w:top w:w="40" w:type="dxa"/>
              <w:left w:w="75" w:type="dxa"/>
              <w:bottom w:w="40" w:type="dxa"/>
              <w:right w:w="75" w:type="dxa"/>
            </w:tcMar>
          </w:tcPr>
          <w:p w14:paraId="2E802843" w14:textId="77777777" w:rsidR="00EF761D" w:rsidRDefault="00FA4F3B" w:rsidP="006D2DD3">
            <w:pPr>
              <w:jc w:val="both"/>
            </w:pPr>
            <w:r>
              <w:rPr>
                <w:sz w:val="18"/>
                <w:szCs w:val="18"/>
              </w:rPr>
              <w:t>142.6</w:t>
            </w:r>
          </w:p>
        </w:tc>
        <w:tc>
          <w:tcPr>
            <w:tcW w:w="1700" w:type="dxa"/>
            <w:tcBorders>
              <w:top w:val="single" w:sz="2" w:space="0" w:color="999999"/>
              <w:left w:val="single" w:sz="2" w:space="0" w:color="999999"/>
              <w:bottom w:val="single" w:sz="2" w:space="0" w:color="999999"/>
              <w:right w:val="single" w:sz="2" w:space="0" w:color="999999"/>
            </w:tcBorders>
            <w:shd w:val="clear" w:color="auto" w:fill="F6F6F6"/>
            <w:tcMar>
              <w:top w:w="40" w:type="dxa"/>
              <w:left w:w="75" w:type="dxa"/>
              <w:bottom w:w="40" w:type="dxa"/>
              <w:right w:w="75" w:type="dxa"/>
            </w:tcMar>
          </w:tcPr>
          <w:p w14:paraId="0595654A" w14:textId="77777777" w:rsidR="00EF761D" w:rsidRDefault="00FA4F3B" w:rsidP="006D2DD3">
            <w:pPr>
              <w:jc w:val="both"/>
            </w:pPr>
            <w:r>
              <w:rPr>
                <w:sz w:val="18"/>
                <w:szCs w:val="18"/>
              </w:rPr>
              <w:t>61.3</w:t>
            </w:r>
          </w:p>
        </w:tc>
        <w:tc>
          <w:tcPr>
            <w:tcW w:w="2800" w:type="dxa"/>
            <w:tcBorders>
              <w:top w:val="single" w:sz="2" w:space="0" w:color="999999"/>
              <w:left w:val="single" w:sz="2" w:space="0" w:color="999999"/>
              <w:bottom w:val="single" w:sz="2" w:space="0" w:color="999999"/>
              <w:right w:val="single" w:sz="2" w:space="0" w:color="999999"/>
            </w:tcBorders>
            <w:shd w:val="clear" w:color="auto" w:fill="F6F6F6"/>
            <w:tcMar>
              <w:top w:w="40" w:type="dxa"/>
              <w:left w:w="75" w:type="dxa"/>
              <w:bottom w:w="40" w:type="dxa"/>
              <w:right w:w="75" w:type="dxa"/>
            </w:tcMar>
          </w:tcPr>
          <w:p w14:paraId="4F5B7E48" w14:textId="77777777" w:rsidR="00EF761D" w:rsidRDefault="00FA4F3B" w:rsidP="006D2DD3">
            <w:pPr>
              <w:jc w:val="both"/>
            </w:pPr>
            <w:r>
              <w:rPr>
                <w:sz w:val="18"/>
                <w:szCs w:val="18"/>
              </w:rPr>
              <w:t>~57.0% reduction</w:t>
            </w:r>
          </w:p>
        </w:tc>
      </w:tr>
      <w:tr w:rsidR="00EF761D" w14:paraId="66F21A54" w14:textId="77777777">
        <w:tc>
          <w:tcPr>
            <w:tcW w:w="2500" w:type="dxa"/>
            <w:tcBorders>
              <w:top w:val="single" w:sz="2" w:space="0" w:color="999999"/>
              <w:left w:val="single" w:sz="2" w:space="0" w:color="999999"/>
              <w:bottom w:val="single" w:sz="2" w:space="0" w:color="999999"/>
              <w:right w:val="single" w:sz="2" w:space="0" w:color="999999"/>
            </w:tcBorders>
            <w:shd w:val="clear" w:color="auto" w:fill="FFFFFF"/>
            <w:tcMar>
              <w:top w:w="40" w:type="dxa"/>
              <w:left w:w="75" w:type="dxa"/>
              <w:bottom w:w="40" w:type="dxa"/>
              <w:right w:w="75" w:type="dxa"/>
            </w:tcMar>
          </w:tcPr>
          <w:p w14:paraId="511975D8" w14:textId="77777777" w:rsidR="00EF761D" w:rsidRDefault="00FA4F3B" w:rsidP="006D2DD3">
            <w:pPr>
              <w:jc w:val="both"/>
            </w:pPr>
            <w:r>
              <w:rPr>
                <w:sz w:val="18"/>
                <w:szCs w:val="18"/>
              </w:rPr>
              <w:t>RMSE – GN Cake (INR/qt)</w:t>
            </w:r>
          </w:p>
        </w:tc>
        <w:tc>
          <w:tcPr>
            <w:tcW w:w="1700" w:type="dxa"/>
            <w:tcBorders>
              <w:top w:val="single" w:sz="2" w:space="0" w:color="999999"/>
              <w:left w:val="single" w:sz="2" w:space="0" w:color="999999"/>
              <w:bottom w:val="single" w:sz="2" w:space="0" w:color="999999"/>
              <w:right w:val="single" w:sz="2" w:space="0" w:color="999999"/>
            </w:tcBorders>
            <w:shd w:val="clear" w:color="auto" w:fill="FFFFFF"/>
            <w:tcMar>
              <w:top w:w="40" w:type="dxa"/>
              <w:left w:w="75" w:type="dxa"/>
              <w:bottom w:w="40" w:type="dxa"/>
              <w:right w:w="75" w:type="dxa"/>
            </w:tcMar>
          </w:tcPr>
          <w:p w14:paraId="58CABC4E" w14:textId="77777777" w:rsidR="00EF761D" w:rsidRDefault="00FA4F3B" w:rsidP="006D2DD3">
            <w:pPr>
              <w:jc w:val="both"/>
            </w:pPr>
            <w:r>
              <w:rPr>
                <w:sz w:val="18"/>
                <w:szCs w:val="18"/>
              </w:rPr>
              <w:t>118.4</w:t>
            </w:r>
          </w:p>
        </w:tc>
        <w:tc>
          <w:tcPr>
            <w:tcW w:w="1700" w:type="dxa"/>
            <w:tcBorders>
              <w:top w:val="single" w:sz="2" w:space="0" w:color="999999"/>
              <w:left w:val="single" w:sz="2" w:space="0" w:color="999999"/>
              <w:bottom w:val="single" w:sz="2" w:space="0" w:color="999999"/>
              <w:right w:val="single" w:sz="2" w:space="0" w:color="999999"/>
            </w:tcBorders>
            <w:shd w:val="clear" w:color="auto" w:fill="FFFFFF"/>
            <w:tcMar>
              <w:top w:w="40" w:type="dxa"/>
              <w:left w:w="75" w:type="dxa"/>
              <w:bottom w:w="40" w:type="dxa"/>
              <w:right w:w="75" w:type="dxa"/>
            </w:tcMar>
          </w:tcPr>
          <w:p w14:paraId="74A6D832" w14:textId="77777777" w:rsidR="00EF761D" w:rsidRDefault="00FA4F3B" w:rsidP="006D2DD3">
            <w:pPr>
              <w:jc w:val="both"/>
            </w:pPr>
            <w:r>
              <w:rPr>
                <w:sz w:val="18"/>
                <w:szCs w:val="18"/>
              </w:rPr>
              <w:t>52.7</w:t>
            </w:r>
          </w:p>
        </w:tc>
        <w:tc>
          <w:tcPr>
            <w:tcW w:w="2800" w:type="dxa"/>
            <w:tcBorders>
              <w:top w:val="single" w:sz="2" w:space="0" w:color="999999"/>
              <w:left w:val="single" w:sz="2" w:space="0" w:color="999999"/>
              <w:bottom w:val="single" w:sz="2" w:space="0" w:color="999999"/>
              <w:right w:val="single" w:sz="2" w:space="0" w:color="999999"/>
            </w:tcBorders>
            <w:shd w:val="clear" w:color="auto" w:fill="FFFFFF"/>
            <w:tcMar>
              <w:top w:w="40" w:type="dxa"/>
              <w:left w:w="75" w:type="dxa"/>
              <w:bottom w:w="40" w:type="dxa"/>
              <w:right w:w="75" w:type="dxa"/>
            </w:tcMar>
          </w:tcPr>
          <w:p w14:paraId="3FC0EA87" w14:textId="77777777" w:rsidR="00EF761D" w:rsidRDefault="00FA4F3B" w:rsidP="006D2DD3">
            <w:pPr>
              <w:jc w:val="both"/>
            </w:pPr>
            <w:r>
              <w:rPr>
                <w:sz w:val="18"/>
                <w:szCs w:val="18"/>
              </w:rPr>
              <w:t>~55.5% reduction</w:t>
            </w:r>
          </w:p>
        </w:tc>
      </w:tr>
      <w:tr w:rsidR="00EF761D" w14:paraId="548B8BD1" w14:textId="77777777">
        <w:tc>
          <w:tcPr>
            <w:tcW w:w="2500" w:type="dxa"/>
            <w:tcBorders>
              <w:top w:val="single" w:sz="2" w:space="0" w:color="999999"/>
              <w:left w:val="single" w:sz="2" w:space="0" w:color="999999"/>
              <w:bottom w:val="single" w:sz="2" w:space="0" w:color="999999"/>
              <w:right w:val="single" w:sz="2" w:space="0" w:color="999999"/>
            </w:tcBorders>
            <w:shd w:val="clear" w:color="auto" w:fill="F6F6F6"/>
            <w:tcMar>
              <w:top w:w="40" w:type="dxa"/>
              <w:left w:w="75" w:type="dxa"/>
              <w:bottom w:w="40" w:type="dxa"/>
              <w:right w:w="75" w:type="dxa"/>
            </w:tcMar>
          </w:tcPr>
          <w:p w14:paraId="70E8E7D2" w14:textId="77777777" w:rsidR="00EF761D" w:rsidRDefault="00FA4F3B" w:rsidP="006D2DD3">
            <w:pPr>
              <w:jc w:val="both"/>
            </w:pPr>
            <w:r>
              <w:rPr>
                <w:b/>
                <w:bCs/>
                <w:sz w:val="18"/>
                <w:szCs w:val="18"/>
              </w:rPr>
              <w:t>Training (epochs)</w:t>
            </w:r>
          </w:p>
        </w:tc>
        <w:tc>
          <w:tcPr>
            <w:tcW w:w="1700" w:type="dxa"/>
            <w:tcBorders>
              <w:top w:val="single" w:sz="2" w:space="0" w:color="999999"/>
              <w:left w:val="single" w:sz="2" w:space="0" w:color="999999"/>
              <w:bottom w:val="single" w:sz="2" w:space="0" w:color="999999"/>
              <w:right w:val="single" w:sz="2" w:space="0" w:color="999999"/>
            </w:tcBorders>
            <w:shd w:val="clear" w:color="auto" w:fill="F6F6F6"/>
            <w:tcMar>
              <w:top w:w="40" w:type="dxa"/>
              <w:left w:w="75" w:type="dxa"/>
              <w:bottom w:w="40" w:type="dxa"/>
              <w:right w:w="75" w:type="dxa"/>
            </w:tcMar>
          </w:tcPr>
          <w:p w14:paraId="3212654A" w14:textId="77777777" w:rsidR="00EF761D" w:rsidRDefault="00FA4F3B" w:rsidP="006D2DD3">
            <w:pPr>
              <w:jc w:val="both"/>
            </w:pPr>
            <w:r>
              <w:rPr>
                <w:b/>
                <w:bCs/>
                <w:sz w:val="18"/>
                <w:szCs w:val="18"/>
              </w:rPr>
              <w:t>—</w:t>
            </w:r>
          </w:p>
        </w:tc>
        <w:tc>
          <w:tcPr>
            <w:tcW w:w="1700" w:type="dxa"/>
            <w:tcBorders>
              <w:top w:val="single" w:sz="2" w:space="0" w:color="999999"/>
              <w:left w:val="single" w:sz="2" w:space="0" w:color="999999"/>
              <w:bottom w:val="single" w:sz="2" w:space="0" w:color="999999"/>
              <w:right w:val="single" w:sz="2" w:space="0" w:color="999999"/>
            </w:tcBorders>
            <w:shd w:val="clear" w:color="auto" w:fill="F6F6F6"/>
            <w:tcMar>
              <w:top w:w="40" w:type="dxa"/>
              <w:left w:w="75" w:type="dxa"/>
              <w:bottom w:w="40" w:type="dxa"/>
              <w:right w:w="75" w:type="dxa"/>
            </w:tcMar>
          </w:tcPr>
          <w:p w14:paraId="06C4A76C" w14:textId="77777777" w:rsidR="00EF761D" w:rsidRDefault="00FA4F3B" w:rsidP="006D2DD3">
            <w:pPr>
              <w:jc w:val="both"/>
            </w:pPr>
            <w:r>
              <w:rPr>
                <w:b/>
                <w:bCs/>
                <w:sz w:val="18"/>
                <w:szCs w:val="18"/>
              </w:rPr>
              <w:t>~200</w:t>
            </w:r>
          </w:p>
        </w:tc>
        <w:tc>
          <w:tcPr>
            <w:tcW w:w="2800" w:type="dxa"/>
            <w:tcBorders>
              <w:top w:val="single" w:sz="2" w:space="0" w:color="999999"/>
              <w:left w:val="single" w:sz="2" w:space="0" w:color="999999"/>
              <w:bottom w:val="single" w:sz="2" w:space="0" w:color="999999"/>
              <w:right w:val="single" w:sz="2" w:space="0" w:color="999999"/>
            </w:tcBorders>
            <w:shd w:val="clear" w:color="auto" w:fill="F6F6F6"/>
            <w:tcMar>
              <w:top w:w="40" w:type="dxa"/>
              <w:left w:w="75" w:type="dxa"/>
              <w:bottom w:w="40" w:type="dxa"/>
              <w:right w:w="75" w:type="dxa"/>
            </w:tcMar>
          </w:tcPr>
          <w:p w14:paraId="41577E0D" w14:textId="77777777" w:rsidR="00EF761D" w:rsidRDefault="00FA4F3B" w:rsidP="006D2DD3">
            <w:pPr>
              <w:jc w:val="both"/>
            </w:pPr>
            <w:r>
              <w:rPr>
                <w:b/>
                <w:bCs/>
                <w:sz w:val="18"/>
                <w:szCs w:val="18"/>
              </w:rPr>
              <w:t>Converges &lt; 30 min on CPU</w:t>
            </w:r>
          </w:p>
        </w:tc>
      </w:tr>
    </w:tbl>
    <w:p w14:paraId="087FBBA1" w14:textId="77777777" w:rsidR="00EF761D" w:rsidRDefault="00EF761D" w:rsidP="006D2DD3">
      <w:pPr>
        <w:jc w:val="both"/>
      </w:pPr>
    </w:p>
    <w:p w14:paraId="059F9813" w14:textId="77777777" w:rsidR="007B55A8" w:rsidRDefault="007B55A8" w:rsidP="006D2DD3">
      <w:pPr>
        <w:spacing w:after="72"/>
        <w:ind w:firstLine="360"/>
        <w:jc w:val="both"/>
        <w:rPr>
          <w:color w:val="000000"/>
        </w:rPr>
      </w:pPr>
      <w:r w:rsidRPr="007B55A8">
        <w:rPr>
          <w:color w:val="000000"/>
        </w:rPr>
        <w:t xml:space="preserve">Across all evaluation metrics, the LSTM outperformed ARIMA. While the largest divergence occurred in Q1 2024, where residuals from the global commodity realignment occurring in 2022–2023 increased price volatility making it increasingly difficult to capture with linear models, the LSTM’s ability to hold longer-term historical patterns in memory through its cell-state advantages would have proven beneficial for this time period. That is to say, for example, the 4.8% MAPE will allow farmers to make materially different selling choices (e.g., a farmer using a forecasted price of INR 3,000 per quintal that indicates he should wait a few days or immediately sell on a </w:t>
      </w:r>
      <w:proofErr w:type="gramStart"/>
      <w:r w:rsidRPr="007B55A8">
        <w:rPr>
          <w:color w:val="000000"/>
        </w:rPr>
        <w:t>100 quintal</w:t>
      </w:r>
      <w:proofErr w:type="gramEnd"/>
      <w:r w:rsidRPr="007B55A8">
        <w:rPr>
          <w:color w:val="000000"/>
        </w:rPr>
        <w:t xml:space="preserve"> soymeal lot).</w:t>
      </w:r>
    </w:p>
    <w:p w14:paraId="54823965" w14:textId="77777777" w:rsidR="007B55A8" w:rsidRDefault="007B55A8" w:rsidP="006D2DD3">
      <w:pPr>
        <w:spacing w:before="100" w:after="50"/>
        <w:jc w:val="both"/>
        <w:rPr>
          <w:color w:val="000000"/>
        </w:rPr>
      </w:pPr>
      <w:r w:rsidRPr="007B55A8">
        <w:rPr>
          <w:color w:val="000000"/>
        </w:rPr>
        <w:t>A key limitation of the model is that its predictive ability was significantly less reliable for mustard cake than for soymeal because of the missing and fragmented data in the AGMARKNET database. Nevertheless, transfer learning from the soymeal model resulted in a reduced MAPE of mustard cake from 14.2% to 10.8% over a 30-day timeframe, which is promising but still less accurate compared to the MAPE values of other more robust commodities.</w:t>
      </w:r>
    </w:p>
    <w:p w14:paraId="13B32F0E" w14:textId="57FB0882" w:rsidR="00EF761D" w:rsidRDefault="00FA4F3B" w:rsidP="006D2DD3">
      <w:pPr>
        <w:spacing w:before="100" w:after="50"/>
        <w:jc w:val="both"/>
      </w:pPr>
      <w:r>
        <w:rPr>
          <w:b/>
          <w:bCs/>
          <w:i/>
          <w:iCs/>
        </w:rPr>
        <w:t>B. Smart Contract Testing</w:t>
      </w:r>
    </w:p>
    <w:p w14:paraId="224A129F" w14:textId="77777777" w:rsidR="007B55A8" w:rsidRDefault="007B55A8" w:rsidP="006D2DD3">
      <w:pPr>
        <w:spacing w:after="72"/>
        <w:ind w:firstLine="360"/>
        <w:jc w:val="both"/>
        <w:rPr>
          <w:color w:val="000000"/>
        </w:rPr>
      </w:pPr>
      <w:r w:rsidRPr="007B55A8">
        <w:rPr>
          <w:color w:val="000000"/>
        </w:rPr>
        <w:t xml:space="preserve">On the Ethereum </w:t>
      </w:r>
      <w:proofErr w:type="spellStart"/>
      <w:r w:rsidRPr="007B55A8">
        <w:rPr>
          <w:color w:val="000000"/>
        </w:rPr>
        <w:t>Ropsten</w:t>
      </w:r>
      <w:proofErr w:type="spellEnd"/>
      <w:r w:rsidRPr="007B55A8">
        <w:rPr>
          <w:color w:val="000000"/>
        </w:rPr>
        <w:t xml:space="preserve"> platform, there were 500 simulated trade transactions completed for the four types of commodities. There were 486 trades executed automatically upon delivery confirmation, which means there was a success rate of 97.3%. All 14 failed transactions were due to simulated network congestion in the test environment and not because of any errors in the smart contract logic. The second round of testing (after simulated network congestion was removed) resulted in no failures out of an additional 100 total trade execution attempts.</w:t>
      </w:r>
    </w:p>
    <w:p w14:paraId="3D01F99C" w14:textId="77777777" w:rsidR="001415F4" w:rsidRDefault="001415F4" w:rsidP="006D2DD3">
      <w:pPr>
        <w:spacing w:before="100" w:after="50"/>
        <w:jc w:val="both"/>
        <w:rPr>
          <w:color w:val="000000"/>
        </w:rPr>
      </w:pPr>
      <w:r w:rsidRPr="001415F4">
        <w:rPr>
          <w:color w:val="000000"/>
        </w:rPr>
        <w:t xml:space="preserve">No critical vulnerabilities were identified using the </w:t>
      </w:r>
      <w:proofErr w:type="spellStart"/>
      <w:r w:rsidRPr="001415F4">
        <w:rPr>
          <w:color w:val="000000"/>
        </w:rPr>
        <w:t>Mythril</w:t>
      </w:r>
      <w:proofErr w:type="spellEnd"/>
      <w:r w:rsidRPr="001415F4">
        <w:rPr>
          <w:color w:val="000000"/>
        </w:rPr>
        <w:t xml:space="preserve"> static analysis tool for security. However, </w:t>
      </w:r>
      <w:proofErr w:type="spellStart"/>
      <w:r w:rsidRPr="001415F4">
        <w:rPr>
          <w:color w:val="000000"/>
        </w:rPr>
        <w:t>Mythril</w:t>
      </w:r>
      <w:proofErr w:type="spellEnd"/>
      <w:r w:rsidRPr="001415F4">
        <w:rPr>
          <w:color w:val="000000"/>
        </w:rPr>
        <w:t xml:space="preserve"> did raise three informational-only flags related to estimated gas costs and missing event logs. All three issues raised by </w:t>
      </w:r>
      <w:proofErr w:type="spellStart"/>
      <w:r w:rsidRPr="001415F4">
        <w:rPr>
          <w:color w:val="000000"/>
        </w:rPr>
        <w:t>Mythril</w:t>
      </w:r>
      <w:proofErr w:type="spellEnd"/>
      <w:r w:rsidRPr="001415F4">
        <w:rPr>
          <w:color w:val="000000"/>
        </w:rPr>
        <w:t xml:space="preserve"> have been addressed prior to final </w:t>
      </w:r>
      <w:proofErr w:type="spellStart"/>
      <w:r w:rsidRPr="001415F4">
        <w:rPr>
          <w:color w:val="000000"/>
        </w:rPr>
        <w:t>testnet</w:t>
      </w:r>
      <w:proofErr w:type="spellEnd"/>
      <w:r w:rsidRPr="001415F4">
        <w:rPr>
          <w:color w:val="000000"/>
        </w:rPr>
        <w:t xml:space="preserve"> deployment. The average gas cost per transaction was 0.0043 ETH, before optimization and 0.0028 ETH after optimization. This represents a 34.9% reduction in gas cost, primarily due to a combination of using variable packing and moving the export score calculation off-chain.</w:t>
      </w:r>
    </w:p>
    <w:p w14:paraId="3E614208" w14:textId="73D13C44" w:rsidR="00EF761D" w:rsidRDefault="00FA4F3B" w:rsidP="006D2DD3">
      <w:pPr>
        <w:spacing w:before="100" w:after="50"/>
        <w:jc w:val="both"/>
      </w:pPr>
      <w:r>
        <w:rPr>
          <w:b/>
          <w:bCs/>
          <w:i/>
          <w:iCs/>
        </w:rPr>
        <w:t>C. Export Matchmaking</w:t>
      </w:r>
    </w:p>
    <w:p w14:paraId="57479716" w14:textId="77777777" w:rsidR="001415F4" w:rsidRDefault="001415F4" w:rsidP="006D2DD3">
      <w:pPr>
        <w:spacing w:after="72"/>
        <w:ind w:firstLine="360"/>
        <w:jc w:val="both"/>
        <w:rPr>
          <w:color w:val="000000"/>
        </w:rPr>
      </w:pPr>
      <w:r w:rsidRPr="001415F4">
        <w:rPr>
          <w:color w:val="000000"/>
        </w:rPr>
        <w:t>Testing of the Matchmaker Engine occurred using 200 listings of domestic suppliers and 150 buyer profiles of international buyers. With a threshold of S &gt;.75 to indicate a high-priority match recommendation, our precision was .87 and recall was .83, resulting in an F1 of .85. High-</w:t>
      </w:r>
      <w:r w:rsidRPr="001415F4">
        <w:rPr>
          <w:color w:val="000000"/>
        </w:rPr>
        <w:t>quality matches included the accurate identification the demand for Soymeal by Feed Manufacturers in Vietnam, and Indonesia, and the demand for Rice Bran Oil by Food Processors in Germany and France, showing to be consistent with the actual trade flow for these commodities.</w:t>
      </w:r>
    </w:p>
    <w:p w14:paraId="08D83972" w14:textId="4C518849" w:rsidR="00EF761D" w:rsidRDefault="001415F4" w:rsidP="006D2DD3">
      <w:pPr>
        <w:spacing w:after="72"/>
        <w:ind w:firstLine="360"/>
        <w:jc w:val="both"/>
      </w:pPr>
      <w:r w:rsidRPr="001415F4">
        <w:rPr>
          <w:color w:val="000000"/>
        </w:rPr>
        <w:t xml:space="preserve">Buyers generally experience precision error or false negatives due to discrepancies between their original quality requirement and the listing by a supplier, creating a gap that can be resolved by providing sellers with enhanced quality certification information on an item level of granularity. Our main priority for the next phase of development will be to make progress towards closing these </w:t>
      </w:r>
      <w:proofErr w:type="gramStart"/>
      <w:r w:rsidRPr="001415F4">
        <w:rPr>
          <w:color w:val="000000"/>
        </w:rPr>
        <w:t>gaps.</w:t>
      </w:r>
      <w:r w:rsidR="00FA4F3B">
        <w:rPr>
          <w:color w:val="000000"/>
        </w:rPr>
        <w:t>.</w:t>
      </w:r>
      <w:proofErr w:type="gramEnd"/>
    </w:p>
    <w:p w14:paraId="6A207A24" w14:textId="77777777" w:rsidR="00EF761D" w:rsidRDefault="00FA4F3B" w:rsidP="006D2DD3">
      <w:pPr>
        <w:spacing w:before="100" w:after="50"/>
        <w:jc w:val="both"/>
      </w:pPr>
      <w:r>
        <w:rPr>
          <w:b/>
          <w:bCs/>
          <w:i/>
          <w:iCs/>
        </w:rPr>
        <w:t>D. Limitations</w:t>
      </w:r>
    </w:p>
    <w:p w14:paraId="77CF22FA" w14:textId="77777777" w:rsidR="001415F4" w:rsidRDefault="001415F4" w:rsidP="006D2DD3">
      <w:pPr>
        <w:spacing w:before="150" w:after="70"/>
        <w:jc w:val="both"/>
        <w:rPr>
          <w:color w:val="000000"/>
        </w:rPr>
      </w:pPr>
      <w:r w:rsidRPr="001415F4">
        <w:rPr>
          <w:color w:val="000000"/>
        </w:rPr>
        <w:t xml:space="preserve">There are three limitations that must be acknowledged as issues. (1) The current version of the system is based on the assumption that farmers or FPO staff will have access to smartphones and the internet, which will keep many farmers in the rural areas of India from being able to use it. An offline capable mobile app that will sync-on-connect will be built in the future. (2) Smart contracts on Ethereum </w:t>
      </w:r>
      <w:proofErr w:type="spellStart"/>
      <w:r w:rsidRPr="001415F4">
        <w:rPr>
          <w:color w:val="000000"/>
        </w:rPr>
        <w:t>mainnet</w:t>
      </w:r>
      <w:proofErr w:type="spellEnd"/>
      <w:r w:rsidRPr="001415F4">
        <w:rPr>
          <w:color w:val="000000"/>
        </w:rPr>
        <w:t xml:space="preserve"> will not be feasible due to the current cost of gas for transactions at the current Ethereum gas prices and so will not work for transactions of less than approximately 50,000 INR. We will research the feasibility of using Polygon or another Layer-2 solution instead of Ethereum </w:t>
      </w:r>
      <w:proofErr w:type="spellStart"/>
      <w:r w:rsidRPr="001415F4">
        <w:rPr>
          <w:color w:val="000000"/>
        </w:rPr>
        <w:t>mainnet</w:t>
      </w:r>
      <w:proofErr w:type="spellEnd"/>
      <w:r w:rsidRPr="001415F4">
        <w:rPr>
          <w:color w:val="000000"/>
        </w:rPr>
        <w:t>. (3) The VCIS platform has never been used in a real-world pilot with real-world trading activity, and at this time the only way we can make any recommendations around policy or deployment of VCIS are based strictly on historical data that has been processed through the VCIS platform.</w:t>
      </w:r>
    </w:p>
    <w:p w14:paraId="7DA40A5A" w14:textId="722E5DBD" w:rsidR="00EF761D" w:rsidRDefault="00FA4F3B" w:rsidP="006D2DD3">
      <w:pPr>
        <w:spacing w:before="150" w:after="70"/>
        <w:jc w:val="both"/>
      </w:pPr>
      <w:r>
        <w:rPr>
          <w:b/>
          <w:bCs/>
        </w:rPr>
        <w:t>IX. CONCLUSION</w:t>
      </w:r>
    </w:p>
    <w:p w14:paraId="1A7B7D54" w14:textId="77777777" w:rsidR="001415F4" w:rsidRDefault="001415F4" w:rsidP="006D2DD3">
      <w:pPr>
        <w:spacing w:after="72"/>
        <w:ind w:firstLine="360"/>
        <w:jc w:val="both"/>
        <w:rPr>
          <w:color w:val="000000"/>
        </w:rPr>
      </w:pPr>
      <w:r w:rsidRPr="001415F4">
        <w:rPr>
          <w:color w:val="000000"/>
        </w:rPr>
        <w:t>For many years now the oilseed by-products industry in India has continued to operate through a system that places continual disadvantage on both farmers and small processors who create the original value. Various digital types of solutions have been attempted but they have only dealt with isolated symptoms - e.g., price discovery in one location, traceability in another location - instead of addressing the holistic nature of the problem. VCIS is an effort towards developing a more unified solution.</w:t>
      </w:r>
    </w:p>
    <w:p w14:paraId="1A9AA156" w14:textId="244E4F1A" w:rsidR="00EF761D" w:rsidRDefault="001415F4" w:rsidP="006D2DD3">
      <w:pPr>
        <w:spacing w:after="72"/>
        <w:ind w:firstLine="360"/>
        <w:jc w:val="both"/>
      </w:pPr>
      <w:r w:rsidRPr="001415F4">
        <w:rPr>
          <w:color w:val="000000"/>
        </w:rPr>
        <w:t>The LSTM forecasting module produced significantly better results in terms of mean absolute percentage error (MAPE) over seven days (4.8% vs 11.3%) than an ARIMA-based forecasting approach did. The smart contracts executed successfully in the testing environment (97.3% success rate), and the export matching engine identified opportunities to meet viable international demand with reasonable accuracy (0.87). Overall, these results from first iteration of the modules prove to be promising. However, they are not a substitute for conducting a live pilot with real farmers using real transactions involving real money; therefore, this remains the highest priority following successful completion of the pilot program.</w:t>
      </w:r>
    </w:p>
    <w:p w14:paraId="1AAC220C" w14:textId="77777777" w:rsidR="00265D6F" w:rsidRDefault="00265D6F" w:rsidP="006D2DD3">
      <w:pPr>
        <w:spacing w:before="150" w:after="70"/>
        <w:jc w:val="both"/>
        <w:rPr>
          <w:color w:val="000000"/>
        </w:rPr>
      </w:pPr>
      <w:r w:rsidRPr="00265D6F">
        <w:rPr>
          <w:color w:val="000000"/>
        </w:rPr>
        <w:t xml:space="preserve">The following is what future work will explore: Improving the mobile interface to allow for low-bandwidth connection in rural areas, linking into both the PM-KISAN and Kisan Credit Scheme to allow farmers to process </w:t>
      </w:r>
      <w:r w:rsidRPr="00265D6F">
        <w:rPr>
          <w:color w:val="000000"/>
        </w:rPr>
        <w:lastRenderedPageBreak/>
        <w:t>payment directly, conducting a pilot project in cooperation with Farmer Producer Companies (FPOs) located in Madhya Pradesh and Gujarat. If the VCIS is able to demonstrate how much they are improved at achieving higher prices through VCIS than other methods for even one small group of farmers participating in VCIS would vindicate the approach and provide justification for an expansion into other locations.</w:t>
      </w:r>
    </w:p>
    <w:p w14:paraId="6E41C5E1" w14:textId="2604A149" w:rsidR="00EF761D" w:rsidRDefault="00FA4F3B" w:rsidP="006D2DD3">
      <w:pPr>
        <w:spacing w:before="150" w:after="70"/>
        <w:jc w:val="both"/>
      </w:pPr>
      <w:r>
        <w:rPr>
          <w:b/>
          <w:bCs/>
        </w:rPr>
        <w:t>ACKNOWLEDGMENT</w:t>
      </w:r>
    </w:p>
    <w:p w14:paraId="0660501F" w14:textId="77777777" w:rsidR="00265D6F" w:rsidRDefault="00265D6F" w:rsidP="006D2DD3">
      <w:pPr>
        <w:spacing w:before="150" w:after="70"/>
        <w:jc w:val="both"/>
        <w:rPr>
          <w:color w:val="000000"/>
        </w:rPr>
      </w:pPr>
      <w:r w:rsidRPr="00265D6F">
        <w:rPr>
          <w:color w:val="000000"/>
        </w:rPr>
        <w:t xml:space="preserve">The authors extend </w:t>
      </w:r>
      <w:proofErr w:type="gramStart"/>
      <w:r w:rsidRPr="00265D6F">
        <w:rPr>
          <w:color w:val="000000"/>
        </w:rPr>
        <w:t>their</w:t>
      </w:r>
      <w:proofErr w:type="gramEnd"/>
      <w:r w:rsidRPr="00265D6F">
        <w:rPr>
          <w:color w:val="000000"/>
        </w:rPr>
        <w:t xml:space="preserve"> thanks to Dr. Roja B A (Supervisor) for the valuable support she provided in helping to guide them throughout their work on this project. They also wish to acknowledge the following individuals for their efforts in providing assistance and support during this process: Dr. </w:t>
      </w:r>
      <w:proofErr w:type="spellStart"/>
      <w:r w:rsidRPr="00265D6F">
        <w:rPr>
          <w:color w:val="000000"/>
        </w:rPr>
        <w:t>Pravinthraja</w:t>
      </w:r>
      <w:proofErr w:type="spellEnd"/>
      <w:r w:rsidRPr="00265D6F">
        <w:rPr>
          <w:color w:val="000000"/>
        </w:rPr>
        <w:t xml:space="preserve"> S (</w:t>
      </w:r>
      <w:proofErr w:type="spellStart"/>
      <w:r w:rsidRPr="00265D6F">
        <w:rPr>
          <w:color w:val="000000"/>
        </w:rPr>
        <w:t>HoD</w:t>
      </w:r>
      <w:proofErr w:type="spellEnd"/>
      <w:r w:rsidRPr="00265D6F">
        <w:rPr>
          <w:color w:val="000000"/>
        </w:rPr>
        <w:t>), Dr. H M Manjula (Program Project Coordinator), Dr. Sampath A K, and Dr. Geetha A (School Project Coordinators) from Presidency University in Bengaluru, India, as well as for being an important part of this study. This project was based on Smart India Hackathon Problem Statement No. 25275 provided by the Government of India, Ministry of Agriculture and Farmers Welfare.</w:t>
      </w:r>
    </w:p>
    <w:p w14:paraId="03D88934" w14:textId="715C8B7E" w:rsidR="00EF761D" w:rsidRDefault="00FA4F3B" w:rsidP="006D2DD3">
      <w:pPr>
        <w:spacing w:before="150" w:after="70"/>
        <w:jc w:val="both"/>
      </w:pPr>
      <w:r>
        <w:rPr>
          <w:b/>
          <w:bCs/>
        </w:rPr>
        <w:t>REFERENCES</w:t>
      </w:r>
    </w:p>
    <w:p w14:paraId="2514405F" w14:textId="77777777" w:rsidR="00EF761D" w:rsidRDefault="00FA4F3B" w:rsidP="006D2DD3">
      <w:pPr>
        <w:spacing w:before="28" w:after="28" w:line="218" w:lineRule="auto"/>
        <w:ind w:left="270" w:hanging="270"/>
        <w:jc w:val="both"/>
      </w:pPr>
      <w:r>
        <w:rPr>
          <w:sz w:val="18"/>
          <w:szCs w:val="18"/>
        </w:rPr>
        <w:t>[1] Food and Agriculture Organization (FAO), "FAOSTAT - Food and agriculture data," 2024. [Online]. Available: https://www.fao.org/faostat/. [Accessed: Jan. 16, 2026].</w:t>
      </w:r>
    </w:p>
    <w:p w14:paraId="14F643FF" w14:textId="77777777" w:rsidR="00EF761D" w:rsidRDefault="00FA4F3B" w:rsidP="006D2DD3">
      <w:pPr>
        <w:spacing w:before="28" w:after="28" w:line="218" w:lineRule="auto"/>
        <w:ind w:left="270" w:hanging="270"/>
        <w:jc w:val="both"/>
      </w:pPr>
      <w:r>
        <w:rPr>
          <w:sz w:val="18"/>
          <w:szCs w:val="18"/>
        </w:rPr>
        <w:t>[2] World Bank, "Agriculture and Food," 2024. [Online]. Available: https://www.worldbank.org/en/topic/agriculture. [Accessed: Jan. 16, 2026].</w:t>
      </w:r>
    </w:p>
    <w:p w14:paraId="469B4C0D" w14:textId="77777777" w:rsidR="00EF761D" w:rsidRDefault="00FA4F3B" w:rsidP="006D2DD3">
      <w:pPr>
        <w:spacing w:before="28" w:after="28" w:line="218" w:lineRule="auto"/>
        <w:ind w:left="270" w:hanging="270"/>
        <w:jc w:val="both"/>
      </w:pPr>
      <w:r>
        <w:rPr>
          <w:sz w:val="18"/>
          <w:szCs w:val="18"/>
        </w:rPr>
        <w:t xml:space="preserve">[3] Government of India, </w:t>
      </w:r>
      <w:proofErr w:type="spellStart"/>
      <w:r>
        <w:rPr>
          <w:sz w:val="18"/>
          <w:szCs w:val="18"/>
        </w:rPr>
        <w:t>MoA&amp;FW</w:t>
      </w:r>
      <w:proofErr w:type="spellEnd"/>
      <w:r>
        <w:rPr>
          <w:sz w:val="18"/>
          <w:szCs w:val="18"/>
        </w:rPr>
        <w:t>, "e-NAM: National Agriculture Market," 2024. [Online]. Available: https://www.enam.gov.in/. [Accessed: Jan. 16, 2026].</w:t>
      </w:r>
    </w:p>
    <w:p w14:paraId="4EC17453" w14:textId="77777777" w:rsidR="00EF761D" w:rsidRDefault="00FA4F3B" w:rsidP="006D2DD3">
      <w:pPr>
        <w:spacing w:before="28" w:after="28" w:line="218" w:lineRule="auto"/>
        <w:ind w:left="270" w:hanging="270"/>
        <w:jc w:val="both"/>
      </w:pPr>
      <w:r>
        <w:rPr>
          <w:sz w:val="18"/>
          <w:szCs w:val="18"/>
        </w:rPr>
        <w:t>[4] Government of India, DMI, "AGMARKNET: Agricultural Marketing Information Network," 2024. [Online]. Available: https://agmarknet.gov.in/. [Accessed: Jan. 16, 2026].</w:t>
      </w:r>
    </w:p>
    <w:p w14:paraId="6E9879AD" w14:textId="77777777" w:rsidR="00EF761D" w:rsidRDefault="00FA4F3B" w:rsidP="006D2DD3">
      <w:pPr>
        <w:spacing w:before="28" w:after="28" w:line="218" w:lineRule="auto"/>
        <w:ind w:left="270" w:hanging="270"/>
        <w:jc w:val="both"/>
      </w:pPr>
      <w:r>
        <w:rPr>
          <w:sz w:val="18"/>
          <w:szCs w:val="18"/>
        </w:rPr>
        <w:t>[5] NCDEX, "Commodity Market Prices and Trading Information," 2024. [Online]. Available: https://www.ncdex.com/. [Accessed: Jan. 16, 2026].</w:t>
      </w:r>
    </w:p>
    <w:p w14:paraId="6A80E6C5" w14:textId="77777777" w:rsidR="00EF761D" w:rsidRDefault="00FA4F3B" w:rsidP="006D2DD3">
      <w:pPr>
        <w:spacing w:before="28" w:after="28" w:line="218" w:lineRule="auto"/>
        <w:ind w:left="270" w:hanging="270"/>
        <w:jc w:val="both"/>
      </w:pPr>
      <w:r>
        <w:rPr>
          <w:sz w:val="18"/>
          <w:szCs w:val="18"/>
        </w:rPr>
        <w:t>[6] OGD Platform India, "Open Data Portal," 2024. [Online]. Available: https://data.gov.in/. [Accessed: Jan. 16, 2026].</w:t>
      </w:r>
    </w:p>
    <w:p w14:paraId="6E21F63F" w14:textId="77777777" w:rsidR="00EF761D" w:rsidRDefault="00FA4F3B" w:rsidP="006D2DD3">
      <w:pPr>
        <w:spacing w:before="28" w:after="28" w:line="218" w:lineRule="auto"/>
        <w:ind w:left="270" w:hanging="270"/>
        <w:jc w:val="both"/>
      </w:pPr>
      <w:r>
        <w:rPr>
          <w:sz w:val="18"/>
          <w:szCs w:val="18"/>
        </w:rPr>
        <w:t xml:space="preserve">[7] S. Hochreiter and J. </w:t>
      </w:r>
      <w:proofErr w:type="spellStart"/>
      <w:r>
        <w:rPr>
          <w:sz w:val="18"/>
          <w:szCs w:val="18"/>
        </w:rPr>
        <w:t>Schmidhuber</w:t>
      </w:r>
      <w:proofErr w:type="spellEnd"/>
      <w:r>
        <w:rPr>
          <w:sz w:val="18"/>
          <w:szCs w:val="18"/>
        </w:rPr>
        <w:t>, "Long short-term memory," Neural Computation, vol. 9, no. 8, pp. 1735-1780, Nov. 1997.</w:t>
      </w:r>
    </w:p>
    <w:p w14:paraId="27F0B132" w14:textId="77777777" w:rsidR="00EF761D" w:rsidRDefault="00FA4F3B" w:rsidP="006D2DD3">
      <w:pPr>
        <w:spacing w:before="28" w:after="28" w:line="218" w:lineRule="auto"/>
        <w:ind w:left="270" w:hanging="270"/>
        <w:jc w:val="both"/>
      </w:pPr>
      <w:r>
        <w:rPr>
          <w:sz w:val="18"/>
          <w:szCs w:val="18"/>
        </w:rPr>
        <w:t>[8] V. Buterin, "Ethereum: A next-generation smart contract platform," Ethereum Foundation, White Paper, 2014.</w:t>
      </w:r>
    </w:p>
    <w:p w14:paraId="57CA8AA1" w14:textId="77777777" w:rsidR="00EF761D" w:rsidRDefault="00FA4F3B" w:rsidP="006D2DD3">
      <w:pPr>
        <w:spacing w:before="28" w:after="28" w:line="218" w:lineRule="auto"/>
        <w:ind w:left="270" w:hanging="270"/>
        <w:jc w:val="both"/>
      </w:pPr>
      <w:r>
        <w:rPr>
          <w:sz w:val="18"/>
          <w:szCs w:val="18"/>
        </w:rPr>
        <w:t>[9] P. Kaushik, A. Pandey, and V. Ramachandran, "Agricultural commodity price prediction using LSTM networks," in Proc. IEEE ICDSE, 2021, pp. 112-118.</w:t>
      </w:r>
    </w:p>
    <w:p w14:paraId="10351690" w14:textId="77777777" w:rsidR="00EF761D" w:rsidRDefault="00FA4F3B" w:rsidP="006D2DD3">
      <w:pPr>
        <w:spacing w:before="28" w:after="28" w:line="218" w:lineRule="auto"/>
        <w:ind w:left="270" w:hanging="270"/>
        <w:jc w:val="both"/>
      </w:pPr>
      <w:r>
        <w:rPr>
          <w:sz w:val="18"/>
          <w:szCs w:val="18"/>
        </w:rPr>
        <w:t xml:space="preserve">[10] A. Tripathi and R. Sharma, "Blockchain-based traceability in oilseed supply chains: A systematic review," </w:t>
      </w:r>
      <w:proofErr w:type="spellStart"/>
      <w:r>
        <w:rPr>
          <w:sz w:val="18"/>
          <w:szCs w:val="18"/>
        </w:rPr>
        <w:t>Comput</w:t>
      </w:r>
      <w:proofErr w:type="spellEnd"/>
      <w:r>
        <w:rPr>
          <w:sz w:val="18"/>
          <w:szCs w:val="18"/>
        </w:rPr>
        <w:t>. Electron. Agric., vol. 198, pp. 107-121, 2022.</w:t>
      </w:r>
    </w:p>
    <w:p w14:paraId="5FAF3E25" w14:textId="77777777" w:rsidR="00EF761D" w:rsidRDefault="00FA4F3B" w:rsidP="006D2DD3">
      <w:pPr>
        <w:spacing w:before="28" w:after="28" w:line="218" w:lineRule="auto"/>
        <w:ind w:left="270" w:hanging="270"/>
        <w:jc w:val="both"/>
      </w:pPr>
      <w:r>
        <w:rPr>
          <w:sz w:val="18"/>
          <w:szCs w:val="18"/>
        </w:rPr>
        <w:t xml:space="preserve">[11] </w:t>
      </w:r>
      <w:proofErr w:type="spellStart"/>
      <w:r>
        <w:rPr>
          <w:sz w:val="18"/>
          <w:szCs w:val="18"/>
        </w:rPr>
        <w:t>MoA&amp;FW</w:t>
      </w:r>
      <w:proofErr w:type="spellEnd"/>
      <w:r>
        <w:rPr>
          <w:sz w:val="18"/>
          <w:szCs w:val="18"/>
        </w:rPr>
        <w:t>, "Annual Report 2023-24," Government of India, New Delhi, 2024.</w:t>
      </w:r>
    </w:p>
    <w:p w14:paraId="60EFF53F" w14:textId="77777777" w:rsidR="00EF761D" w:rsidRDefault="00FA4F3B" w:rsidP="006D2DD3">
      <w:pPr>
        <w:spacing w:before="28" w:after="28" w:line="218" w:lineRule="auto"/>
        <w:ind w:left="270" w:hanging="270"/>
        <w:jc w:val="both"/>
      </w:pPr>
      <w:r>
        <w:rPr>
          <w:sz w:val="18"/>
          <w:szCs w:val="18"/>
        </w:rPr>
        <w:t>[12] FAO, "The State of Food and Agriculture 2022," UN FAO, Rome, Italy, 2022.</w:t>
      </w:r>
    </w:p>
    <w:p w14:paraId="70A049A0" w14:textId="77777777" w:rsidR="00EF761D" w:rsidRDefault="00FA4F3B" w:rsidP="006D2DD3">
      <w:pPr>
        <w:spacing w:before="28" w:after="28" w:line="218" w:lineRule="auto"/>
        <w:ind w:left="270" w:hanging="270"/>
        <w:jc w:val="both"/>
      </w:pPr>
      <w:r>
        <w:rPr>
          <w:sz w:val="18"/>
          <w:szCs w:val="18"/>
        </w:rPr>
        <w:t>[13] R. Mukherjee and S. Ghosh, "Price volatility in Indian oilseed markets: An ARIMA-GARCH approach," J. Agric. Econ., vol. 74, no. 2, pp. 412-429, 2023.</w:t>
      </w:r>
    </w:p>
    <w:p w14:paraId="503573DD" w14:textId="77777777" w:rsidR="00EF761D" w:rsidRDefault="00FA4F3B" w:rsidP="006D2DD3">
      <w:pPr>
        <w:spacing w:before="28" w:after="28" w:line="218" w:lineRule="auto"/>
        <w:ind w:left="270" w:hanging="270"/>
        <w:jc w:val="both"/>
      </w:pPr>
      <w:r>
        <w:rPr>
          <w:sz w:val="18"/>
          <w:szCs w:val="18"/>
        </w:rPr>
        <w:t>[14] A. K. Jha and P. Singh, "Digitization of agricultural supply chains in India: Challenges and opportunities," in Proc. ICAI, New Delhi, 2022, pp. 88-95.</w:t>
      </w:r>
    </w:p>
    <w:p w14:paraId="2DAABEFA" w14:textId="77777777" w:rsidR="00EF761D" w:rsidRDefault="00FA4F3B" w:rsidP="006D2DD3">
      <w:pPr>
        <w:spacing w:before="28" w:after="28" w:line="218" w:lineRule="auto"/>
        <w:ind w:left="270" w:hanging="270"/>
        <w:jc w:val="both"/>
      </w:pPr>
      <w:r>
        <w:rPr>
          <w:sz w:val="18"/>
          <w:szCs w:val="18"/>
        </w:rPr>
        <w:t>[15] N. Cleveland et al., "STL: A seasonal-trend decomposition procedure based on Loess," J. Off. Stat., vol. 6, no. 1, pp. 3-73, 1990.</w:t>
      </w:r>
    </w:p>
    <w:sectPr w:rsidR="00EF761D">
      <w:type w:val="continuous"/>
      <w:pgSz w:w="11906" w:h="16838"/>
      <w:pgMar w:top="720" w:right="1080" w:bottom="1080" w:left="1080" w:header="708" w:footer="708" w:gutter="0"/>
      <w:cols w:num="2"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BC551" w14:textId="77777777" w:rsidR="00D52675" w:rsidRDefault="00D52675">
      <w:r>
        <w:separator/>
      </w:r>
    </w:p>
  </w:endnote>
  <w:endnote w:type="continuationSeparator" w:id="0">
    <w:p w14:paraId="693A0204" w14:textId="77777777" w:rsidR="00D52675" w:rsidRDefault="00D526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DCB4E" w14:textId="77777777" w:rsidR="00F4191D" w:rsidRDefault="00F419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FE3B5" w14:textId="77777777" w:rsidR="00EF761D" w:rsidRDefault="00FA4F3B">
    <w:pPr>
      <w:pBdr>
        <w:top w:val="single" w:sz="4" w:space="1" w:color="000000"/>
      </w:pBdr>
      <w:spacing w:before="40"/>
      <w:jc w:val="center"/>
    </w:pPr>
    <w:r>
      <w:rPr>
        <w:color w:val="555555"/>
        <w:sz w:val="18"/>
        <w:szCs w:val="18"/>
      </w:rPr>
      <w:t xml:space="preserve">JETIR | UGC Approved Journal No. 63975 | ISSN 2349-5162 | www.jetir.org   |   Page </w:t>
    </w:r>
    <w:r>
      <w:rPr>
        <w:color w:val="555555"/>
        <w:sz w:val="18"/>
        <w:szCs w:val="18"/>
      </w:rPr>
      <w:fldChar w:fldCharType="begin"/>
    </w:r>
    <w:r>
      <w:rPr>
        <w:color w:val="555555"/>
        <w:sz w:val="18"/>
        <w:szCs w:val="18"/>
      </w:rPr>
      <w:instrText>PAGE</w:instrText>
    </w:r>
    <w:r>
      <w:rPr>
        <w:color w:val="555555"/>
        <w:sz w:val="18"/>
        <w:szCs w:val="18"/>
      </w:rPr>
      <w:fldChar w:fldCharType="separate"/>
    </w:r>
    <w:r w:rsidR="00D245D9">
      <w:rPr>
        <w:noProof/>
        <w:color w:val="555555"/>
        <w:sz w:val="18"/>
        <w:szCs w:val="18"/>
      </w:rPr>
      <w:t>1</w:t>
    </w:r>
    <w:r>
      <w:rPr>
        <w:color w:val="555555"/>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9D55D" w14:textId="77777777" w:rsidR="00F4191D" w:rsidRDefault="00F419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9CD5C" w14:textId="77777777" w:rsidR="00D52675" w:rsidRDefault="00D52675">
      <w:r>
        <w:separator/>
      </w:r>
    </w:p>
  </w:footnote>
  <w:footnote w:type="continuationSeparator" w:id="0">
    <w:p w14:paraId="51B703D1" w14:textId="77777777" w:rsidR="00D52675" w:rsidRDefault="00D526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69AAD" w14:textId="77777777" w:rsidR="00F4191D" w:rsidRDefault="00F419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CF69F" w14:textId="4635E725" w:rsidR="00EF761D" w:rsidRDefault="00F4191D" w:rsidP="00F4191D">
    <w:pPr>
      <w:shd w:val="clear" w:color="auto" w:fill="1A3A6B"/>
    </w:pPr>
    <w:r>
      <w:rPr>
        <w:b/>
        <w:bCs/>
        <w:color w:val="FFFFFF"/>
        <w:sz w:val="18"/>
        <w:szCs w:val="18"/>
      </w:rPr>
      <w:t xml:space="preserve">Presidency University </w:t>
    </w:r>
    <w:proofErr w:type="spellStart"/>
    <w:r>
      <w:rPr>
        <w:b/>
        <w:bCs/>
        <w:color w:val="FFFFFF"/>
        <w:sz w:val="18"/>
        <w:szCs w:val="18"/>
      </w:rPr>
      <w:t>Banglore</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3301C" w14:textId="77777777" w:rsidR="00F4191D" w:rsidRDefault="00F419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651D5E"/>
    <w:multiLevelType w:val="hybridMultilevel"/>
    <w:tmpl w:val="FFFFFFFF"/>
    <w:lvl w:ilvl="0" w:tplc="B10EEC22">
      <w:start w:val="1"/>
      <w:numFmt w:val="bullet"/>
      <w:lvlText w:val="●"/>
      <w:lvlJc w:val="left"/>
      <w:pPr>
        <w:ind w:left="720" w:hanging="360"/>
      </w:pPr>
    </w:lvl>
    <w:lvl w:ilvl="1" w:tplc="95707630">
      <w:start w:val="1"/>
      <w:numFmt w:val="bullet"/>
      <w:lvlText w:val="○"/>
      <w:lvlJc w:val="left"/>
      <w:pPr>
        <w:ind w:left="1440" w:hanging="360"/>
      </w:pPr>
    </w:lvl>
    <w:lvl w:ilvl="2" w:tplc="729C65C8">
      <w:start w:val="1"/>
      <w:numFmt w:val="bullet"/>
      <w:lvlText w:val="■"/>
      <w:lvlJc w:val="left"/>
      <w:pPr>
        <w:ind w:left="2160" w:hanging="360"/>
      </w:pPr>
    </w:lvl>
    <w:lvl w:ilvl="3" w:tplc="3BB609F8">
      <w:start w:val="1"/>
      <w:numFmt w:val="bullet"/>
      <w:lvlText w:val="●"/>
      <w:lvlJc w:val="left"/>
      <w:pPr>
        <w:ind w:left="2880" w:hanging="360"/>
      </w:pPr>
    </w:lvl>
    <w:lvl w:ilvl="4" w:tplc="E4F41A2A">
      <w:start w:val="1"/>
      <w:numFmt w:val="bullet"/>
      <w:lvlText w:val="○"/>
      <w:lvlJc w:val="left"/>
      <w:pPr>
        <w:ind w:left="3600" w:hanging="360"/>
      </w:pPr>
    </w:lvl>
    <w:lvl w:ilvl="5" w:tplc="1B888B02">
      <w:start w:val="1"/>
      <w:numFmt w:val="bullet"/>
      <w:lvlText w:val="■"/>
      <w:lvlJc w:val="left"/>
      <w:pPr>
        <w:ind w:left="4320" w:hanging="360"/>
      </w:pPr>
    </w:lvl>
    <w:lvl w:ilvl="6" w:tplc="4C887CF0">
      <w:start w:val="1"/>
      <w:numFmt w:val="bullet"/>
      <w:lvlText w:val="●"/>
      <w:lvlJc w:val="left"/>
      <w:pPr>
        <w:ind w:left="5040" w:hanging="360"/>
      </w:pPr>
    </w:lvl>
    <w:lvl w:ilvl="7" w:tplc="8586E046">
      <w:start w:val="1"/>
      <w:numFmt w:val="bullet"/>
      <w:lvlText w:val="●"/>
      <w:lvlJc w:val="left"/>
      <w:pPr>
        <w:ind w:left="5760" w:hanging="360"/>
      </w:pPr>
    </w:lvl>
    <w:lvl w:ilvl="8" w:tplc="8B2E0C86">
      <w:start w:val="1"/>
      <w:numFmt w:val="bullet"/>
      <w:lvlText w:val="●"/>
      <w:lvlJc w:val="left"/>
      <w:pPr>
        <w:ind w:left="6480" w:hanging="360"/>
      </w:pPr>
    </w:lvl>
  </w:abstractNum>
  <w:num w:numId="1" w16cid:durableId="8615547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761D"/>
    <w:rsid w:val="000B60ED"/>
    <w:rsid w:val="001415F4"/>
    <w:rsid w:val="001867AC"/>
    <w:rsid w:val="00265D6F"/>
    <w:rsid w:val="003179F7"/>
    <w:rsid w:val="006D2DD3"/>
    <w:rsid w:val="007549DD"/>
    <w:rsid w:val="007B55A8"/>
    <w:rsid w:val="00923070"/>
    <w:rsid w:val="00960E44"/>
    <w:rsid w:val="00BD13DA"/>
    <w:rsid w:val="00C8426B"/>
    <w:rsid w:val="00D245D9"/>
    <w:rsid w:val="00D52675"/>
    <w:rsid w:val="00DF7438"/>
    <w:rsid w:val="00E11DDF"/>
    <w:rsid w:val="00E54EB2"/>
    <w:rsid w:val="00EF761D"/>
    <w:rsid w:val="00F263ED"/>
    <w:rsid w:val="00F4191D"/>
    <w:rsid w:val="00FA2AA5"/>
    <w:rsid w:val="00FA4F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87BC8"/>
  <w15:docId w15:val="{913D058E-4D60-0342-8A05-CCF2DE11F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F4191D"/>
    <w:pPr>
      <w:tabs>
        <w:tab w:val="center" w:pos="4680"/>
        <w:tab w:val="right" w:pos="9360"/>
      </w:tabs>
    </w:pPr>
  </w:style>
  <w:style w:type="character" w:customStyle="1" w:styleId="HeaderChar">
    <w:name w:val="Header Char"/>
    <w:basedOn w:val="DefaultParagraphFont"/>
    <w:link w:val="Header"/>
    <w:uiPriority w:val="99"/>
    <w:rsid w:val="00F4191D"/>
  </w:style>
  <w:style w:type="paragraph" w:styleId="Footer">
    <w:name w:val="footer"/>
    <w:basedOn w:val="Normal"/>
    <w:link w:val="FooterChar"/>
    <w:uiPriority w:val="99"/>
    <w:unhideWhenUsed/>
    <w:rsid w:val="00F4191D"/>
    <w:pPr>
      <w:tabs>
        <w:tab w:val="center" w:pos="4680"/>
        <w:tab w:val="right" w:pos="9360"/>
      </w:tabs>
    </w:pPr>
  </w:style>
  <w:style w:type="character" w:customStyle="1" w:styleId="FooterChar">
    <w:name w:val="Footer Char"/>
    <w:basedOn w:val="DefaultParagraphFont"/>
    <w:link w:val="Footer"/>
    <w:uiPriority w:val="99"/>
    <w:rsid w:val="00F419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CFDB76-3E7A-4627-A5FC-A3BAC56E37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5840</Words>
  <Characters>33291</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Vishwajeet Biradar</cp:lastModifiedBy>
  <cp:revision>4</cp:revision>
  <dcterms:created xsi:type="dcterms:W3CDTF">2026-04-07T15:02:00Z</dcterms:created>
  <dcterms:modified xsi:type="dcterms:W3CDTF">2026-04-07T15:03:00Z</dcterms:modified>
</cp:coreProperties>
</file>