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2761"/>
        </w:rPr>
        <w:t>ENTWINE Digital Twin</w:t>
      </w:r>
    </w:p>
    <w:p>
      <w:pPr>
        <w:jc w:val="center"/>
      </w:pPr>
      <w:r>
        <w:rPr>
          <w:b/>
          <w:color w:val="0E8E8E"/>
          <w:sz w:val="30"/>
        </w:rPr>
        <w:t>Symbols, Abbreviations and Nomenclature</w:t>
      </w:r>
    </w:p>
    <w:p>
      <w:pPr>
        <w:jc w:val="center"/>
      </w:pPr>
      <w:r>
        <w:t>This reference table defines the terminology used throughout the ENTWINE Energy Digital Twin project. It covers the Asset Registry, historical State Layer, Intelligence Layer, REST API, dashboard, database objects, electrical measurements, and mathematical notation.</w:t>
      </w:r>
    </w:p>
    <w:p>
      <w:pPr>
        <w:pStyle w:val="Heading1"/>
      </w:pPr>
      <w:r>
        <w:rPr>
          <w:color w:val="1E2761"/>
        </w:rPr>
        <w:t>Symbol / Abbreviation Reference</w:t>
      </w:r>
    </w:p>
    <w:tbl>
      <w:tblPr>
        <w:tblStyle w:val="TableGrid"/>
        <w:tblW w:type="auto" w:w="0"/>
        <w:jc w:val="center"/>
        <w:tblLayout w:type="fixed"/>
        <w:tblLook w:firstColumn="1" w:firstRow="1" w:lastColumn="0" w:lastRow="0" w:noHBand="0" w:noVBand="1" w:val="04A0"/>
      </w:tblPr>
      <w:tblGrid>
        <w:gridCol w:w="2880"/>
        <w:gridCol w:w="7056"/>
      </w:tblGrid>
      <w:tr>
        <w:trPr>
          <w:tblHeader w:val="true"/>
        </w:trPr>
        <w:tc>
          <w:tcPr>
            <w:tcW w:type="dxa" w:w="5112"/>
            <w:shd w:fill="1E2761"/>
            <w:tcMar>
              <w:top w:w="130" w:type="dxa"/>
              <w:start w:w="140" w:type="dxa"/>
              <w:bottom w:w="130" w:type="dxa"/>
              <w:end w:w="140" w:type="dxa"/>
            </w:tcMar>
            <w:vAlign w:val="center"/>
          </w:tcPr>
          <w:p>
            <w:r>
              <w:rPr>
                <w:b/>
                <w:color w:val="FFFFFF"/>
                <w:sz w:val="20"/>
              </w:rPr>
              <w:t>Symbol / Abbreviation</w:t>
            </w:r>
          </w:p>
        </w:tc>
        <w:tc>
          <w:tcPr>
            <w:tcW w:type="dxa" w:w="5112"/>
            <w:shd w:fill="1E2761"/>
            <w:tcMar>
              <w:top w:w="130" w:type="dxa"/>
              <w:start w:w="140" w:type="dxa"/>
              <w:bottom w:w="130" w:type="dxa"/>
              <w:end w:w="140" w:type="dxa"/>
            </w:tcMar>
            <w:vAlign w:val="center"/>
          </w:tcPr>
          <w:p>
            <w:r>
              <w:rPr>
                <w:b/>
                <w:color w:val="FFFFFF"/>
                <w:sz w:val="20"/>
              </w:rPr>
              <w:t>Meaning</w:t>
            </w:r>
          </w:p>
        </w:tc>
      </w:tr>
      <w:tr>
        <w:tc>
          <w:tcPr>
            <w:tcW w:type="dxa" w:w="2880"/>
            <w:shd w:fill="EEF2FA"/>
            <w:tcMar>
              <w:top w:w="100" w:type="dxa"/>
              <w:start w:w="120" w:type="dxa"/>
              <w:bottom w:w="100" w:type="dxa"/>
              <w:end w:w="120" w:type="dxa"/>
            </w:tcMar>
            <w:vAlign w:val="top"/>
          </w:tcPr>
          <w:p>
            <w:r>
              <w:rPr>
                <w:rFonts w:ascii="Consolas" w:hAnsi="Consolas"/>
                <w:b/>
                <w:color w:val="0E8E8E"/>
              </w:rPr>
              <w:t>ENTWINE</w:t>
            </w:r>
          </w:p>
        </w:tc>
        <w:tc>
          <w:tcPr>
            <w:tcW w:type="dxa" w:w="7056"/>
            <w:shd w:fill="EEF2FA"/>
            <w:tcMar>
              <w:top w:w="100" w:type="dxa"/>
              <w:start w:w="120" w:type="dxa"/>
              <w:bottom w:w="100" w:type="dxa"/>
              <w:end w:w="120" w:type="dxa"/>
            </w:tcMar>
            <w:vAlign w:val="top"/>
          </w:tcPr>
          <w:p>
            <w:r>
              <w:rPr>
                <w:color w:val="1E2761"/>
              </w:rPr>
              <w:t>Energy Digital Twin project for representing, monitoring, explaining, and analysing the KCT campus energy system.</w:t>
            </w:r>
          </w:p>
        </w:tc>
      </w:tr>
      <w:tr>
        <w:tc>
          <w:tcPr>
            <w:tcW w:type="dxa" w:w="2880"/>
            <w:tcMar>
              <w:top w:w="100" w:type="dxa"/>
              <w:start w:w="120" w:type="dxa"/>
              <w:bottom w:w="100" w:type="dxa"/>
              <w:end w:w="120" w:type="dxa"/>
            </w:tcMar>
            <w:vAlign w:val="top"/>
          </w:tcPr>
          <w:p>
            <w:r>
              <w:rPr>
                <w:rFonts w:ascii="Consolas" w:hAnsi="Consolas"/>
                <w:b/>
                <w:color w:val="0E8E8E"/>
              </w:rPr>
              <w:t>AI</w:t>
            </w:r>
          </w:p>
        </w:tc>
        <w:tc>
          <w:tcPr>
            <w:tcW w:type="dxa" w:w="7056"/>
            <w:tcMar>
              <w:top w:w="100" w:type="dxa"/>
              <w:start w:w="120" w:type="dxa"/>
              <w:bottom w:w="100" w:type="dxa"/>
              <w:end w:w="120" w:type="dxa"/>
            </w:tcMar>
            <w:vAlign w:val="top"/>
          </w:tcPr>
          <w:p>
            <w:r>
              <w:rPr>
                <w:color w:val="1E2761"/>
              </w:rPr>
              <w:t>Artificial Intelligence.</w:t>
            </w:r>
          </w:p>
        </w:tc>
      </w:tr>
      <w:tr>
        <w:tc>
          <w:tcPr>
            <w:tcW w:type="dxa" w:w="2880"/>
            <w:shd w:fill="EEF2FA"/>
            <w:tcMar>
              <w:top w:w="100" w:type="dxa"/>
              <w:start w:w="120" w:type="dxa"/>
              <w:bottom w:w="100" w:type="dxa"/>
              <w:end w:w="120" w:type="dxa"/>
            </w:tcMar>
            <w:vAlign w:val="top"/>
          </w:tcPr>
          <w:p>
            <w:r>
              <w:rPr>
                <w:rFonts w:ascii="Consolas" w:hAnsi="Consolas"/>
                <w:b/>
                <w:color w:val="0E8E8E"/>
              </w:rPr>
              <w:t>API</w:t>
            </w:r>
          </w:p>
        </w:tc>
        <w:tc>
          <w:tcPr>
            <w:tcW w:type="dxa" w:w="7056"/>
            <w:shd w:fill="EEF2FA"/>
            <w:tcMar>
              <w:top w:w="100" w:type="dxa"/>
              <w:start w:w="120" w:type="dxa"/>
              <w:bottom w:w="100" w:type="dxa"/>
              <w:end w:w="120" w:type="dxa"/>
            </w:tcMar>
            <w:vAlign w:val="top"/>
          </w:tcPr>
          <w:p>
            <w:r>
              <w:rPr>
                <w:color w:val="1E2761"/>
              </w:rPr>
              <w:t>Application Programming Interface.</w:t>
            </w:r>
          </w:p>
        </w:tc>
      </w:tr>
      <w:tr>
        <w:tc>
          <w:tcPr>
            <w:tcW w:type="dxa" w:w="2880"/>
            <w:tcMar>
              <w:top w:w="100" w:type="dxa"/>
              <w:start w:w="120" w:type="dxa"/>
              <w:bottom w:w="100" w:type="dxa"/>
              <w:end w:w="120" w:type="dxa"/>
            </w:tcMar>
            <w:vAlign w:val="top"/>
          </w:tcPr>
          <w:p>
            <w:r>
              <w:rPr>
                <w:rFonts w:ascii="Consolas" w:hAnsi="Consolas"/>
                <w:b/>
                <w:color w:val="0E8E8E"/>
              </w:rPr>
              <w:t>CAFA</w:t>
            </w:r>
          </w:p>
        </w:tc>
        <w:tc>
          <w:tcPr>
            <w:tcW w:type="dxa" w:w="7056"/>
            <w:tcMar>
              <w:top w:w="100" w:type="dxa"/>
              <w:start w:w="120" w:type="dxa"/>
              <w:bottom w:w="100" w:type="dxa"/>
              <w:end w:w="120" w:type="dxa"/>
            </w:tcMar>
            <w:vAlign w:val="top"/>
          </w:tcPr>
          <w:p>
            <w:r>
              <w:rPr>
                <w:color w:val="1E2761"/>
              </w:rPr>
              <w:t>Context-Aware Fairness Audit; the contextual anomaly detection and fairness-analysis framework.</w:t>
            </w:r>
          </w:p>
        </w:tc>
      </w:tr>
      <w:tr>
        <w:tc>
          <w:tcPr>
            <w:tcW w:type="dxa" w:w="2880"/>
            <w:shd w:fill="EEF2FA"/>
            <w:tcMar>
              <w:top w:w="100" w:type="dxa"/>
              <w:start w:w="120" w:type="dxa"/>
              <w:bottom w:w="100" w:type="dxa"/>
              <w:end w:w="120" w:type="dxa"/>
            </w:tcMar>
            <w:vAlign w:val="top"/>
          </w:tcPr>
          <w:p>
            <w:r>
              <w:rPr>
                <w:rFonts w:ascii="Consolas" w:hAnsi="Consolas"/>
                <w:b/>
                <w:color w:val="0E8E8E"/>
              </w:rPr>
              <w:t>CSV</w:t>
            </w:r>
          </w:p>
        </w:tc>
        <w:tc>
          <w:tcPr>
            <w:tcW w:type="dxa" w:w="7056"/>
            <w:shd w:fill="EEF2FA"/>
            <w:tcMar>
              <w:top w:w="100" w:type="dxa"/>
              <w:start w:w="120" w:type="dxa"/>
              <w:bottom w:w="100" w:type="dxa"/>
              <w:end w:w="120" w:type="dxa"/>
            </w:tcMar>
            <w:vAlign w:val="top"/>
          </w:tcPr>
          <w:p>
            <w:r>
              <w:rPr>
                <w:color w:val="1E2761"/>
              </w:rPr>
              <w:t>Comma-Separated Values; a source-file format used for alarms, events, incidents, and measurements.</w:t>
            </w:r>
          </w:p>
        </w:tc>
      </w:tr>
      <w:tr>
        <w:tc>
          <w:tcPr>
            <w:tcW w:type="dxa" w:w="2880"/>
            <w:tcMar>
              <w:top w:w="100" w:type="dxa"/>
              <w:start w:w="120" w:type="dxa"/>
              <w:bottom w:w="100" w:type="dxa"/>
              <w:end w:w="120" w:type="dxa"/>
            </w:tcMar>
            <w:vAlign w:val="top"/>
          </w:tcPr>
          <w:p>
            <w:r>
              <w:rPr>
                <w:rFonts w:ascii="Consolas" w:hAnsi="Consolas"/>
                <w:b/>
                <w:color w:val="0E8E8E"/>
              </w:rPr>
              <w:t>DB / SQL</w:t>
            </w:r>
          </w:p>
        </w:tc>
        <w:tc>
          <w:tcPr>
            <w:tcW w:type="dxa" w:w="7056"/>
            <w:tcMar>
              <w:top w:w="100" w:type="dxa"/>
              <w:start w:w="120" w:type="dxa"/>
              <w:bottom w:w="100" w:type="dxa"/>
              <w:end w:w="120" w:type="dxa"/>
            </w:tcMar>
            <w:vAlign w:val="top"/>
          </w:tcPr>
          <w:p>
            <w:r>
              <w:rPr>
                <w:color w:val="1E2761"/>
              </w:rPr>
              <w:t>Database / Structured Query Language.</w:t>
            </w:r>
          </w:p>
        </w:tc>
      </w:tr>
      <w:tr>
        <w:tc>
          <w:tcPr>
            <w:tcW w:type="dxa" w:w="2880"/>
            <w:shd w:fill="EEF2FA"/>
            <w:tcMar>
              <w:top w:w="100" w:type="dxa"/>
              <w:start w:w="120" w:type="dxa"/>
              <w:bottom w:w="100" w:type="dxa"/>
              <w:end w:w="120" w:type="dxa"/>
            </w:tcMar>
            <w:vAlign w:val="top"/>
          </w:tcPr>
          <w:p>
            <w:r>
              <w:rPr>
                <w:rFonts w:ascii="Consolas" w:hAnsi="Consolas"/>
                <w:b/>
                <w:color w:val="0E8E8E"/>
              </w:rPr>
              <w:t>DDPM</w:t>
            </w:r>
          </w:p>
        </w:tc>
        <w:tc>
          <w:tcPr>
            <w:tcW w:type="dxa" w:w="7056"/>
            <w:shd w:fill="EEF2FA"/>
            <w:tcMar>
              <w:top w:w="100" w:type="dxa"/>
              <w:start w:w="120" w:type="dxa"/>
              <w:bottom w:w="100" w:type="dxa"/>
              <w:end w:w="120" w:type="dxa"/>
            </w:tcMar>
            <w:vAlign w:val="top"/>
          </w:tcPr>
          <w:p>
            <w:r>
              <w:rPr>
                <w:color w:val="1E2761"/>
              </w:rPr>
              <w:t>Denoising Diffusion Probabilistic Model; used by GrCF for normal-manifold warm-start initialization.</w:t>
            </w:r>
          </w:p>
        </w:tc>
      </w:tr>
      <w:tr>
        <w:tc>
          <w:tcPr>
            <w:tcW w:type="dxa" w:w="2880"/>
            <w:tcMar>
              <w:top w:w="100" w:type="dxa"/>
              <w:start w:w="120" w:type="dxa"/>
              <w:bottom w:w="100" w:type="dxa"/>
              <w:end w:w="120" w:type="dxa"/>
            </w:tcMar>
            <w:vAlign w:val="top"/>
          </w:tcPr>
          <w:p>
            <w:r>
              <w:rPr>
                <w:rFonts w:ascii="Consolas" w:hAnsi="Consolas"/>
                <w:b/>
                <w:color w:val="0E8E8E"/>
              </w:rPr>
              <w:t>F1</w:t>
            </w:r>
          </w:p>
        </w:tc>
        <w:tc>
          <w:tcPr>
            <w:tcW w:type="dxa" w:w="7056"/>
            <w:tcMar>
              <w:top w:w="100" w:type="dxa"/>
              <w:start w:w="120" w:type="dxa"/>
              <w:bottom w:w="100" w:type="dxa"/>
              <w:end w:w="120" w:type="dxa"/>
            </w:tcMar>
            <w:vAlign w:val="top"/>
          </w:tcPr>
          <w:p>
            <w:r>
              <w:rPr>
                <w:color w:val="1E2761"/>
              </w:rPr>
              <w:t>F1 score, the harmonic mean of precision and recall.</w:t>
            </w:r>
          </w:p>
        </w:tc>
      </w:tr>
      <w:tr>
        <w:tc>
          <w:tcPr>
            <w:tcW w:type="dxa" w:w="2880"/>
            <w:shd w:fill="EEF2FA"/>
            <w:tcMar>
              <w:top w:w="100" w:type="dxa"/>
              <w:start w:w="120" w:type="dxa"/>
              <w:bottom w:w="100" w:type="dxa"/>
              <w:end w:w="120" w:type="dxa"/>
            </w:tcMar>
            <w:vAlign w:val="top"/>
          </w:tcPr>
          <w:p>
            <w:r>
              <w:rPr>
                <w:rFonts w:ascii="Consolas" w:hAnsi="Consolas"/>
                <w:b/>
                <w:color w:val="0E8E8E"/>
              </w:rPr>
              <w:t>FastAPI</w:t>
            </w:r>
          </w:p>
        </w:tc>
        <w:tc>
          <w:tcPr>
            <w:tcW w:type="dxa" w:w="7056"/>
            <w:shd w:fill="EEF2FA"/>
            <w:tcMar>
              <w:top w:w="100" w:type="dxa"/>
              <w:start w:w="120" w:type="dxa"/>
              <w:bottom w:w="100" w:type="dxa"/>
              <w:end w:w="120" w:type="dxa"/>
            </w:tcMar>
            <w:vAlign w:val="top"/>
          </w:tcPr>
          <w:p>
            <w:r>
              <w:rPr>
                <w:color w:val="1E2761"/>
              </w:rPr>
              <w:t>Python framework used to expose the digital twin REST API.</w:t>
            </w:r>
          </w:p>
        </w:tc>
      </w:tr>
      <w:tr>
        <w:tc>
          <w:tcPr>
            <w:tcW w:type="dxa" w:w="2880"/>
            <w:tcMar>
              <w:top w:w="100" w:type="dxa"/>
              <w:start w:w="120" w:type="dxa"/>
              <w:bottom w:w="100" w:type="dxa"/>
              <w:end w:w="120" w:type="dxa"/>
            </w:tcMar>
            <w:vAlign w:val="top"/>
          </w:tcPr>
          <w:p>
            <w:r>
              <w:rPr>
                <w:rFonts w:ascii="Consolas" w:hAnsi="Consolas"/>
                <w:b/>
                <w:color w:val="0E8E8E"/>
              </w:rPr>
              <w:t>GrCF</w:t>
            </w:r>
          </w:p>
        </w:tc>
        <w:tc>
          <w:tcPr>
            <w:tcW w:type="dxa" w:w="7056"/>
            <w:tcMar>
              <w:top w:w="100" w:type="dxa"/>
              <w:start w:w="120" w:type="dxa"/>
              <w:bottom w:w="100" w:type="dxa"/>
              <w:end w:w="120" w:type="dxa"/>
            </w:tcMar>
            <w:vAlign w:val="top"/>
          </w:tcPr>
          <w:p>
            <w:r>
              <w:rPr>
                <w:color w:val="1E2761"/>
              </w:rPr>
              <w:t>Granger-regularised Counterfactual explanations; the counterfactual generation framework.</w:t>
            </w:r>
          </w:p>
        </w:tc>
      </w:tr>
      <w:tr>
        <w:tc>
          <w:tcPr>
            <w:tcW w:type="dxa" w:w="2880"/>
            <w:shd w:fill="EEF2FA"/>
            <w:tcMar>
              <w:top w:w="100" w:type="dxa"/>
              <w:start w:w="120" w:type="dxa"/>
              <w:bottom w:w="100" w:type="dxa"/>
              <w:end w:w="120" w:type="dxa"/>
            </w:tcMar>
            <w:vAlign w:val="top"/>
          </w:tcPr>
          <w:p>
            <w:r>
              <w:rPr>
                <w:rFonts w:ascii="Consolas" w:hAnsi="Consolas"/>
                <w:b/>
                <w:color w:val="0E8E8E"/>
              </w:rPr>
              <w:t>GridReason</w:t>
            </w:r>
          </w:p>
        </w:tc>
        <w:tc>
          <w:tcPr>
            <w:tcW w:type="dxa" w:w="7056"/>
            <w:shd w:fill="EEF2FA"/>
            <w:tcMar>
              <w:top w:w="100" w:type="dxa"/>
              <w:start w:w="120" w:type="dxa"/>
              <w:bottom w:w="100" w:type="dxa"/>
              <w:end w:w="120" w:type="dxa"/>
            </w:tcMar>
            <w:vAlign w:val="top"/>
          </w:tcPr>
          <w:p>
            <w:r>
              <w:rPr>
                <w:color w:val="1E2761"/>
              </w:rPr>
              <w:t>The contextual intelligence and translation layer that converts model deltas into controlled operator alerts.</w:t>
            </w:r>
          </w:p>
        </w:tc>
      </w:tr>
      <w:tr>
        <w:tc>
          <w:tcPr>
            <w:tcW w:type="dxa" w:w="2880"/>
            <w:tcMar>
              <w:top w:w="100" w:type="dxa"/>
              <w:start w:w="120" w:type="dxa"/>
              <w:bottom w:w="100" w:type="dxa"/>
              <w:end w:w="120" w:type="dxa"/>
            </w:tcMar>
            <w:vAlign w:val="top"/>
          </w:tcPr>
          <w:p>
            <w:r>
              <w:rPr>
                <w:rFonts w:ascii="Consolas" w:hAnsi="Consolas"/>
                <w:b/>
                <w:color w:val="0E8E8E"/>
              </w:rPr>
              <w:t>HTTP / REST</w:t>
            </w:r>
          </w:p>
        </w:tc>
        <w:tc>
          <w:tcPr>
            <w:tcW w:type="dxa" w:w="7056"/>
            <w:tcMar>
              <w:top w:w="100" w:type="dxa"/>
              <w:start w:w="120" w:type="dxa"/>
              <w:bottom w:w="100" w:type="dxa"/>
              <w:end w:w="120" w:type="dxa"/>
            </w:tcMar>
            <w:vAlign w:val="top"/>
          </w:tcPr>
          <w:p>
            <w:r>
              <w:rPr>
                <w:color w:val="1E2761"/>
              </w:rPr>
              <w:t>Hypertext Transfer Protocol / Representational State Transfer; the communication style used by the API.</w:t>
            </w:r>
          </w:p>
        </w:tc>
      </w:tr>
      <w:tr>
        <w:tc>
          <w:tcPr>
            <w:tcW w:type="dxa" w:w="2880"/>
            <w:shd w:fill="EEF2FA"/>
            <w:tcMar>
              <w:top w:w="100" w:type="dxa"/>
              <w:start w:w="120" w:type="dxa"/>
              <w:bottom w:w="100" w:type="dxa"/>
              <w:end w:w="120" w:type="dxa"/>
            </w:tcMar>
            <w:vAlign w:val="top"/>
          </w:tcPr>
          <w:p>
            <w:r>
              <w:rPr>
                <w:rFonts w:ascii="Consolas" w:hAnsi="Consolas"/>
                <w:b/>
                <w:color w:val="0E8E8E"/>
              </w:rPr>
              <w:t>JSON</w:t>
            </w:r>
          </w:p>
        </w:tc>
        <w:tc>
          <w:tcPr>
            <w:tcW w:type="dxa" w:w="7056"/>
            <w:shd w:fill="EEF2FA"/>
            <w:tcMar>
              <w:top w:w="100" w:type="dxa"/>
              <w:start w:w="120" w:type="dxa"/>
              <w:bottom w:w="100" w:type="dxa"/>
              <w:end w:w="120" w:type="dxa"/>
            </w:tcMar>
            <w:vAlign w:val="top"/>
          </w:tcPr>
          <w:p>
            <w:r>
              <w:rPr>
                <w:color w:val="1E2761"/>
              </w:rPr>
              <w:t>JavaScript Object Notation; the exchange format used for API payloads and counterfactual tensors.</w:t>
            </w:r>
          </w:p>
        </w:tc>
      </w:tr>
      <w:tr>
        <w:tc>
          <w:tcPr>
            <w:tcW w:type="dxa" w:w="2880"/>
            <w:tcMar>
              <w:top w:w="100" w:type="dxa"/>
              <w:start w:w="120" w:type="dxa"/>
              <w:bottom w:w="100" w:type="dxa"/>
              <w:end w:w="120" w:type="dxa"/>
            </w:tcMar>
            <w:vAlign w:val="top"/>
          </w:tcPr>
          <w:p>
            <w:r>
              <w:rPr>
                <w:rFonts w:ascii="Consolas" w:hAnsi="Consolas"/>
                <w:b/>
                <w:color w:val="0E8E8E"/>
              </w:rPr>
              <w:t>JSONB</w:t>
            </w:r>
          </w:p>
        </w:tc>
        <w:tc>
          <w:tcPr>
            <w:tcW w:type="dxa" w:w="7056"/>
            <w:tcMar>
              <w:top w:w="100" w:type="dxa"/>
              <w:start w:w="120" w:type="dxa"/>
              <w:bottom w:w="100" w:type="dxa"/>
              <w:end w:w="120" w:type="dxa"/>
            </w:tcMar>
            <w:vAlign w:val="top"/>
          </w:tcPr>
          <w:p>
            <w:r>
              <w:rPr>
                <w:color w:val="1E2761"/>
              </w:rPr>
              <w:t>PostgreSQL binary JSON data type used to store counterfactual output.</w:t>
            </w:r>
          </w:p>
        </w:tc>
      </w:tr>
      <w:tr>
        <w:tc>
          <w:tcPr>
            <w:tcW w:type="dxa" w:w="2880"/>
            <w:shd w:fill="EEF2FA"/>
            <w:tcMar>
              <w:top w:w="100" w:type="dxa"/>
              <w:start w:w="120" w:type="dxa"/>
              <w:bottom w:w="100" w:type="dxa"/>
              <w:end w:w="120" w:type="dxa"/>
            </w:tcMar>
            <w:vAlign w:val="top"/>
          </w:tcPr>
          <w:p>
            <w:r>
              <w:rPr>
                <w:rFonts w:ascii="Consolas" w:hAnsi="Consolas"/>
                <w:b/>
                <w:color w:val="0E8E8E"/>
              </w:rPr>
              <w:t>KCT</w:t>
            </w:r>
          </w:p>
        </w:tc>
        <w:tc>
          <w:tcPr>
            <w:tcW w:type="dxa" w:w="7056"/>
            <w:shd w:fill="EEF2FA"/>
            <w:tcMar>
              <w:top w:w="100" w:type="dxa"/>
              <w:start w:w="120" w:type="dxa"/>
              <w:bottom w:w="100" w:type="dxa"/>
              <w:end w:w="120" w:type="dxa"/>
            </w:tcMar>
            <w:vAlign w:val="top"/>
          </w:tcPr>
          <w:p>
            <w:r>
              <w:rPr>
                <w:color w:val="1E2761"/>
              </w:rPr>
              <w:t>Kumaraguru College of Technology.</w:t>
            </w:r>
          </w:p>
        </w:tc>
      </w:tr>
      <w:tr>
        <w:tc>
          <w:tcPr>
            <w:tcW w:type="dxa" w:w="2880"/>
            <w:tcMar>
              <w:top w:w="100" w:type="dxa"/>
              <w:start w:w="120" w:type="dxa"/>
              <w:bottom w:w="100" w:type="dxa"/>
              <w:end w:w="120" w:type="dxa"/>
            </w:tcMar>
            <w:vAlign w:val="top"/>
          </w:tcPr>
          <w:p>
            <w:r>
              <w:rPr>
                <w:rFonts w:ascii="Consolas" w:hAnsi="Consolas"/>
                <w:b/>
                <w:color w:val="0E8E8E"/>
              </w:rPr>
              <w:t>LLM</w:t>
            </w:r>
          </w:p>
        </w:tc>
        <w:tc>
          <w:tcPr>
            <w:tcW w:type="dxa" w:w="7056"/>
            <w:tcMar>
              <w:top w:w="100" w:type="dxa"/>
              <w:start w:w="120" w:type="dxa"/>
              <w:bottom w:w="100" w:type="dxa"/>
              <w:end w:w="120" w:type="dxa"/>
            </w:tcMar>
            <w:vAlign w:val="top"/>
          </w:tcPr>
          <w:p>
            <w:r>
              <w:rPr>
                <w:color w:val="1E2761"/>
              </w:rPr>
              <w:t>Large Language Model; an optional controlled local text-generation component in GridReason.</w:t>
            </w:r>
          </w:p>
        </w:tc>
      </w:tr>
      <w:tr>
        <w:tc>
          <w:tcPr>
            <w:tcW w:type="dxa" w:w="2880"/>
            <w:shd w:fill="EEF2FA"/>
            <w:tcMar>
              <w:top w:w="100" w:type="dxa"/>
              <w:start w:w="120" w:type="dxa"/>
              <w:bottom w:w="100" w:type="dxa"/>
              <w:end w:w="120" w:type="dxa"/>
            </w:tcMar>
            <w:vAlign w:val="top"/>
          </w:tcPr>
          <w:p>
            <w:r>
              <w:rPr>
                <w:rFonts w:ascii="Consolas" w:hAnsi="Consolas"/>
                <w:b/>
                <w:color w:val="0E8E8E"/>
              </w:rPr>
              <w:t>LSTM</w:t>
            </w:r>
          </w:p>
        </w:tc>
        <w:tc>
          <w:tcPr>
            <w:tcW w:type="dxa" w:w="7056"/>
            <w:shd w:fill="EEF2FA"/>
            <w:tcMar>
              <w:top w:w="100" w:type="dxa"/>
              <w:start w:w="120" w:type="dxa"/>
              <w:bottom w:w="100" w:type="dxa"/>
              <w:end w:w="120" w:type="dxa"/>
            </w:tcMar>
            <w:vAlign w:val="top"/>
          </w:tcPr>
          <w:p>
            <w:r>
              <w:rPr>
                <w:color w:val="1E2761"/>
              </w:rPr>
              <w:t>Long Short-Term Memory recurrent neural network.</w:t>
            </w:r>
          </w:p>
        </w:tc>
      </w:tr>
      <w:tr>
        <w:tc>
          <w:tcPr>
            <w:tcW w:type="dxa" w:w="2880"/>
            <w:tcMar>
              <w:top w:w="100" w:type="dxa"/>
              <w:start w:w="120" w:type="dxa"/>
              <w:bottom w:w="100" w:type="dxa"/>
              <w:end w:w="120" w:type="dxa"/>
            </w:tcMar>
            <w:vAlign w:val="top"/>
          </w:tcPr>
          <w:p>
            <w:r>
              <w:rPr>
                <w:rFonts w:ascii="Consolas" w:hAnsi="Consolas"/>
                <w:b/>
                <w:color w:val="0E8E8E"/>
              </w:rPr>
              <w:t>MAE</w:t>
            </w:r>
          </w:p>
        </w:tc>
        <w:tc>
          <w:tcPr>
            <w:tcW w:type="dxa" w:w="7056"/>
            <w:tcMar>
              <w:top w:w="100" w:type="dxa"/>
              <w:start w:w="120" w:type="dxa"/>
              <w:bottom w:w="100" w:type="dxa"/>
              <w:end w:w="120" w:type="dxa"/>
            </w:tcMar>
            <w:vAlign w:val="top"/>
          </w:tcPr>
          <w:p>
            <w:r>
              <w:rPr>
                <w:color w:val="1E2761"/>
              </w:rPr>
              <w:t>Mean Absolute Error; the average absolute difference between predicted and observed real power.</w:t>
            </w:r>
          </w:p>
        </w:tc>
      </w:tr>
      <w:tr>
        <w:tc>
          <w:tcPr>
            <w:tcW w:type="dxa" w:w="2880"/>
            <w:shd w:fill="EEF2FA"/>
            <w:tcMar>
              <w:top w:w="100" w:type="dxa"/>
              <w:start w:w="120" w:type="dxa"/>
              <w:bottom w:w="100" w:type="dxa"/>
              <w:end w:w="120" w:type="dxa"/>
            </w:tcMar>
            <w:vAlign w:val="top"/>
          </w:tcPr>
          <w:p>
            <w:r>
              <w:rPr>
                <w:rFonts w:ascii="Consolas" w:hAnsi="Consolas"/>
                <w:b/>
                <w:color w:val="0E8E8E"/>
              </w:rPr>
              <w:t>ML</w:t>
            </w:r>
          </w:p>
        </w:tc>
        <w:tc>
          <w:tcPr>
            <w:tcW w:type="dxa" w:w="7056"/>
            <w:shd w:fill="EEF2FA"/>
            <w:tcMar>
              <w:top w:w="100" w:type="dxa"/>
              <w:start w:w="120" w:type="dxa"/>
              <w:bottom w:w="100" w:type="dxa"/>
              <w:end w:w="120" w:type="dxa"/>
            </w:tcMar>
            <w:vAlign w:val="top"/>
          </w:tcPr>
          <w:p>
            <w:r>
              <w:rPr>
                <w:color w:val="1E2761"/>
              </w:rPr>
              <w:t>Machine Learning.</w:t>
            </w:r>
          </w:p>
        </w:tc>
      </w:tr>
      <w:tr>
        <w:tc>
          <w:tcPr>
            <w:tcW w:type="dxa" w:w="2880"/>
            <w:tcMar>
              <w:top w:w="100" w:type="dxa"/>
              <w:start w:w="120" w:type="dxa"/>
              <w:bottom w:w="100" w:type="dxa"/>
              <w:end w:w="120" w:type="dxa"/>
            </w:tcMar>
            <w:vAlign w:val="top"/>
          </w:tcPr>
          <w:p>
            <w:r>
              <w:rPr>
                <w:rFonts w:ascii="Consolas" w:hAnsi="Consolas"/>
                <w:b/>
                <w:color w:val="0E8E8E"/>
              </w:rPr>
              <w:t>NLP</w:t>
            </w:r>
          </w:p>
        </w:tc>
        <w:tc>
          <w:tcPr>
            <w:tcW w:type="dxa" w:w="7056"/>
            <w:tcMar>
              <w:top w:w="100" w:type="dxa"/>
              <w:start w:w="120" w:type="dxa"/>
              <w:bottom w:w="100" w:type="dxa"/>
              <w:end w:w="120" w:type="dxa"/>
            </w:tcMar>
            <w:vAlign w:val="top"/>
          </w:tcPr>
          <w:p>
            <w:r>
              <w:rPr>
                <w:color w:val="1E2761"/>
              </w:rPr>
              <w:t>Natural Language Processing.</w:t>
            </w:r>
          </w:p>
        </w:tc>
      </w:tr>
      <w:tr>
        <w:tc>
          <w:tcPr>
            <w:tcW w:type="dxa" w:w="2880"/>
            <w:shd w:fill="EEF2FA"/>
            <w:tcMar>
              <w:top w:w="100" w:type="dxa"/>
              <w:start w:w="120" w:type="dxa"/>
              <w:bottom w:w="100" w:type="dxa"/>
              <w:end w:w="120" w:type="dxa"/>
            </w:tcMar>
            <w:vAlign w:val="top"/>
          </w:tcPr>
          <w:p>
            <w:r>
              <w:rPr>
                <w:rFonts w:ascii="Consolas" w:hAnsi="Consolas"/>
                <w:b/>
                <w:color w:val="0E8E8E"/>
              </w:rPr>
              <w:t>PH-A-BLK</w:t>
            </w:r>
          </w:p>
        </w:tc>
        <w:tc>
          <w:tcPr>
            <w:tcW w:type="dxa" w:w="7056"/>
            <w:shd w:fill="EEF2FA"/>
            <w:tcMar>
              <w:top w:w="100" w:type="dxa"/>
              <w:start w:w="120" w:type="dxa"/>
              <w:bottom w:w="100" w:type="dxa"/>
              <w:end w:w="120" w:type="dxa"/>
            </w:tcMar>
            <w:vAlign w:val="top"/>
          </w:tcPr>
          <w:p>
            <w:r>
              <w:rPr>
                <w:color w:val="1E2761"/>
              </w:rPr>
              <w:t>Canonical building identifier for Powerhouse 1 Block A.</w:t>
            </w:r>
          </w:p>
        </w:tc>
      </w:tr>
      <w:tr>
        <w:tc>
          <w:tcPr>
            <w:tcW w:type="dxa" w:w="2880"/>
            <w:tcMar>
              <w:top w:w="100" w:type="dxa"/>
              <w:start w:w="120" w:type="dxa"/>
              <w:bottom w:w="100" w:type="dxa"/>
              <w:end w:w="120" w:type="dxa"/>
            </w:tcMar>
            <w:vAlign w:val="top"/>
          </w:tcPr>
          <w:p>
            <w:r>
              <w:rPr>
                <w:rFonts w:ascii="Consolas" w:hAnsi="Consolas"/>
                <w:b/>
                <w:color w:val="0E8E8E"/>
              </w:rPr>
              <w:t>PH-A-MAIN</w:t>
            </w:r>
          </w:p>
        </w:tc>
        <w:tc>
          <w:tcPr>
            <w:tcW w:type="dxa" w:w="7056"/>
            <w:tcMar>
              <w:top w:w="100" w:type="dxa"/>
              <w:start w:w="120" w:type="dxa"/>
              <w:bottom w:w="100" w:type="dxa"/>
              <w:end w:w="120" w:type="dxa"/>
            </w:tcMar>
            <w:vAlign w:val="top"/>
          </w:tcPr>
          <w:p>
            <w:r>
              <w:rPr>
                <w:color w:val="1E2761"/>
              </w:rPr>
              <w:t>Canonical meter identifier for the main meter of Powerhouse 1 Block A.</w:t>
            </w:r>
          </w:p>
        </w:tc>
      </w:tr>
      <w:tr>
        <w:tc>
          <w:tcPr>
            <w:tcW w:type="dxa" w:w="2880"/>
            <w:shd w:fill="EEF2FA"/>
            <w:tcMar>
              <w:top w:w="100" w:type="dxa"/>
              <w:start w:w="120" w:type="dxa"/>
              <w:bottom w:w="100" w:type="dxa"/>
              <w:end w:w="120" w:type="dxa"/>
            </w:tcMar>
            <w:vAlign w:val="top"/>
          </w:tcPr>
          <w:p>
            <w:r>
              <w:rPr>
                <w:rFonts w:ascii="Consolas" w:hAnsi="Consolas"/>
                <w:b/>
                <w:color w:val="0E8E8E"/>
              </w:rPr>
              <w:t>PostgreSQL</w:t>
            </w:r>
          </w:p>
        </w:tc>
        <w:tc>
          <w:tcPr>
            <w:tcW w:type="dxa" w:w="7056"/>
            <w:shd w:fill="EEF2FA"/>
            <w:tcMar>
              <w:top w:w="100" w:type="dxa"/>
              <w:start w:w="120" w:type="dxa"/>
              <w:bottom w:w="100" w:type="dxa"/>
              <w:end w:w="120" w:type="dxa"/>
            </w:tcMar>
            <w:vAlign w:val="top"/>
          </w:tcPr>
          <w:p>
            <w:r>
              <w:rPr>
                <w:color w:val="1E2761"/>
              </w:rPr>
              <w:t>Relational database management system used as the project database.</w:t>
            </w:r>
          </w:p>
        </w:tc>
      </w:tr>
      <w:tr>
        <w:tc>
          <w:tcPr>
            <w:tcW w:type="dxa" w:w="2880"/>
            <w:tcMar>
              <w:top w:w="100" w:type="dxa"/>
              <w:start w:w="120" w:type="dxa"/>
              <w:bottom w:w="100" w:type="dxa"/>
              <w:end w:w="120" w:type="dxa"/>
            </w:tcMar>
            <w:vAlign w:val="top"/>
          </w:tcPr>
          <w:p>
            <w:r>
              <w:rPr>
                <w:rFonts w:ascii="Consolas" w:hAnsi="Consolas"/>
                <w:b/>
                <w:color w:val="0E8E8E"/>
              </w:rPr>
              <w:t>REST</w:t>
            </w:r>
          </w:p>
        </w:tc>
        <w:tc>
          <w:tcPr>
            <w:tcW w:type="dxa" w:w="7056"/>
            <w:tcMar>
              <w:top w:w="100" w:type="dxa"/>
              <w:start w:w="120" w:type="dxa"/>
              <w:bottom w:w="100" w:type="dxa"/>
              <w:end w:w="120" w:type="dxa"/>
            </w:tcMar>
            <w:vAlign w:val="top"/>
          </w:tcPr>
          <w:p>
            <w:r>
              <w:rPr>
                <w:color w:val="1E2761"/>
              </w:rPr>
              <w:t>See HTTP / REST.</w:t>
            </w:r>
          </w:p>
        </w:tc>
      </w:tr>
      <w:tr>
        <w:tc>
          <w:tcPr>
            <w:tcW w:type="dxa" w:w="2880"/>
            <w:shd w:fill="EEF2FA"/>
            <w:tcMar>
              <w:top w:w="100" w:type="dxa"/>
              <w:start w:w="120" w:type="dxa"/>
              <w:bottom w:w="100" w:type="dxa"/>
              <w:end w:w="120" w:type="dxa"/>
            </w:tcMar>
            <w:vAlign w:val="top"/>
          </w:tcPr>
          <w:p>
            <w:r>
              <w:rPr>
                <w:rFonts w:ascii="Consolas" w:hAnsi="Consolas"/>
                <w:b/>
                <w:color w:val="0E8E8E"/>
              </w:rPr>
              <w:t>SQLAlchemy</w:t>
            </w:r>
          </w:p>
        </w:tc>
        <w:tc>
          <w:tcPr>
            <w:tcW w:type="dxa" w:w="7056"/>
            <w:shd w:fill="EEF2FA"/>
            <w:tcMar>
              <w:top w:w="100" w:type="dxa"/>
              <w:start w:w="120" w:type="dxa"/>
              <w:bottom w:w="100" w:type="dxa"/>
              <w:end w:w="120" w:type="dxa"/>
            </w:tcMar>
            <w:vAlign w:val="top"/>
          </w:tcPr>
          <w:p>
            <w:r>
              <w:rPr>
                <w:color w:val="1E2761"/>
              </w:rPr>
              <w:t>Python database toolkit and ORM/engine layer used for database connections and transactions.</w:t>
            </w:r>
          </w:p>
        </w:tc>
      </w:tr>
      <w:tr>
        <w:tc>
          <w:tcPr>
            <w:tcW w:type="dxa" w:w="2880"/>
            <w:tcMar>
              <w:top w:w="100" w:type="dxa"/>
              <w:start w:w="120" w:type="dxa"/>
              <w:bottom w:w="100" w:type="dxa"/>
              <w:end w:w="120" w:type="dxa"/>
            </w:tcMar>
            <w:vAlign w:val="top"/>
          </w:tcPr>
          <w:p>
            <w:r>
              <w:rPr>
                <w:rFonts w:ascii="Consolas" w:hAnsi="Consolas"/>
                <w:b/>
                <w:color w:val="0E8E8E"/>
              </w:rPr>
              <w:t>TimescaleDB</w:t>
            </w:r>
          </w:p>
        </w:tc>
        <w:tc>
          <w:tcPr>
            <w:tcW w:type="dxa" w:w="7056"/>
            <w:tcMar>
              <w:top w:w="100" w:type="dxa"/>
              <w:start w:w="120" w:type="dxa"/>
              <w:bottom w:w="100" w:type="dxa"/>
              <w:end w:w="120" w:type="dxa"/>
            </w:tcMar>
            <w:vAlign w:val="top"/>
          </w:tcPr>
          <w:p>
            <w:r>
              <w:rPr>
                <w:color w:val="1E2761"/>
              </w:rPr>
              <w:t>PostgreSQL extension optimized for time-series data.</w:t>
            </w:r>
          </w:p>
        </w:tc>
      </w:tr>
      <w:tr>
        <w:tc>
          <w:tcPr>
            <w:tcW w:type="dxa" w:w="2880"/>
            <w:shd w:fill="EEF2FA"/>
            <w:tcMar>
              <w:top w:w="100" w:type="dxa"/>
              <w:start w:w="120" w:type="dxa"/>
              <w:bottom w:w="100" w:type="dxa"/>
              <w:end w:w="120" w:type="dxa"/>
            </w:tcMar>
            <w:vAlign w:val="top"/>
          </w:tcPr>
          <w:p>
            <w:r>
              <w:rPr>
                <w:rFonts w:ascii="Consolas" w:hAnsi="Consolas"/>
                <w:b/>
                <w:color w:val="0E8E8E"/>
              </w:rPr>
              <w:t>UTC</w:t>
            </w:r>
          </w:p>
        </w:tc>
        <w:tc>
          <w:tcPr>
            <w:tcW w:type="dxa" w:w="7056"/>
            <w:shd w:fill="EEF2FA"/>
            <w:tcMar>
              <w:top w:w="100" w:type="dxa"/>
              <w:start w:w="120" w:type="dxa"/>
              <w:bottom w:w="100" w:type="dxa"/>
              <w:end w:w="120" w:type="dxa"/>
            </w:tcMar>
            <w:vAlign w:val="top"/>
          </w:tcPr>
          <w:p>
            <w:r>
              <w:rPr>
                <w:color w:val="1E2761"/>
              </w:rPr>
              <w:t>Coordinated Universal Time; the standard timezone for stored and processed timestamps.</w:t>
            </w:r>
          </w:p>
        </w:tc>
      </w:tr>
      <w:tr>
        <w:tc>
          <w:tcPr>
            <w:tcW w:type="dxa" w:w="2880"/>
            <w:tcMar>
              <w:top w:w="100" w:type="dxa"/>
              <w:start w:w="120" w:type="dxa"/>
              <w:bottom w:w="100" w:type="dxa"/>
              <w:end w:w="120" w:type="dxa"/>
            </w:tcMar>
            <w:vAlign w:val="top"/>
          </w:tcPr>
          <w:p>
            <w:r>
              <w:rPr>
                <w:rFonts w:ascii="Consolas" w:hAnsi="Consolas"/>
                <w:b/>
                <w:color w:val="0E8E8E"/>
              </w:rPr>
              <w:t>XLS / XLSX</w:t>
            </w:r>
          </w:p>
        </w:tc>
        <w:tc>
          <w:tcPr>
            <w:tcW w:type="dxa" w:w="7056"/>
            <w:tcMar>
              <w:top w:w="100" w:type="dxa"/>
              <w:start w:w="120" w:type="dxa"/>
              <w:bottom w:w="100" w:type="dxa"/>
              <w:end w:w="120" w:type="dxa"/>
            </w:tcMar>
            <w:vAlign w:val="top"/>
          </w:tcPr>
          <w:p>
            <w:r>
              <w:rPr>
                <w:color w:val="1E2761"/>
              </w:rPr>
              <w:t>Microsoft Excel workbook formats used by the historical energy reports.</w:t>
            </w:r>
          </w:p>
        </w:tc>
      </w:tr>
      <w:tr>
        <w:tc>
          <w:tcPr>
            <w:tcW w:type="dxa" w:w="2880"/>
            <w:shd w:fill="EEF2FA"/>
            <w:tcMar>
              <w:top w:w="100" w:type="dxa"/>
              <w:start w:w="120" w:type="dxa"/>
              <w:bottom w:w="100" w:type="dxa"/>
              <w:end w:w="120" w:type="dxa"/>
            </w:tcMar>
            <w:vAlign w:val="top"/>
          </w:tcPr>
          <w:p>
            <w:r>
              <w:rPr>
                <w:rFonts w:ascii="Consolas" w:hAnsi="Consolas"/>
                <w:b/>
                <w:color w:val="0E8E8E"/>
              </w:rPr>
              <w:t>XGBoost</w:t>
            </w:r>
          </w:p>
        </w:tc>
        <w:tc>
          <w:tcPr>
            <w:tcW w:type="dxa" w:w="7056"/>
            <w:shd w:fill="EEF2FA"/>
            <w:tcMar>
              <w:top w:w="100" w:type="dxa"/>
              <w:start w:w="120" w:type="dxa"/>
              <w:bottom w:w="100" w:type="dxa"/>
              <w:end w:w="120" w:type="dxa"/>
            </w:tcMar>
            <w:vAlign w:val="top"/>
          </w:tcPr>
          <w:p>
            <w:r>
              <w:rPr>
                <w:color w:val="1E2761"/>
              </w:rPr>
              <w:t>Gradient-boosted decision-tree library used for contextual real-power prediction.</w:t>
            </w:r>
          </w:p>
        </w:tc>
      </w:tr>
      <w:tr>
        <w:tc>
          <w:tcPr>
            <w:tcW w:type="dxa" w:w="2880"/>
            <w:tcMar>
              <w:top w:w="100" w:type="dxa"/>
              <w:start w:w="120" w:type="dxa"/>
              <w:bottom w:w="100" w:type="dxa"/>
              <w:end w:w="120" w:type="dxa"/>
            </w:tcMar>
            <w:vAlign w:val="top"/>
          </w:tcPr>
          <w:p>
            <w:r>
              <w:rPr>
                <w:rFonts w:ascii="Consolas" w:hAnsi="Consolas"/>
                <w:b/>
                <w:color w:val="0E8E8E"/>
              </w:rPr>
              <w:t>AE</w:t>
            </w:r>
          </w:p>
        </w:tc>
        <w:tc>
          <w:tcPr>
            <w:tcW w:type="dxa" w:w="7056"/>
            <w:tcMar>
              <w:top w:w="100" w:type="dxa"/>
              <w:start w:w="120" w:type="dxa"/>
              <w:bottom w:w="100" w:type="dxa"/>
              <w:end w:w="120" w:type="dxa"/>
            </w:tcMar>
            <w:vAlign w:val="top"/>
          </w:tcPr>
          <w:p>
            <w:r>
              <w:rPr>
                <w:color w:val="1E2761"/>
              </w:rPr>
              <w:t>Autoencoder; a neural network trained to reconstruct normal sequences.</w:t>
            </w:r>
          </w:p>
        </w:tc>
      </w:tr>
      <w:tr>
        <w:tc>
          <w:tcPr>
            <w:tcW w:type="dxa" w:w="2880"/>
            <w:shd w:fill="EEF2FA"/>
            <w:tcMar>
              <w:top w:w="100" w:type="dxa"/>
              <w:start w:w="120" w:type="dxa"/>
              <w:bottom w:w="100" w:type="dxa"/>
              <w:end w:w="120" w:type="dxa"/>
            </w:tcMar>
            <w:vAlign w:val="top"/>
          </w:tcPr>
          <w:p>
            <w:r>
              <w:rPr>
                <w:rFonts w:ascii="Consolas" w:hAnsi="Consolas"/>
                <w:b/>
                <w:color w:val="0E8E8E"/>
              </w:rPr>
              <w:t>CF</w:t>
            </w:r>
          </w:p>
        </w:tc>
        <w:tc>
          <w:tcPr>
            <w:tcW w:type="dxa" w:w="7056"/>
            <w:shd w:fill="EEF2FA"/>
            <w:tcMar>
              <w:top w:w="100" w:type="dxa"/>
              <w:start w:w="120" w:type="dxa"/>
              <w:bottom w:w="100" w:type="dxa"/>
              <w:end w:w="120" w:type="dxa"/>
            </w:tcMar>
            <w:vAlign w:val="top"/>
          </w:tcPr>
          <w:p>
            <w:r>
              <w:rPr>
                <w:color w:val="1E2761"/>
              </w:rPr>
              <w:t>Counterfactual; a generated alternative sequence representing expected normal operation.</w:t>
            </w:r>
          </w:p>
        </w:tc>
      </w:tr>
      <w:tr>
        <w:tc>
          <w:tcPr>
            <w:tcW w:type="dxa" w:w="2880"/>
            <w:tcMar>
              <w:top w:w="100" w:type="dxa"/>
              <w:start w:w="120" w:type="dxa"/>
              <w:bottom w:w="100" w:type="dxa"/>
              <w:end w:w="120" w:type="dxa"/>
            </w:tcMar>
            <w:vAlign w:val="top"/>
          </w:tcPr>
          <w:p>
            <w:r>
              <w:rPr>
                <w:rFonts w:ascii="Consolas" w:hAnsi="Consolas"/>
                <w:b/>
                <w:color w:val="0E8E8E"/>
              </w:rPr>
              <w:t>IF</w:t>
            </w:r>
          </w:p>
        </w:tc>
        <w:tc>
          <w:tcPr>
            <w:tcW w:type="dxa" w:w="7056"/>
            <w:tcMar>
              <w:top w:w="100" w:type="dxa"/>
              <w:start w:w="120" w:type="dxa"/>
              <w:bottom w:w="100" w:type="dxa"/>
              <w:end w:w="120" w:type="dxa"/>
            </w:tcMar>
            <w:vAlign w:val="top"/>
          </w:tcPr>
          <w:p>
            <w:r>
              <w:rPr>
                <w:color w:val="1E2761"/>
              </w:rPr>
              <w:t>Isolation Forest; the unsupervised detector used to flag isolated observations.</w:t>
            </w:r>
          </w:p>
        </w:tc>
      </w:tr>
      <w:tr>
        <w:tc>
          <w:tcPr>
            <w:tcW w:type="dxa" w:w="2880"/>
            <w:shd w:fill="EEF2FA"/>
            <w:tcMar>
              <w:top w:w="100" w:type="dxa"/>
              <w:start w:w="120" w:type="dxa"/>
              <w:bottom w:w="100" w:type="dxa"/>
              <w:end w:w="120" w:type="dxa"/>
            </w:tcMar>
            <w:vAlign w:val="top"/>
          </w:tcPr>
          <w:p>
            <w:r>
              <w:rPr>
                <w:rFonts w:ascii="Consolas" w:hAnsi="Consolas"/>
                <w:b/>
                <w:color w:val="0E8E8E"/>
              </w:rPr>
              <w:t>PF</w:t>
            </w:r>
          </w:p>
        </w:tc>
        <w:tc>
          <w:tcPr>
            <w:tcW w:type="dxa" w:w="7056"/>
            <w:shd w:fill="EEF2FA"/>
            <w:tcMar>
              <w:top w:w="100" w:type="dxa"/>
              <w:start w:w="120" w:type="dxa"/>
              <w:bottom w:w="100" w:type="dxa"/>
              <w:end w:w="120" w:type="dxa"/>
            </w:tcMar>
            <w:vAlign w:val="top"/>
          </w:tcPr>
          <w:p>
            <w:r>
              <w:rPr>
                <w:color w:val="1E2761"/>
              </w:rPr>
              <w:t>Power Factor; ratio/quality indicator describing electrical power utilization.</w:t>
            </w:r>
          </w:p>
        </w:tc>
      </w:tr>
      <w:tr>
        <w:tc>
          <w:tcPr>
            <w:tcW w:type="dxa" w:w="2880"/>
            <w:tcMar>
              <w:top w:w="100" w:type="dxa"/>
              <w:start w:w="120" w:type="dxa"/>
              <w:bottom w:w="100" w:type="dxa"/>
              <w:end w:w="120" w:type="dxa"/>
            </w:tcMar>
            <w:vAlign w:val="top"/>
          </w:tcPr>
          <w:p>
            <w:r>
              <w:rPr>
                <w:rFonts w:ascii="Consolas" w:hAnsi="Consolas"/>
                <w:b/>
                <w:color w:val="0E8E8E"/>
              </w:rPr>
              <w:t>DG</w:t>
            </w:r>
          </w:p>
        </w:tc>
        <w:tc>
          <w:tcPr>
            <w:tcW w:type="dxa" w:w="7056"/>
            <w:tcMar>
              <w:top w:w="100" w:type="dxa"/>
              <w:start w:w="120" w:type="dxa"/>
              <w:bottom w:w="100" w:type="dxa"/>
              <w:end w:w="120" w:type="dxa"/>
            </w:tcMar>
            <w:vAlign w:val="top"/>
          </w:tcPr>
          <w:p>
            <w:r>
              <w:rPr>
                <w:color w:val="1E2761"/>
              </w:rPr>
              <w:t>Diesel Generator; an equipment/source label in the Powerhouse dataset.</w:t>
            </w:r>
          </w:p>
        </w:tc>
      </w:tr>
      <w:tr>
        <w:tc>
          <w:tcPr>
            <w:tcW w:type="dxa" w:w="2880"/>
            <w:shd w:fill="EEF2FA"/>
            <w:tcMar>
              <w:top w:w="100" w:type="dxa"/>
              <w:start w:w="120" w:type="dxa"/>
              <w:bottom w:w="100" w:type="dxa"/>
              <w:end w:w="120" w:type="dxa"/>
            </w:tcMar>
            <w:vAlign w:val="top"/>
          </w:tcPr>
          <w:p>
            <w:r>
              <w:rPr>
                <w:rFonts w:ascii="Consolas" w:hAnsi="Consolas"/>
                <w:b/>
                <w:color w:val="0E8E8E"/>
              </w:rPr>
              <w:t>VCB</w:t>
            </w:r>
          </w:p>
        </w:tc>
        <w:tc>
          <w:tcPr>
            <w:tcW w:type="dxa" w:w="7056"/>
            <w:shd w:fill="EEF2FA"/>
            <w:tcMar>
              <w:top w:w="100" w:type="dxa"/>
              <w:start w:w="120" w:type="dxa"/>
              <w:bottom w:w="100" w:type="dxa"/>
              <w:end w:w="120" w:type="dxa"/>
            </w:tcMar>
            <w:vAlign w:val="top"/>
          </w:tcPr>
          <w:p>
            <w:r>
              <w:rPr>
                <w:color w:val="1E2761"/>
              </w:rPr>
              <w:t>Vacuum Circuit Breaker; switchgear equipment terminology in the source dataset.</w:t>
            </w:r>
          </w:p>
        </w:tc>
      </w:tr>
      <w:tr>
        <w:tc>
          <w:tcPr>
            <w:tcW w:type="dxa" w:w="2880"/>
            <w:tcMar>
              <w:top w:w="100" w:type="dxa"/>
              <w:start w:w="120" w:type="dxa"/>
              <w:bottom w:w="100" w:type="dxa"/>
              <w:end w:w="120" w:type="dxa"/>
            </w:tcMar>
            <w:vAlign w:val="top"/>
          </w:tcPr>
          <w:p>
            <w:r>
              <w:rPr>
                <w:rFonts w:ascii="Consolas" w:hAnsi="Consolas"/>
                <w:b/>
                <w:color w:val="0E8E8E"/>
              </w:rPr>
              <w:t>kW</w:t>
            </w:r>
          </w:p>
        </w:tc>
        <w:tc>
          <w:tcPr>
            <w:tcW w:type="dxa" w:w="7056"/>
            <w:tcMar>
              <w:top w:w="100" w:type="dxa"/>
              <w:start w:w="120" w:type="dxa"/>
              <w:bottom w:w="100" w:type="dxa"/>
              <w:end w:w="120" w:type="dxa"/>
            </w:tcMar>
            <w:vAlign w:val="top"/>
          </w:tcPr>
          <w:p>
            <w:r>
              <w:rPr>
                <w:color w:val="1E2761"/>
              </w:rPr>
              <w:t>Kilowatt; unit of real/active power.</w:t>
            </w:r>
          </w:p>
        </w:tc>
      </w:tr>
      <w:tr>
        <w:tc>
          <w:tcPr>
            <w:tcW w:type="dxa" w:w="2880"/>
            <w:shd w:fill="EEF2FA"/>
            <w:tcMar>
              <w:top w:w="100" w:type="dxa"/>
              <w:start w:w="120" w:type="dxa"/>
              <w:bottom w:w="100" w:type="dxa"/>
              <w:end w:w="120" w:type="dxa"/>
            </w:tcMar>
            <w:vAlign w:val="top"/>
          </w:tcPr>
          <w:p>
            <w:r>
              <w:rPr>
                <w:rFonts w:ascii="Consolas" w:hAnsi="Consolas"/>
                <w:b/>
                <w:color w:val="0E8E8E"/>
              </w:rPr>
              <w:t>kWh</w:t>
            </w:r>
          </w:p>
        </w:tc>
        <w:tc>
          <w:tcPr>
            <w:tcW w:type="dxa" w:w="7056"/>
            <w:shd w:fill="EEF2FA"/>
            <w:tcMar>
              <w:top w:w="100" w:type="dxa"/>
              <w:start w:w="120" w:type="dxa"/>
              <w:bottom w:w="100" w:type="dxa"/>
              <w:end w:w="120" w:type="dxa"/>
            </w:tcMar>
            <w:vAlign w:val="top"/>
          </w:tcPr>
          <w:p>
            <w:r>
              <w:rPr>
                <w:color w:val="1E2761"/>
              </w:rPr>
              <w:t>Kilowatt-hour; unit of energy consumption.</w:t>
            </w:r>
          </w:p>
        </w:tc>
      </w:tr>
      <w:tr>
        <w:tc>
          <w:tcPr>
            <w:tcW w:type="dxa" w:w="2880"/>
            <w:tcMar>
              <w:top w:w="100" w:type="dxa"/>
              <w:start w:w="120" w:type="dxa"/>
              <w:bottom w:w="100" w:type="dxa"/>
              <w:end w:w="120" w:type="dxa"/>
            </w:tcMar>
            <w:vAlign w:val="top"/>
          </w:tcPr>
          <w:p>
            <w:r>
              <w:rPr>
                <w:rFonts w:ascii="Consolas" w:hAnsi="Consolas"/>
                <w:b/>
                <w:color w:val="0E8E8E"/>
              </w:rPr>
              <w:t>kVA</w:t>
            </w:r>
          </w:p>
        </w:tc>
        <w:tc>
          <w:tcPr>
            <w:tcW w:type="dxa" w:w="7056"/>
            <w:tcMar>
              <w:top w:w="100" w:type="dxa"/>
              <w:start w:w="120" w:type="dxa"/>
              <w:bottom w:w="100" w:type="dxa"/>
              <w:end w:w="120" w:type="dxa"/>
            </w:tcMar>
            <w:vAlign w:val="top"/>
          </w:tcPr>
          <w:p>
            <w:r>
              <w:rPr>
                <w:color w:val="1E2761"/>
              </w:rPr>
              <w:t>Kilovolt-ampere; unit of apparent power.</w:t>
            </w:r>
          </w:p>
        </w:tc>
      </w:tr>
      <w:tr>
        <w:tc>
          <w:tcPr>
            <w:tcW w:type="dxa" w:w="2880"/>
            <w:shd w:fill="EEF2FA"/>
            <w:tcMar>
              <w:top w:w="100" w:type="dxa"/>
              <w:start w:w="120" w:type="dxa"/>
              <w:bottom w:w="100" w:type="dxa"/>
              <w:end w:w="120" w:type="dxa"/>
            </w:tcMar>
            <w:vAlign w:val="top"/>
          </w:tcPr>
          <w:p>
            <w:r>
              <w:rPr>
                <w:rFonts w:ascii="Consolas" w:hAnsi="Consolas"/>
                <w:b/>
                <w:color w:val="0E8E8E"/>
              </w:rPr>
              <w:t>kVAr / kVArh</w:t>
            </w:r>
          </w:p>
        </w:tc>
        <w:tc>
          <w:tcPr>
            <w:tcW w:type="dxa" w:w="7056"/>
            <w:shd w:fill="EEF2FA"/>
            <w:tcMar>
              <w:top w:w="100" w:type="dxa"/>
              <w:start w:w="120" w:type="dxa"/>
              <w:bottom w:w="100" w:type="dxa"/>
              <w:end w:w="120" w:type="dxa"/>
            </w:tcMar>
            <w:vAlign w:val="top"/>
          </w:tcPr>
          <w:p>
            <w:r>
              <w:rPr>
                <w:color w:val="1E2761"/>
              </w:rPr>
              <w:t>Kilovolt-ampere reactive / reactive energy units.</w:t>
            </w:r>
          </w:p>
        </w:tc>
      </w:tr>
      <w:tr>
        <w:tc>
          <w:tcPr>
            <w:tcW w:type="dxa" w:w="2880"/>
            <w:tcMar>
              <w:top w:w="100" w:type="dxa"/>
              <w:start w:w="120" w:type="dxa"/>
              <w:bottom w:w="100" w:type="dxa"/>
              <w:end w:w="120" w:type="dxa"/>
            </w:tcMar>
            <w:vAlign w:val="top"/>
          </w:tcPr>
          <w:p>
            <w:r>
              <w:rPr>
                <w:rFonts w:ascii="Consolas" w:hAnsi="Consolas"/>
                <w:b/>
                <w:color w:val="0E8E8E"/>
              </w:rPr>
              <w:t>A</w:t>
            </w:r>
          </w:p>
        </w:tc>
        <w:tc>
          <w:tcPr>
            <w:tcW w:type="dxa" w:w="7056"/>
            <w:tcMar>
              <w:top w:w="100" w:type="dxa"/>
              <w:start w:w="120" w:type="dxa"/>
              <w:bottom w:w="100" w:type="dxa"/>
              <w:end w:w="120" w:type="dxa"/>
            </w:tcMar>
            <w:vAlign w:val="top"/>
          </w:tcPr>
          <w:p>
            <w:r>
              <w:rPr>
                <w:color w:val="1E2761"/>
              </w:rPr>
              <w:t>Ampere; unit of electrical current.</w:t>
            </w:r>
          </w:p>
        </w:tc>
      </w:tr>
      <w:tr>
        <w:tc>
          <w:tcPr>
            <w:tcW w:type="dxa" w:w="2880"/>
            <w:shd w:fill="EEF2FA"/>
            <w:tcMar>
              <w:top w:w="100" w:type="dxa"/>
              <w:start w:w="120" w:type="dxa"/>
              <w:bottom w:w="100" w:type="dxa"/>
              <w:end w:w="120" w:type="dxa"/>
            </w:tcMar>
            <w:vAlign w:val="top"/>
          </w:tcPr>
          <w:p>
            <w:r>
              <w:rPr>
                <w:rFonts w:ascii="Consolas" w:hAnsi="Consolas"/>
                <w:b/>
                <w:color w:val="0E8E8E"/>
              </w:rPr>
              <w:t>V</w:t>
            </w:r>
          </w:p>
        </w:tc>
        <w:tc>
          <w:tcPr>
            <w:tcW w:type="dxa" w:w="7056"/>
            <w:shd w:fill="EEF2FA"/>
            <w:tcMar>
              <w:top w:w="100" w:type="dxa"/>
              <w:start w:w="120" w:type="dxa"/>
              <w:bottom w:w="100" w:type="dxa"/>
              <w:end w:w="120" w:type="dxa"/>
            </w:tcMar>
            <w:vAlign w:val="top"/>
          </w:tcPr>
          <w:p>
            <w:r>
              <w:rPr>
                <w:color w:val="1E2761"/>
              </w:rPr>
              <w:t>Volt; unit of electrical potential difference.</w:t>
            </w:r>
          </w:p>
        </w:tc>
      </w:tr>
      <w:tr>
        <w:tc>
          <w:tcPr>
            <w:tcW w:type="dxa" w:w="2880"/>
            <w:tcMar>
              <w:top w:w="100" w:type="dxa"/>
              <w:start w:w="120" w:type="dxa"/>
              <w:bottom w:w="100" w:type="dxa"/>
              <w:end w:w="120" w:type="dxa"/>
            </w:tcMar>
            <w:vAlign w:val="top"/>
          </w:tcPr>
          <w:p>
            <w:r>
              <w:rPr>
                <w:rFonts w:ascii="Consolas" w:hAnsi="Consolas"/>
                <w:b/>
                <w:color w:val="0E8E8E"/>
              </w:rPr>
              <w:t>Hz</w:t>
            </w:r>
          </w:p>
        </w:tc>
        <w:tc>
          <w:tcPr>
            <w:tcW w:type="dxa" w:w="7056"/>
            <w:tcMar>
              <w:top w:w="100" w:type="dxa"/>
              <w:start w:w="120" w:type="dxa"/>
              <w:bottom w:w="100" w:type="dxa"/>
              <w:end w:w="120" w:type="dxa"/>
            </w:tcMar>
            <w:vAlign w:val="top"/>
          </w:tcPr>
          <w:p>
            <w:r>
              <w:rPr>
                <w:color w:val="1E2761"/>
              </w:rPr>
              <w:t>Hertz; unit of frequency.</w:t>
            </w:r>
          </w:p>
        </w:tc>
      </w:tr>
      <w:tr>
        <w:tc>
          <w:tcPr>
            <w:tcW w:type="dxa" w:w="2880"/>
            <w:shd w:fill="EEF2FA"/>
            <w:tcMar>
              <w:top w:w="100" w:type="dxa"/>
              <w:start w:w="120" w:type="dxa"/>
              <w:bottom w:w="100" w:type="dxa"/>
              <w:end w:w="120" w:type="dxa"/>
            </w:tcMar>
            <w:vAlign w:val="top"/>
          </w:tcPr>
          <w:p>
            <w:r>
              <w:rPr>
                <w:rFonts w:ascii="Consolas" w:hAnsi="Consolas"/>
                <w:b/>
                <w:color w:val="0E8E8E"/>
              </w:rPr>
              <w:t>ρ</w:t>
            </w:r>
          </w:p>
        </w:tc>
        <w:tc>
          <w:tcPr>
            <w:tcW w:type="dxa" w:w="7056"/>
            <w:shd w:fill="EEF2FA"/>
            <w:tcMar>
              <w:top w:w="100" w:type="dxa"/>
              <w:start w:w="120" w:type="dxa"/>
              <w:bottom w:w="100" w:type="dxa"/>
              <w:end w:w="120" w:type="dxa"/>
            </w:tcMar>
            <w:vAlign w:val="top"/>
          </w:tcPr>
          <w:p>
            <w:r>
              <w:rPr>
                <w:color w:val="1E2761"/>
              </w:rPr>
              <w:t>A model or evaluation ratio where used; project-specific interpretation must be stated with its threshold.</w:t>
            </w:r>
          </w:p>
        </w:tc>
      </w:tr>
      <w:tr>
        <w:tc>
          <w:tcPr>
            <w:tcW w:type="dxa" w:w="2880"/>
            <w:tcMar>
              <w:top w:w="100" w:type="dxa"/>
              <w:start w:w="120" w:type="dxa"/>
              <w:bottom w:w="100" w:type="dxa"/>
              <w:end w:w="120" w:type="dxa"/>
            </w:tcMar>
            <w:vAlign w:val="top"/>
          </w:tcPr>
          <w:p>
            <w:r>
              <w:rPr>
                <w:rFonts w:ascii="Consolas" w:hAnsi="Consolas"/>
                <w:b/>
                <w:color w:val="0E8E8E"/>
              </w:rPr>
              <w:t>t</w:t>
            </w:r>
          </w:p>
        </w:tc>
        <w:tc>
          <w:tcPr>
            <w:tcW w:type="dxa" w:w="7056"/>
            <w:tcMar>
              <w:top w:w="100" w:type="dxa"/>
              <w:start w:w="120" w:type="dxa"/>
              <w:bottom w:w="100" w:type="dxa"/>
              <w:end w:w="120" w:type="dxa"/>
            </w:tcMar>
            <w:vAlign w:val="top"/>
          </w:tcPr>
          <w:p>
            <w:r>
              <w:rPr>
                <w:color w:val="1E2761"/>
              </w:rPr>
              <w:t>A timestamp or time index for an energy measurement.</w:t>
            </w:r>
          </w:p>
        </w:tc>
      </w:tr>
      <w:tr>
        <w:tc>
          <w:tcPr>
            <w:tcW w:type="dxa" w:w="2880"/>
            <w:shd w:fill="EEF2FA"/>
            <w:tcMar>
              <w:top w:w="100" w:type="dxa"/>
              <w:start w:w="120" w:type="dxa"/>
              <w:bottom w:w="100" w:type="dxa"/>
              <w:end w:w="120" w:type="dxa"/>
            </w:tcMar>
            <w:vAlign w:val="top"/>
          </w:tcPr>
          <w:p>
            <w:r>
              <w:rPr>
                <w:rFonts w:ascii="Consolas" w:hAnsi="Consolas"/>
                <w:b/>
                <w:color w:val="0E8E8E"/>
              </w:rPr>
              <w:t>Δx</w:t>
            </w:r>
          </w:p>
        </w:tc>
        <w:tc>
          <w:tcPr>
            <w:tcW w:type="dxa" w:w="7056"/>
            <w:shd w:fill="EEF2FA"/>
            <w:tcMar>
              <w:top w:w="100" w:type="dxa"/>
              <w:start w:w="120" w:type="dxa"/>
              <w:bottom w:w="100" w:type="dxa"/>
              <w:end w:w="120" w:type="dxa"/>
            </w:tcMar>
            <w:vAlign w:val="top"/>
          </w:tcPr>
          <w:p>
            <w:r>
              <w:rPr>
                <w:color w:val="1E2761"/>
              </w:rPr>
              <w:t>Difference between an observed feature value and its counterfactual/expected value.</w:t>
            </w:r>
          </w:p>
        </w:tc>
      </w:tr>
      <w:tr>
        <w:tc>
          <w:tcPr>
            <w:tcW w:type="dxa" w:w="2880"/>
            <w:tcMar>
              <w:top w:w="100" w:type="dxa"/>
              <w:start w:w="120" w:type="dxa"/>
              <w:bottom w:w="100" w:type="dxa"/>
              <w:end w:w="120" w:type="dxa"/>
            </w:tcMar>
            <w:vAlign w:val="top"/>
          </w:tcPr>
          <w:p>
            <w:r>
              <w:rPr>
                <w:rFonts w:ascii="Consolas" w:hAnsi="Consolas"/>
                <w:b/>
                <w:color w:val="0E8E8E"/>
              </w:rPr>
              <w:t>x_cf</w:t>
            </w:r>
          </w:p>
        </w:tc>
        <w:tc>
          <w:tcPr>
            <w:tcW w:type="dxa" w:w="7056"/>
            <w:tcMar>
              <w:top w:w="100" w:type="dxa"/>
              <w:start w:w="120" w:type="dxa"/>
              <w:bottom w:w="100" w:type="dxa"/>
              <w:end w:w="120" w:type="dxa"/>
            </w:tcMar>
            <w:vAlign w:val="top"/>
          </w:tcPr>
          <w:p>
            <w:r>
              <w:rPr>
                <w:color w:val="1E2761"/>
              </w:rPr>
              <w:t>Counterfactual feature or sequence generated by GrCF.</w:t>
            </w:r>
          </w:p>
        </w:tc>
      </w:tr>
      <w:tr>
        <w:tc>
          <w:tcPr>
            <w:tcW w:type="dxa" w:w="2880"/>
            <w:shd w:fill="EEF2FA"/>
            <w:tcMar>
              <w:top w:w="100" w:type="dxa"/>
              <w:start w:w="120" w:type="dxa"/>
              <w:bottom w:w="100" w:type="dxa"/>
              <w:end w:w="120" w:type="dxa"/>
            </w:tcMar>
            <w:vAlign w:val="top"/>
          </w:tcPr>
          <w:p>
            <w:r>
              <w:rPr>
                <w:rFonts w:ascii="Consolas" w:hAnsi="Consolas"/>
                <w:b/>
                <w:color w:val="0E8E8E"/>
              </w:rPr>
              <w:t>x_obs</w:t>
            </w:r>
          </w:p>
        </w:tc>
        <w:tc>
          <w:tcPr>
            <w:tcW w:type="dxa" w:w="7056"/>
            <w:shd w:fill="EEF2FA"/>
            <w:tcMar>
              <w:top w:w="100" w:type="dxa"/>
              <w:start w:w="120" w:type="dxa"/>
              <w:bottom w:w="100" w:type="dxa"/>
              <w:end w:w="120" w:type="dxa"/>
            </w:tcMar>
            <w:vAlign w:val="top"/>
          </w:tcPr>
          <w:p>
            <w:r>
              <w:rPr>
                <w:color w:val="1E2761"/>
              </w:rPr>
              <w:t>Observed feature or sequence from the state layer.</w:t>
            </w:r>
          </w:p>
        </w:tc>
      </w:tr>
      <w:tr>
        <w:tc>
          <w:tcPr>
            <w:tcW w:type="dxa" w:w="2880"/>
            <w:tcMar>
              <w:top w:w="100" w:type="dxa"/>
              <w:start w:w="120" w:type="dxa"/>
              <w:bottom w:w="100" w:type="dxa"/>
              <w:end w:w="120" w:type="dxa"/>
            </w:tcMar>
            <w:vAlign w:val="top"/>
          </w:tcPr>
          <w:p>
            <w:r>
              <w:rPr>
                <w:rFonts w:ascii="Consolas" w:hAnsi="Consolas"/>
                <w:b/>
                <w:color w:val="0E8E8E"/>
              </w:rPr>
              <w:t>A[i,j]</w:t>
            </w:r>
          </w:p>
        </w:tc>
        <w:tc>
          <w:tcPr>
            <w:tcW w:type="dxa" w:w="7056"/>
            <w:tcMar>
              <w:top w:w="100" w:type="dxa"/>
              <w:start w:w="120" w:type="dxa"/>
              <w:bottom w:w="100" w:type="dxa"/>
              <w:end w:w="120" w:type="dxa"/>
            </w:tcMar>
            <w:vAlign w:val="top"/>
          </w:tcPr>
          <w:p>
            <w:r>
              <w:rPr>
                <w:color w:val="1E2761"/>
              </w:rPr>
              <w:t>Entry in the Granger causal adjacency matrix; 1 indicates a detected directed causal relationship from feature i to j.</w:t>
            </w:r>
          </w:p>
        </w:tc>
      </w:tr>
      <w:tr>
        <w:tc>
          <w:tcPr>
            <w:tcW w:type="dxa" w:w="2880"/>
            <w:shd w:fill="EEF2FA"/>
            <w:tcMar>
              <w:top w:w="100" w:type="dxa"/>
              <w:start w:w="120" w:type="dxa"/>
              <w:bottom w:w="100" w:type="dxa"/>
              <w:end w:w="120" w:type="dxa"/>
            </w:tcMar>
            <w:vAlign w:val="top"/>
          </w:tcPr>
          <w:p>
            <w:r>
              <w:rPr>
                <w:rFonts w:ascii="Consolas" w:hAnsi="Consolas"/>
                <w:b/>
                <w:color w:val="0E8E8E"/>
              </w:rPr>
              <w:t>SEQ_LEN</w:t>
            </w:r>
          </w:p>
        </w:tc>
        <w:tc>
          <w:tcPr>
            <w:tcW w:type="dxa" w:w="7056"/>
            <w:shd w:fill="EEF2FA"/>
            <w:tcMar>
              <w:top w:w="100" w:type="dxa"/>
              <w:start w:w="120" w:type="dxa"/>
              <w:bottom w:w="100" w:type="dxa"/>
              <w:end w:w="120" w:type="dxa"/>
            </w:tcMar>
            <w:vAlign w:val="top"/>
          </w:tcPr>
          <w:p>
            <w:r>
              <w:rPr>
                <w:color w:val="1E2761"/>
              </w:rPr>
              <w:t>Sequence length used by GrCF; 16 consecutive time steps, normally 15-minute intervals.</w:t>
            </w:r>
          </w:p>
        </w:tc>
      </w:tr>
      <w:tr>
        <w:tc>
          <w:tcPr>
            <w:tcW w:type="dxa" w:w="2880"/>
            <w:tcMar>
              <w:top w:w="100" w:type="dxa"/>
              <w:start w:w="120" w:type="dxa"/>
              <w:bottom w:w="100" w:type="dxa"/>
              <w:end w:w="120" w:type="dxa"/>
            </w:tcMar>
            <w:vAlign w:val="top"/>
          </w:tcPr>
          <w:p>
            <w:r>
              <w:rPr>
                <w:rFonts w:ascii="Consolas" w:hAnsi="Consolas"/>
                <w:b/>
                <w:color w:val="0E8E8E"/>
              </w:rPr>
              <w:t>CONTAMINATION</w:t>
            </w:r>
          </w:p>
        </w:tc>
        <w:tc>
          <w:tcPr>
            <w:tcW w:type="dxa" w:w="7056"/>
            <w:tcMar>
              <w:top w:w="100" w:type="dxa"/>
              <w:start w:w="120" w:type="dxa"/>
              <w:bottom w:w="100" w:type="dxa"/>
              <w:end w:w="120" w:type="dxa"/>
            </w:tcMar>
            <w:vAlign w:val="top"/>
          </w:tcPr>
          <w:p>
            <w:r>
              <w:rPr>
                <w:color w:val="1E2761"/>
              </w:rPr>
              <w:t>Expected proportion of outliers supplied to the Isolation Forest; configured as 0.033.</w:t>
            </w:r>
          </w:p>
        </w:tc>
      </w:tr>
      <w:tr>
        <w:tc>
          <w:tcPr>
            <w:tcW w:type="dxa" w:w="2880"/>
            <w:shd w:fill="EEF2FA"/>
            <w:tcMar>
              <w:top w:w="100" w:type="dxa"/>
              <w:start w:w="120" w:type="dxa"/>
              <w:bottom w:w="100" w:type="dxa"/>
              <w:end w:w="120" w:type="dxa"/>
            </w:tcMar>
            <w:vAlign w:val="top"/>
          </w:tcPr>
          <w:p>
            <w:r>
              <w:rPr>
                <w:rFonts w:ascii="Consolas" w:hAnsi="Consolas"/>
                <w:b/>
                <w:color w:val="0E8E8E"/>
              </w:rPr>
              <w:t>LAMBDA</w:t>
            </w:r>
          </w:p>
        </w:tc>
        <w:tc>
          <w:tcPr>
            <w:tcW w:type="dxa" w:w="7056"/>
            <w:shd w:fill="EEF2FA"/>
            <w:tcMar>
              <w:top w:w="100" w:type="dxa"/>
              <w:start w:w="120" w:type="dxa"/>
              <w:bottom w:w="100" w:type="dxa"/>
              <w:end w:w="120" w:type="dxa"/>
            </w:tcMar>
            <w:vAlign w:val="top"/>
          </w:tcPr>
          <w:p>
            <w:r>
              <w:rPr>
                <w:color w:val="1E2761"/>
              </w:rPr>
              <w:t>Weight applied to a loss or domain penalty during counterfactual optimization.</w:t>
            </w:r>
          </w:p>
        </w:tc>
      </w:tr>
      <w:tr>
        <w:tc>
          <w:tcPr>
            <w:tcW w:type="dxa" w:w="2880"/>
            <w:tcMar>
              <w:top w:w="100" w:type="dxa"/>
              <w:start w:w="120" w:type="dxa"/>
              <w:bottom w:w="100" w:type="dxa"/>
              <w:end w:w="120" w:type="dxa"/>
            </w:tcMar>
            <w:vAlign w:val="top"/>
          </w:tcPr>
          <w:p>
            <w:r>
              <w:rPr>
                <w:rFonts w:ascii="Consolas" w:hAnsi="Consolas"/>
                <w:b/>
                <w:color w:val="0E8E8E"/>
              </w:rPr>
              <w:t>POWER_IDX</w:t>
            </w:r>
          </w:p>
        </w:tc>
        <w:tc>
          <w:tcPr>
            <w:tcW w:type="dxa" w:w="7056"/>
            <w:tcMar>
              <w:top w:w="100" w:type="dxa"/>
              <w:start w:w="120" w:type="dxa"/>
              <w:bottom w:w="100" w:type="dxa"/>
              <w:end w:w="120" w:type="dxa"/>
            </w:tcMar>
            <w:vAlign w:val="top"/>
          </w:tcPr>
          <w:p>
            <w:r>
              <w:rPr>
                <w:color w:val="1E2761"/>
              </w:rPr>
              <w:t>Index of the real-power feature in the GrCF feature tensor; index 0.</w:t>
            </w:r>
          </w:p>
        </w:tc>
      </w:tr>
      <w:tr>
        <w:tc>
          <w:tcPr>
            <w:tcW w:type="dxa" w:w="2880"/>
            <w:shd w:fill="EEF2FA"/>
            <w:tcMar>
              <w:top w:w="100" w:type="dxa"/>
              <w:start w:w="120" w:type="dxa"/>
              <w:bottom w:w="100" w:type="dxa"/>
              <w:end w:w="120" w:type="dxa"/>
            </w:tcMar>
            <w:vAlign w:val="top"/>
          </w:tcPr>
          <w:p>
            <w:r>
              <w:rPr>
                <w:rFonts w:ascii="Consolas" w:hAnsi="Consolas"/>
                <w:b/>
                <w:color w:val="0E8E8E"/>
              </w:rPr>
              <w:t>state_telemetry</w:t>
            </w:r>
          </w:p>
        </w:tc>
        <w:tc>
          <w:tcPr>
            <w:tcW w:type="dxa" w:w="7056"/>
            <w:shd w:fill="EEF2FA"/>
            <w:tcMar>
              <w:top w:w="100" w:type="dxa"/>
              <w:start w:w="120" w:type="dxa"/>
              <w:bottom w:w="100" w:type="dxa"/>
              <w:end w:w="120" w:type="dxa"/>
            </w:tcMar>
            <w:vAlign w:val="top"/>
          </w:tcPr>
          <w:p>
            <w:r>
              <w:rPr>
                <w:color w:val="1E2761"/>
              </w:rPr>
              <w:t>Database table containing normalized historical telemetry in long format.</w:t>
            </w:r>
          </w:p>
        </w:tc>
      </w:tr>
      <w:tr>
        <w:tc>
          <w:tcPr>
            <w:tcW w:type="dxa" w:w="2880"/>
            <w:tcMar>
              <w:top w:w="100" w:type="dxa"/>
              <w:start w:w="120" w:type="dxa"/>
              <w:bottom w:w="100" w:type="dxa"/>
              <w:end w:w="120" w:type="dxa"/>
            </w:tcMar>
            <w:vAlign w:val="top"/>
          </w:tcPr>
          <w:p>
            <w:r>
              <w:rPr>
                <w:rFonts w:ascii="Consolas" w:hAnsi="Consolas"/>
                <w:b/>
                <w:color w:val="0E8E8E"/>
              </w:rPr>
              <w:t>anomaly_events</w:t>
            </w:r>
          </w:p>
        </w:tc>
        <w:tc>
          <w:tcPr>
            <w:tcW w:type="dxa" w:w="7056"/>
            <w:tcMar>
              <w:top w:w="100" w:type="dxa"/>
              <w:start w:w="120" w:type="dxa"/>
              <w:bottom w:w="100" w:type="dxa"/>
              <w:end w:w="120" w:type="dxa"/>
            </w:tcMar>
            <w:vAlign w:val="top"/>
          </w:tcPr>
          <w:p>
            <w:r>
              <w:rPr>
                <w:color w:val="1E2761"/>
              </w:rPr>
              <w:t>Database table containing detector output, counterfactual JSONB, and GridReason explanation.</w:t>
            </w:r>
          </w:p>
        </w:tc>
      </w:tr>
      <w:tr>
        <w:tc>
          <w:tcPr>
            <w:tcW w:type="dxa" w:w="2880"/>
            <w:shd w:fill="EEF2FA"/>
            <w:tcMar>
              <w:top w:w="100" w:type="dxa"/>
              <w:start w:w="120" w:type="dxa"/>
              <w:bottom w:w="100" w:type="dxa"/>
              <w:end w:w="120" w:type="dxa"/>
            </w:tcMar>
            <w:vAlign w:val="top"/>
          </w:tcPr>
          <w:p>
            <w:r>
              <w:rPr>
                <w:rFonts w:ascii="Consolas" w:hAnsi="Consolas"/>
                <w:b/>
                <w:color w:val="0E8E8E"/>
              </w:rPr>
              <w:t>twin_instances</w:t>
            </w:r>
          </w:p>
        </w:tc>
        <w:tc>
          <w:tcPr>
            <w:tcW w:type="dxa" w:w="7056"/>
            <w:shd w:fill="EEF2FA"/>
            <w:tcMar>
              <w:top w:w="100" w:type="dxa"/>
              <w:start w:w="120" w:type="dxa"/>
              <w:bottom w:w="100" w:type="dxa"/>
              <w:end w:w="120" w:type="dxa"/>
            </w:tcMar>
            <w:vAlign w:val="top"/>
          </w:tcPr>
          <w:p>
            <w:r>
              <w:rPr>
                <w:color w:val="1E2761"/>
              </w:rPr>
              <w:t>Database view joining a building with its main meter for convenient twin lookup.</w:t>
            </w:r>
          </w:p>
        </w:tc>
      </w:tr>
      <w:tr>
        <w:tc>
          <w:tcPr>
            <w:tcW w:type="dxa" w:w="2880"/>
            <w:tcMar>
              <w:top w:w="100" w:type="dxa"/>
              <w:start w:w="120" w:type="dxa"/>
              <w:bottom w:w="100" w:type="dxa"/>
              <w:end w:w="120" w:type="dxa"/>
            </w:tcMar>
            <w:vAlign w:val="top"/>
          </w:tcPr>
          <w:p>
            <w:r>
              <w:rPr>
                <w:rFonts w:ascii="Consolas" w:hAnsi="Consolas"/>
                <w:b/>
                <w:color w:val="0E8E8E"/>
              </w:rPr>
              <w:t>meter_id</w:t>
            </w:r>
          </w:p>
        </w:tc>
        <w:tc>
          <w:tcPr>
            <w:tcW w:type="dxa" w:w="7056"/>
            <w:tcMar>
              <w:top w:w="100" w:type="dxa"/>
              <w:start w:w="120" w:type="dxa"/>
              <w:bottom w:w="100" w:type="dxa"/>
              <w:end w:w="120" w:type="dxa"/>
            </w:tcMar>
            <w:vAlign w:val="top"/>
          </w:tcPr>
          <w:p>
            <w:r>
              <w:rPr>
                <w:color w:val="1E2761"/>
              </w:rPr>
              <w:t>Database identifier linking telemetry and anomaly events to a registered meter.</w:t>
            </w:r>
          </w:p>
        </w:tc>
      </w:tr>
      <w:tr>
        <w:tc>
          <w:tcPr>
            <w:tcW w:type="dxa" w:w="2880"/>
            <w:shd w:fill="EEF2FA"/>
            <w:tcMar>
              <w:top w:w="100" w:type="dxa"/>
              <w:start w:w="120" w:type="dxa"/>
              <w:bottom w:w="100" w:type="dxa"/>
              <w:end w:w="120" w:type="dxa"/>
            </w:tcMar>
            <w:vAlign w:val="top"/>
          </w:tcPr>
          <w:p>
            <w:r>
              <w:rPr>
                <w:rFonts w:ascii="Consolas" w:hAnsi="Consolas"/>
                <w:b/>
                <w:color w:val="0E8E8E"/>
              </w:rPr>
              <w:t>detector_type</w:t>
            </w:r>
          </w:p>
        </w:tc>
        <w:tc>
          <w:tcPr>
            <w:tcW w:type="dxa" w:w="7056"/>
            <w:shd w:fill="EEF2FA"/>
            <w:tcMar>
              <w:top w:w="100" w:type="dxa"/>
              <w:start w:w="120" w:type="dxa"/>
              <w:bottom w:w="100" w:type="dxa"/>
              <w:end w:w="120" w:type="dxa"/>
            </w:tcMar>
            <w:vAlign w:val="top"/>
          </w:tcPr>
          <w:p>
            <w:r>
              <w:rPr>
                <w:color w:val="1E2761"/>
              </w:rPr>
              <w:t>Label identifying the detection/explanation combination that created an anomaly event, such as CAFA-GrCF.</w:t>
            </w:r>
          </w:p>
        </w:tc>
      </w:tr>
      <w:tr>
        <w:tc>
          <w:tcPr>
            <w:tcW w:type="dxa" w:w="2880"/>
            <w:tcMar>
              <w:top w:w="100" w:type="dxa"/>
              <w:start w:w="120" w:type="dxa"/>
              <w:bottom w:w="100" w:type="dxa"/>
              <w:end w:w="120" w:type="dxa"/>
            </w:tcMar>
            <w:vAlign w:val="top"/>
          </w:tcPr>
          <w:p>
            <w:r>
              <w:rPr>
                <w:rFonts w:ascii="Consolas" w:hAnsi="Consolas"/>
                <w:b/>
                <w:color w:val="0E8E8E"/>
              </w:rPr>
              <w:t>natural_language_explanation</w:t>
            </w:r>
          </w:p>
        </w:tc>
        <w:tc>
          <w:tcPr>
            <w:tcW w:type="dxa" w:w="7056"/>
            <w:tcMar>
              <w:top w:w="100" w:type="dxa"/>
              <w:start w:w="120" w:type="dxa"/>
              <w:bottom w:w="100" w:type="dxa"/>
              <w:end w:w="120" w:type="dxa"/>
            </w:tcMar>
            <w:vAlign w:val="top"/>
          </w:tcPr>
          <w:p>
            <w:r>
              <w:rPr>
                <w:color w:val="1E2761"/>
              </w:rPr>
              <w:t>Database field containing the controlled GridReason operator alert.</w:t>
            </w:r>
          </w:p>
        </w:tc>
      </w:tr>
      <w:tr>
        <w:tc>
          <w:tcPr>
            <w:tcW w:type="dxa" w:w="2880"/>
            <w:shd w:fill="EEF2FA"/>
            <w:tcMar>
              <w:top w:w="100" w:type="dxa"/>
              <w:start w:w="120" w:type="dxa"/>
              <w:bottom w:w="100" w:type="dxa"/>
              <w:end w:w="120" w:type="dxa"/>
            </w:tcMar>
            <w:vAlign w:val="top"/>
          </w:tcPr>
          <w:p>
            <w:r>
              <w:rPr>
                <w:rFonts w:ascii="Consolas" w:hAnsi="Consolas"/>
                <w:b/>
                <w:color w:val="0E8E8E"/>
              </w:rPr>
              <w:t>counterfactual_data</w:t>
            </w:r>
          </w:p>
        </w:tc>
        <w:tc>
          <w:tcPr>
            <w:tcW w:type="dxa" w:w="7056"/>
            <w:shd w:fill="EEF2FA"/>
            <w:tcMar>
              <w:top w:w="100" w:type="dxa"/>
              <w:start w:w="120" w:type="dxa"/>
              <w:bottom w:w="100" w:type="dxa"/>
              <w:end w:w="120" w:type="dxa"/>
            </w:tcMar>
            <w:vAlign w:val="top"/>
          </w:tcPr>
          <w:p>
            <w:r>
              <w:rPr>
                <w:color w:val="1E2761"/>
              </w:rPr>
              <w:t>JSONB representation of the GrCF tensor, typically 16 time steps by 10 features.</w:t>
            </w:r>
          </w:p>
        </w:tc>
      </w:tr>
      <w:tr>
        <w:tc>
          <w:tcPr>
            <w:tcW w:type="dxa" w:w="2880"/>
            <w:tcMar>
              <w:top w:w="100" w:type="dxa"/>
              <w:start w:w="120" w:type="dxa"/>
              <w:bottom w:w="100" w:type="dxa"/>
              <w:end w:w="120" w:type="dxa"/>
            </w:tcMar>
            <w:vAlign w:val="top"/>
          </w:tcPr>
          <w:p>
            <w:r>
              <w:rPr>
                <w:rFonts w:ascii="Consolas" w:hAnsi="Consolas"/>
                <w:b/>
                <w:color w:val="0E8E8E"/>
              </w:rPr>
              <w:t>Telemetry</w:t>
            </w:r>
          </w:p>
        </w:tc>
        <w:tc>
          <w:tcPr>
            <w:tcW w:type="dxa" w:w="7056"/>
            <w:tcMar>
              <w:top w:w="100" w:type="dxa"/>
              <w:start w:w="120" w:type="dxa"/>
              <w:bottom w:w="100" w:type="dxa"/>
              <w:end w:w="120" w:type="dxa"/>
            </w:tcMar>
            <w:vAlign w:val="top"/>
          </w:tcPr>
          <w:p>
            <w:r>
              <w:rPr>
                <w:color w:val="1E2761"/>
              </w:rPr>
              <w:t>Time-stamped measurements describing the operational state of an energy asset.</w:t>
            </w:r>
          </w:p>
        </w:tc>
      </w:tr>
      <w:tr>
        <w:tc>
          <w:tcPr>
            <w:tcW w:type="dxa" w:w="2880"/>
            <w:shd w:fill="EEF2FA"/>
            <w:tcMar>
              <w:top w:w="100" w:type="dxa"/>
              <w:start w:w="120" w:type="dxa"/>
              <w:bottom w:w="100" w:type="dxa"/>
              <w:end w:w="120" w:type="dxa"/>
            </w:tcMar>
            <w:vAlign w:val="top"/>
          </w:tcPr>
          <w:p>
            <w:r>
              <w:rPr>
                <w:rFonts w:ascii="Consolas" w:hAnsi="Consolas"/>
                <w:b/>
                <w:color w:val="0E8E8E"/>
              </w:rPr>
              <w:t>Asset Registry</w:t>
            </w:r>
          </w:p>
        </w:tc>
        <w:tc>
          <w:tcPr>
            <w:tcW w:type="dxa" w:w="7056"/>
            <w:shd w:fill="EEF2FA"/>
            <w:tcMar>
              <w:top w:w="100" w:type="dxa"/>
              <w:start w:w="120" w:type="dxa"/>
              <w:bottom w:w="100" w:type="dxa"/>
              <w:end w:w="120" w:type="dxa"/>
            </w:tcMar>
            <w:vAlign w:val="top"/>
          </w:tcPr>
          <w:p>
            <w:r>
              <w:rPr>
                <w:color w:val="1E2761"/>
              </w:rPr>
              <w:t>Static structural layer describing buildings, meters, equipment, and baseline parameters.</w:t>
            </w:r>
          </w:p>
        </w:tc>
      </w:tr>
      <w:tr>
        <w:tc>
          <w:tcPr>
            <w:tcW w:type="dxa" w:w="2880"/>
            <w:tcMar>
              <w:top w:w="100" w:type="dxa"/>
              <w:start w:w="120" w:type="dxa"/>
              <w:bottom w:w="100" w:type="dxa"/>
              <w:end w:w="120" w:type="dxa"/>
            </w:tcMar>
            <w:vAlign w:val="top"/>
          </w:tcPr>
          <w:p>
            <w:r>
              <w:rPr>
                <w:rFonts w:ascii="Consolas" w:hAnsi="Consolas"/>
                <w:b/>
                <w:color w:val="0E8E8E"/>
              </w:rPr>
              <w:t>State Layer</w:t>
            </w:r>
          </w:p>
        </w:tc>
        <w:tc>
          <w:tcPr>
            <w:tcW w:type="dxa" w:w="7056"/>
            <w:tcMar>
              <w:top w:w="100" w:type="dxa"/>
              <w:start w:w="120" w:type="dxa"/>
              <w:bottom w:w="100" w:type="dxa"/>
              <w:end w:w="120" w:type="dxa"/>
            </w:tcMar>
            <w:vAlign w:val="top"/>
          </w:tcPr>
          <w:p>
            <w:r>
              <w:rPr>
                <w:color w:val="1E2761"/>
              </w:rPr>
              <w:t>Historical operational layer containing time-series telemetry, source provenance, and quality records.</w:t>
            </w:r>
          </w:p>
        </w:tc>
      </w:tr>
      <w:tr>
        <w:tc>
          <w:tcPr>
            <w:tcW w:type="dxa" w:w="2880"/>
            <w:shd w:fill="EEF2FA"/>
            <w:tcMar>
              <w:top w:w="100" w:type="dxa"/>
              <w:start w:w="120" w:type="dxa"/>
              <w:bottom w:w="100" w:type="dxa"/>
              <w:end w:w="120" w:type="dxa"/>
            </w:tcMar>
            <w:vAlign w:val="top"/>
          </w:tcPr>
          <w:p>
            <w:r>
              <w:rPr>
                <w:rFonts w:ascii="Consolas" w:hAnsi="Consolas"/>
                <w:b/>
                <w:color w:val="0E8E8E"/>
              </w:rPr>
              <w:t>Intelligence Layer</w:t>
            </w:r>
          </w:p>
        </w:tc>
        <w:tc>
          <w:tcPr>
            <w:tcW w:type="dxa" w:w="7056"/>
            <w:shd w:fill="EEF2FA"/>
            <w:tcMar>
              <w:top w:w="100" w:type="dxa"/>
              <w:start w:w="120" w:type="dxa"/>
              <w:bottom w:w="100" w:type="dxa"/>
              <w:end w:w="120" w:type="dxa"/>
            </w:tcMar>
            <w:vAlign w:val="top"/>
          </w:tcPr>
          <w:p>
            <w:r>
              <w:rPr>
                <w:color w:val="1E2761"/>
              </w:rPr>
              <w:t>Model layer containing CAFA, GrCF, GridReason, and orchestration logic.</w:t>
            </w:r>
          </w:p>
        </w:tc>
      </w:tr>
      <w:tr>
        <w:tc>
          <w:tcPr>
            <w:tcW w:type="dxa" w:w="2880"/>
            <w:tcMar>
              <w:top w:w="100" w:type="dxa"/>
              <w:start w:w="120" w:type="dxa"/>
              <w:bottom w:w="100" w:type="dxa"/>
              <w:end w:w="120" w:type="dxa"/>
            </w:tcMar>
            <w:vAlign w:val="top"/>
          </w:tcPr>
          <w:p>
            <w:r>
              <w:rPr>
                <w:rFonts w:ascii="Consolas" w:hAnsi="Consolas"/>
                <w:b/>
                <w:color w:val="0E8E8E"/>
              </w:rPr>
              <w:t>Presentation Layer</w:t>
            </w:r>
          </w:p>
        </w:tc>
        <w:tc>
          <w:tcPr>
            <w:tcW w:type="dxa" w:w="7056"/>
            <w:tcMar>
              <w:top w:w="100" w:type="dxa"/>
              <w:start w:w="120" w:type="dxa"/>
              <w:bottom w:w="100" w:type="dxa"/>
              <w:end w:w="120" w:type="dxa"/>
            </w:tcMar>
            <w:vAlign w:val="top"/>
          </w:tcPr>
          <w:p>
            <w:r>
              <w:rPr>
                <w:color w:val="1E2761"/>
              </w:rPr>
              <w:t>API and dashboard layer used to expose results to operators and other applications.</w:t>
            </w:r>
          </w:p>
        </w:tc>
      </w:tr>
    </w:tbl>
    <w:p>
      <w:pPr>
        <w:spacing w:before="200"/>
      </w:pPr>
      <w:r>
        <w:rPr>
          <w:b/>
          <w:color w:val="D64545"/>
        </w:rPr>
        <w:t xml:space="preserve">Note: </w:t>
      </w:r>
      <w:r>
        <w:t>Where a symbol is model-specific, its interpretation is defined by the current implementation and should be retained when reporting experimental results.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84"/>
        <w:sz w:val="16"/>
      </w:rPr>
      <w:t>ENTWINE Energy Digital Twin | Technical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