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33110"/>
    <w:p w14:paraId="28EE869F"/>
    <w:p w14:paraId="79498D40"/>
    <w:p w14:paraId="57EA8A73">
      <w:pPr>
        <w:ind w:firstLine="2561" w:firstLineChars="800"/>
        <w:rPr>
          <w:rFonts w:hint="default" w:ascii="Times New Roman" w:hAnsi="Times New Roman" w:cs="Times New Roman"/>
          <w:b/>
          <w:bCs/>
          <w:sz w:val="32"/>
          <w:szCs w:val="32"/>
          <w:lang w:val="en-IN"/>
        </w:rPr>
      </w:pPr>
      <w:r>
        <w:rPr>
          <w:rFonts w:hint="default" w:ascii="Times New Roman" w:hAnsi="Times New Roman" w:cs="Times New Roman"/>
          <w:b/>
          <w:bCs/>
          <w:sz w:val="32"/>
          <w:szCs w:val="32"/>
          <w:lang w:val="en-IN"/>
        </w:rPr>
        <w:t>CONCLUSION</w:t>
      </w:r>
    </w:p>
    <w:p w14:paraId="0AE698D4">
      <w:pPr>
        <w:rPr>
          <w:rFonts w:hint="default" w:ascii="Times New Roman" w:hAnsi="Times New Roman" w:cs="Times New Roman"/>
          <w:b/>
          <w:bCs/>
          <w:sz w:val="32"/>
          <w:szCs w:val="32"/>
          <w:lang w:val="en-IN"/>
        </w:rPr>
      </w:pPr>
      <w:bookmarkStart w:id="0" w:name="_GoBack"/>
      <w:bookmarkEnd w:id="0"/>
    </w:p>
    <w:p w14:paraId="445197F5">
      <w:pPr>
        <w:spacing w:line="360" w:lineRule="auto"/>
        <w:jc w:val="both"/>
        <w:rPr>
          <w:rFonts w:hint="default" w:ascii="Times New Roman" w:hAnsi="Times New Roman" w:cs="Times New Roman"/>
          <w:b/>
          <w:bCs/>
          <w:sz w:val="28"/>
          <w:szCs w:val="28"/>
          <w:lang w:val="en-IN"/>
        </w:rPr>
      </w:pPr>
      <w:r>
        <w:rPr>
          <w:rFonts w:hint="default" w:ascii="Times New Roman" w:hAnsi="Times New Roman" w:eastAsia="SimSun" w:cs="Times New Roman"/>
          <w:sz w:val="28"/>
          <w:szCs w:val="28"/>
        </w:rPr>
        <w:t xml:space="preserve">This research provides deep insights into what motivates retail vendors in Bangalore to adopt digital payment platforms. By combining traditional statistical analysis with the power of machine learning (specifically SVM), the study identified </w:t>
      </w:r>
      <w:r>
        <w:rPr>
          <w:rStyle w:val="4"/>
          <w:rFonts w:hint="default" w:ascii="Times New Roman" w:hAnsi="Times New Roman" w:eastAsia="SimSun" w:cs="Times New Roman"/>
          <w:sz w:val="28"/>
          <w:szCs w:val="28"/>
        </w:rPr>
        <w:t>perceived usefulness</w:t>
      </w:r>
      <w:r>
        <w:rPr>
          <w:rFonts w:hint="default" w:ascii="Times New Roman" w:hAnsi="Times New Roman" w:eastAsia="SimSun" w:cs="Times New Roman"/>
          <w:sz w:val="28"/>
          <w:szCs w:val="28"/>
        </w:rPr>
        <w:t xml:space="preserve">, </w:t>
      </w:r>
      <w:r>
        <w:rPr>
          <w:rStyle w:val="4"/>
          <w:rFonts w:hint="default" w:ascii="Times New Roman" w:hAnsi="Times New Roman" w:eastAsia="SimSun" w:cs="Times New Roman"/>
          <w:sz w:val="28"/>
          <w:szCs w:val="28"/>
        </w:rPr>
        <w:t>social influence</w:t>
      </w:r>
      <w:r>
        <w:rPr>
          <w:rFonts w:hint="default" w:ascii="Times New Roman" w:hAnsi="Times New Roman" w:eastAsia="SimSun" w:cs="Times New Roman"/>
          <w:sz w:val="28"/>
          <w:szCs w:val="28"/>
        </w:rPr>
        <w:t xml:space="preserve">, and </w:t>
      </w:r>
      <w:r>
        <w:rPr>
          <w:rStyle w:val="4"/>
          <w:rFonts w:hint="default" w:ascii="Times New Roman" w:hAnsi="Times New Roman" w:eastAsia="SimSun" w:cs="Times New Roman"/>
          <w:sz w:val="28"/>
          <w:szCs w:val="28"/>
        </w:rPr>
        <w:t>compatibility</w:t>
      </w:r>
      <w:r>
        <w:rPr>
          <w:rFonts w:hint="default" w:ascii="Times New Roman" w:hAnsi="Times New Roman" w:eastAsia="SimSun" w:cs="Times New Roman"/>
          <w:sz w:val="28"/>
          <w:szCs w:val="28"/>
        </w:rPr>
        <w:t xml:space="preserve"> as the leading drivers of adoption. The findings emphasize the necessity for digital platforms to align with existing business practices and peer expectations. Despite moderate accuracy, the SVM model offers promise, and satisfaction analysis shows room for improvement in platforms like GooglePay and AmazonPay. Through forecast modeling with ARIMA, the study shows a steady interest in digital payments, though future variabilities are possible. Moving forward, incorporating more advanced algorithms and qualitative methods can further refine understanding and help stakeholders drive broader digital adoption across the retail sector.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MV Boli">
    <w:panose1 w:val="02000500030200090000"/>
    <w:charset w:val="00"/>
    <w:family w:val="auto"/>
    <w:pitch w:val="default"/>
    <w:sig w:usb0="00000003" w:usb1="00000000" w:usb2="000001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0B4D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2025-04-19T04:30:02Z</dcterms:created>
  <dc:creator>kjaya</dc:creator>
  <cp:lastModifiedBy>Jaya Datapoint</cp:lastModifiedBy>
  <dcterms:modified xsi:type="dcterms:W3CDTF">2025-04-19T04:31:29Z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CD864541FD94483CB4FAA75B2608C76F_12</vt:lpwstr>
  </property>
</Properties>
</file>