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C7933"/>
    <w:p w14:paraId="070C3F7D"/>
    <w:p w14:paraId="201F1486"/>
    <w:p w14:paraId="50A9AFDC"/>
    <w:p w14:paraId="41B2E8BE">
      <w:pPr>
        <w:ind w:firstLine="2241" w:firstLineChars="70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INTRODUCTION</w:t>
      </w:r>
      <w:bookmarkStart w:id="0" w:name="_GoBack"/>
      <w:bookmarkEnd w:id="0"/>
    </w:p>
    <w:p w14:paraId="5DF50F51">
      <w:pPr>
        <w:ind w:firstLine="2241" w:firstLineChars="700"/>
        <w:rPr>
          <w:rFonts w:hint="default" w:ascii="Times New Roman" w:hAnsi="Times New Roman" w:cs="Times New Roman"/>
          <w:b/>
          <w:bCs/>
          <w:sz w:val="32"/>
          <w:szCs w:val="32"/>
          <w:lang w:val="en-IN"/>
        </w:rPr>
      </w:pPr>
    </w:p>
    <w:p w14:paraId="7632E715">
      <w:pPr>
        <w:spacing w:line="360" w:lineRule="auto"/>
        <w:jc w:val="both"/>
        <w:rPr>
          <w:rFonts w:hint="default" w:ascii="Times New Roman" w:hAnsi="Times New Roman" w:cs="Times New Roman"/>
          <w:b/>
          <w:bCs/>
          <w:sz w:val="28"/>
          <w:szCs w:val="28"/>
          <w:lang w:val="en-IN"/>
        </w:rPr>
      </w:pPr>
      <w:r>
        <w:rPr>
          <w:rFonts w:hint="default" w:ascii="Times New Roman" w:hAnsi="Times New Roman" w:eastAsia="SimSun" w:cs="Times New Roman"/>
          <w:sz w:val="28"/>
          <w:szCs w:val="28"/>
        </w:rPr>
        <w:t>With the rise of fintech innovation and increasing smartphone penetration, digital payment platforms have revolutionized the way retail transactions are conducted in India. Vendors are progressively shifting from traditional cash-based models to convenient, secure, and efficient digital alternatives. However, despite this trend, a significant portion of small and medium-sized vendors remains reluctant or inconsistent in adopting these platforms. The decision to adopt digital payment systems depends on multiple factors, including perceived ease of use, usefulness, social influence, compatibility, and trust. This study delves deep into those behavioral and technical factors to uncover what drives adoption and what hinders it. The city of Bangalore, known for its diverse retail market, provides the ideal environment for such a study. This project introduces a comprehensive system that combines statistical models with machine learning algorithms to predict digital payment adoption. Through structured modules and real-time analysis, the system helps retail vendors gain clarity on their digital readiness while offering strategic insights for improving fintech engagement across India’s retail ecosystem.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3A3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2025-04-18T10:16:29Z</dcterms:created>
  <dc:creator>kjaya</dc:creator>
  <cp:lastModifiedBy>Jaya Datapoint</cp:lastModifiedBy>
  <dcterms:modified xsi:type="dcterms:W3CDTF">2025-04-18T10:17:34Z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F002948D4B60420486BA6825CC998ACC_12</vt:lpwstr>
  </property>
</Properties>
</file>