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47F8ED">
      <w:pPr>
        <w:spacing w:line="360" w:lineRule="auto"/>
        <w:jc w:val="both"/>
        <w:rPr>
          <w:rFonts w:hint="default" w:ascii="Times New Roman" w:hAnsi="Times New Roman" w:cs="Times New Roman"/>
          <w:b/>
          <w:bCs/>
          <w:sz w:val="28"/>
          <w:szCs w:val="28"/>
          <w:lang w:val="en-IN"/>
        </w:rPr>
      </w:pPr>
    </w:p>
    <w:p w14:paraId="53D4B7DB">
      <w:pPr>
        <w:spacing w:line="360" w:lineRule="auto"/>
        <w:ind w:firstLine="1821" w:firstLineChars="65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LITERATURE SURVEY</w:t>
      </w:r>
    </w:p>
    <w:p w14:paraId="5903F7A7">
      <w:pPr>
        <w:spacing w:line="360" w:lineRule="auto"/>
        <w:jc w:val="both"/>
        <w:rPr>
          <w:rFonts w:hint="default" w:ascii="Times New Roman" w:hAnsi="Times New Roman" w:cs="Times New Roman"/>
          <w:b/>
          <w:bCs/>
          <w:sz w:val="28"/>
          <w:szCs w:val="28"/>
          <w:lang w:val="en-IN"/>
        </w:rPr>
      </w:pPr>
      <w:bookmarkStart w:id="0" w:name="_GoBack"/>
      <w:bookmarkEnd w:id="0"/>
    </w:p>
    <w:p w14:paraId="32296FCC">
      <w:pPr>
        <w:numPr>
          <w:ilvl w:val="0"/>
          <w:numId w:val="1"/>
        </w:numPr>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J. Lara-Rubio, A. F. Villarejo-Ramos, and F. Liébana</w:t>
      </w:r>
      <w:r>
        <w:rPr>
          <w:rFonts w:hint="default" w:ascii="Times New Roman" w:hAnsi="Times New Roman" w:eastAsia="SimSun" w:cs="Times New Roman"/>
          <w:sz w:val="28"/>
          <w:szCs w:val="28"/>
        </w:rPr>
        <w:t/>
      </w:r>
      <w:r>
        <w:rPr>
          <w:rFonts w:hint="default" w:ascii="Times New Roman" w:hAnsi="Times New Roman" w:eastAsia="SimSun" w:cs="Times New Roman"/>
          <w:sz w:val="28"/>
          <w:szCs w:val="28"/>
        </w:rPr>
        <w:t xml:space="preserve">Cabanillas, “Explanatory and predictive model of the adoption of P2P payment systems,” Behav. Inf. Technol., vol. 40, no. 6, pp. 528–541, 2021, doi: 10.1080/0144929X.2019.1706637. </w:t>
      </w:r>
    </w:p>
    <w:p w14:paraId="67748106">
      <w:pPr>
        <w:numPr>
          <w:ilvl w:val="0"/>
          <w:numId w:val="1"/>
        </w:numPr>
        <w:spacing w:line="360" w:lineRule="auto"/>
        <w:ind w:left="0" w:leftChars="0" w:firstLine="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S. Moghavvemi, T. X. Mei, S. W. Phoong, and S.Y. Phoong, “Drivers and barriers of mobile payment adoption: Malaysian merchants’ perspective,” J. Retail. Consum. Serv., vol. 59, no. November, 2021, doi: 10.1016/j.jretconser.2020.102364. </w:t>
      </w:r>
    </w:p>
    <w:p w14:paraId="1359D02B">
      <w:pPr>
        <w:numPr>
          <w:ilvl w:val="0"/>
          <w:numId w:val="1"/>
        </w:numPr>
        <w:spacing w:line="360" w:lineRule="auto"/>
        <w:ind w:left="0" w:leftChars="0" w:firstLine="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K. Khando, M. S. Islam, and S. Gao, “The Emerging Technologies of Digital Payments and Associated Challenges: A Systematic Literature Review,” Futur. Internet, vol. 15, no. 1, 2023, doi: 10.3390/fi15010021. </w:t>
      </w:r>
    </w:p>
    <w:p w14:paraId="5A59202B">
      <w:pPr>
        <w:numPr>
          <w:ilvl w:val="0"/>
          <w:numId w:val="1"/>
        </w:numPr>
        <w:spacing w:line="360" w:lineRule="auto"/>
        <w:ind w:left="0" w:leftChars="0" w:firstLine="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R. Seethamraju and K. S. Diatha, “Adoption of digital payments by small retail stores,” ACIS 2018 - 29th Australas. Conf. Inf. Syst., pp. 1–11, 2018, doi: 10.5130/acis2018.as. </w:t>
      </w:r>
    </w:p>
    <w:p w14:paraId="22D090ED">
      <w:pPr>
        <w:numPr>
          <w:ilvl w:val="0"/>
          <w:numId w:val="1"/>
        </w:numPr>
        <w:spacing w:line="360" w:lineRule="auto"/>
        <w:ind w:left="0" w:leftChars="0" w:firstLine="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M. Ashok Botta, “A study on the adoption of digital payment mechanism by small retail stores in Visakahapatanam city,” J. Posit. Sch. Psychol., vol. 2022, no. 10, pp. 61–66, 2022, [Online]. Available: http://journalppw.com </w:t>
      </w:r>
    </w:p>
    <w:p w14:paraId="6E08EC17">
      <w:pPr>
        <w:numPr>
          <w:ilvl w:val="0"/>
          <w:numId w:val="1"/>
        </w:numPr>
        <w:spacing w:line="360" w:lineRule="auto"/>
        <w:ind w:left="0" w:leftChars="0" w:firstLine="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B. O. Antonio, L. R. Juan, I. D. Ana, and L. C. Francisco, “Examining user behavior with machine learning for effective mobile peer-to- peer payment adoption,” Financ. Innov., vol. 10, no. 1, 2024, doi: 10.1186/s40854-024-00625-3. </w:t>
      </w:r>
    </w:p>
    <w:p w14:paraId="19AD806C">
      <w:pPr>
        <w:numPr>
          <w:ilvl w:val="0"/>
          <w:numId w:val="1"/>
        </w:numPr>
        <w:spacing w:line="360" w:lineRule="auto"/>
        <w:ind w:left="0" w:leftChars="0" w:firstLine="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S. S. Guru, “AI - POWERED DIGITAL PAYMENTS : REVOLUTIONIZING TRAVEL , HOSPITALITY , AND RETAIL EXPERIENCES,” pp. 327–337, 2024. </w:t>
      </w:r>
    </w:p>
    <w:p w14:paraId="1B4C5B3D">
      <w:pPr>
        <w:numPr>
          <w:numId w:val="0"/>
        </w:numPr>
        <w:spacing w:line="360" w:lineRule="auto"/>
        <w:jc w:val="both"/>
        <w:rPr>
          <w:rFonts w:hint="default" w:ascii="Times New Roman" w:hAnsi="Times New Roman" w:eastAsia="SimSun" w:cs="Times New Roman"/>
          <w:sz w:val="28"/>
          <w:szCs w:val="28"/>
        </w:rPr>
      </w:pPr>
    </w:p>
    <w:p w14:paraId="271DBF84">
      <w:pPr>
        <w:numPr>
          <w:numId w:val="0"/>
        </w:numPr>
        <w:spacing w:line="360" w:lineRule="auto"/>
        <w:jc w:val="both"/>
        <w:rPr>
          <w:rFonts w:hint="default" w:ascii="Times New Roman" w:hAnsi="Times New Roman" w:eastAsia="SimSun" w:cs="Times New Roman"/>
          <w:sz w:val="28"/>
          <w:szCs w:val="28"/>
        </w:rPr>
      </w:pPr>
    </w:p>
    <w:p w14:paraId="4E4405F6">
      <w:pPr>
        <w:numPr>
          <w:numId w:val="0"/>
        </w:numPr>
        <w:spacing w:line="360" w:lineRule="auto"/>
        <w:jc w:val="both"/>
        <w:rPr>
          <w:rFonts w:hint="default" w:ascii="Times New Roman" w:hAnsi="Times New Roman" w:eastAsia="SimSun" w:cs="Times New Roman"/>
          <w:sz w:val="28"/>
          <w:szCs w:val="28"/>
        </w:rPr>
      </w:pPr>
    </w:p>
    <w:p w14:paraId="062BA22C">
      <w:pPr>
        <w:numPr>
          <w:numId w:val="0"/>
        </w:numPr>
        <w:spacing w:line="36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[8] K. Kajol, R. Singh, and J. Paul, “Adoption of digital financial transactions: A review of literature and future research agenda,” Technol. Forecast. Soc. Change, vol. 184, no. January, p. 121991,2022, doi:10.1016/j.techfore.2022.121991. </w:t>
      </w:r>
    </w:p>
    <w:p w14:paraId="6023660A">
      <w:pPr>
        <w:numPr>
          <w:ilvl w:val="0"/>
          <w:numId w:val="1"/>
        </w:numPr>
        <w:spacing w:line="360" w:lineRule="auto"/>
        <w:ind w:left="0" w:leftChars="0" w:firstLine="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M. Iwedi, “Digital Payment Channels and Economic Growth in Nigeria,” Adv. J. Manag. Account. Financ., vol. 9, no. 3, pp. 16–36, 2024. </w:t>
      </w:r>
    </w:p>
    <w:p w14:paraId="7F5B637D">
      <w:pPr>
        <w:numPr>
          <w:ilvl w:val="0"/>
          <w:numId w:val="1"/>
        </w:numPr>
        <w:spacing w:line="360" w:lineRule="auto"/>
        <w:ind w:left="0" w:leftChars="0" w:firstLine="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 Ravikumar and N. Prakash, “Determinants of adoption of digital payment services among small fixed retail stores in Bangalore, India,” Int.J. Bus. Innov. Res., vol. 28, no. 3, pp. 319–346, 2022, doi: 10.1504/IJBIR.2022.124123. </w:t>
      </w:r>
    </w:p>
    <w:p w14:paraId="793A7BFC">
      <w:pPr>
        <w:numPr>
          <w:ilvl w:val="0"/>
          <w:numId w:val="1"/>
        </w:numPr>
        <w:spacing w:line="360" w:lineRule="auto"/>
        <w:ind w:left="0" w:leftChars="0" w:firstLine="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Kumar, G. Kabra, E. K. Mussada, M. K. Dash, and P. S. Rana, “Combined artificial bee colony algorithm and machine learning techniques for prediction of online consumer repurchase intention,” Neural Comput. Appl., vol. 31, no. February, pp. 877–890, 2019, doi: 10.1007/s00521-017-3047-z. </w:t>
      </w:r>
    </w:p>
    <w:p w14:paraId="0DA26E45">
      <w:pPr>
        <w:numPr>
          <w:ilvl w:val="0"/>
          <w:numId w:val="1"/>
        </w:numPr>
        <w:spacing w:line="360" w:lineRule="auto"/>
        <w:ind w:left="0" w:leftChars="0" w:firstLine="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K. F. Ferdushi, Statistics for Data Science and Policy Analysis, no. June. 2020. doi: 10.1007/978-981-15-1735-8. </w:t>
      </w:r>
    </w:p>
    <w:p w14:paraId="69DB76B3">
      <w:pPr>
        <w:numPr>
          <w:ilvl w:val="0"/>
          <w:numId w:val="1"/>
        </w:numPr>
        <w:spacing w:line="360" w:lineRule="auto"/>
        <w:ind w:left="0" w:leftChars="0" w:firstLine="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V. Chang, L. M. T. Doan, A. Di Stefano, Z. Sun, and G. Fortino, “Digital payment fraud detection methods in digital ages and Industry 4.0,” Comput. Electr. Eng., vol. 100, pp. 1– 31, 2022, doi: 10.1016/j.compeleceng.2022.107734.</w:t>
      </w:r>
    </w:p>
    <w:p w14:paraId="20494E25">
      <w:pPr>
        <w:numPr>
          <w:ilvl w:val="0"/>
          <w:numId w:val="1"/>
        </w:numPr>
        <w:spacing w:line="360" w:lineRule="auto"/>
        <w:ind w:left="0" w:leftChars="0" w:firstLine="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D. Davis, “Perceived usefulness, perceived ease of use, and user acceptance of information technology,” MIS Q. Manag. Inf. Syst., vol. 13, no. 3, pp. 319–339, 1989, doi: 10.2307/249008. </w:t>
      </w:r>
    </w:p>
    <w:p w14:paraId="1B805015">
      <w:pPr>
        <w:numPr>
          <w:ilvl w:val="0"/>
          <w:numId w:val="1"/>
        </w:numPr>
        <w:spacing w:line="360" w:lineRule="auto"/>
        <w:ind w:left="0" w:leftChars="0" w:firstLine="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2000 Venkatesh&amp;Davis, “A theoretical extension of the tecgnology acceptance model: Four longitudinal field studies University of Maryland at College Park,” Manage. Sci., vol. 46, no. 2, pp. 186–204, 2000. </w:t>
      </w:r>
    </w:p>
    <w:p w14:paraId="1EB89544">
      <w:pPr>
        <w:numPr>
          <w:numId w:val="0"/>
        </w:numPr>
        <w:spacing w:line="360" w:lineRule="auto"/>
        <w:ind w:leftChars="0"/>
        <w:jc w:val="both"/>
        <w:rPr>
          <w:rFonts w:hint="default" w:ascii="Times New Roman" w:hAnsi="Times New Roman" w:cs="Times New Roman"/>
          <w:b/>
          <w:bCs/>
          <w:sz w:val="28"/>
          <w:szCs w:val="28"/>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CB078F"/>
    <w:multiLevelType w:val="singleLevel"/>
    <w:tmpl w:val="E5CB078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5178F7"/>
    <w:rsid w:val="26DB736B"/>
    <w:rsid w:val="68C56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basedOn w:val="1"/>
    <w:uiPriority w:val="0"/>
    <w:rPr>
      <w:sz w:val="24"/>
      <w:szCs w:val="24"/>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97</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2025-04-18T10:10:00Z</dcterms:created>
  <dc:creator>kjaya</dc:creator>
  <cp:lastModifiedBy>Jaya Datapoint</cp:lastModifiedBy>
  <dcterms:modified xsi:type="dcterms:W3CDTF">2025-04-19T04:16:51Z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14ADFC1D70C54F67B7C37D4B5660BE43_12</vt:lpwstr>
  </property>
</Properties>
</file>