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A778C" w14:textId="77777777" w:rsidR="00B21965"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5E0B3B92" wp14:editId="6FF93364">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08A92C2D" w14:textId="77777777" w:rsidR="00B21965" w:rsidRDefault="00B21965">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21965" w14:paraId="28497E54" w14:textId="77777777">
        <w:trPr>
          <w:jc w:val="center"/>
        </w:trPr>
        <w:tc>
          <w:tcPr>
            <w:tcW w:w="4508" w:type="dxa"/>
          </w:tcPr>
          <w:p w14:paraId="29972542" w14:textId="77777777" w:rsidR="00B21965" w:rsidRDefault="00000000">
            <w:pPr>
              <w:rPr>
                <w:rFonts w:ascii="Arial" w:eastAsia="Arial" w:hAnsi="Arial" w:cs="Arial"/>
              </w:rPr>
            </w:pPr>
            <w:r>
              <w:rPr>
                <w:rFonts w:ascii="Arial" w:eastAsia="Arial" w:hAnsi="Arial" w:cs="Arial"/>
              </w:rPr>
              <w:t>Team ID</w:t>
            </w:r>
          </w:p>
        </w:tc>
        <w:tc>
          <w:tcPr>
            <w:tcW w:w="4843" w:type="dxa"/>
          </w:tcPr>
          <w:p w14:paraId="267D198A" w14:textId="28ED57AC" w:rsidR="00B21965" w:rsidRDefault="00E9232C">
            <w:pPr>
              <w:rPr>
                <w:rFonts w:ascii="Arial" w:eastAsia="Arial" w:hAnsi="Arial" w:cs="Arial"/>
              </w:rPr>
            </w:pPr>
            <w:r>
              <w:rPr>
                <w:rFonts w:ascii="Arial" w:eastAsia="Arial" w:hAnsi="Arial" w:cs="Arial"/>
              </w:rPr>
              <w:t>MCA</w:t>
            </w:r>
          </w:p>
        </w:tc>
      </w:tr>
      <w:tr w:rsidR="00B21965" w14:paraId="6A8EB188" w14:textId="77777777">
        <w:trPr>
          <w:jc w:val="center"/>
        </w:trPr>
        <w:tc>
          <w:tcPr>
            <w:tcW w:w="4508" w:type="dxa"/>
          </w:tcPr>
          <w:p w14:paraId="26802306" w14:textId="77777777" w:rsidR="00B21965" w:rsidRDefault="00000000">
            <w:pPr>
              <w:rPr>
                <w:rFonts w:ascii="Arial" w:eastAsia="Arial" w:hAnsi="Arial" w:cs="Arial"/>
              </w:rPr>
            </w:pPr>
            <w:r>
              <w:rPr>
                <w:rFonts w:ascii="Arial" w:eastAsia="Arial" w:hAnsi="Arial" w:cs="Arial"/>
              </w:rPr>
              <w:t>Project Name</w:t>
            </w:r>
          </w:p>
        </w:tc>
        <w:tc>
          <w:tcPr>
            <w:tcW w:w="4843" w:type="dxa"/>
          </w:tcPr>
          <w:p w14:paraId="1CCC7419" w14:textId="13685872" w:rsidR="00B21965" w:rsidRPr="00CD6B2E" w:rsidRDefault="00577957">
            <w:pPr>
              <w:rPr>
                <w:rFonts w:ascii="Arial" w:eastAsia="Arial" w:hAnsi="Arial" w:cs="Arial"/>
              </w:rPr>
            </w:pPr>
            <w:r w:rsidRPr="00CD6B2E">
              <w:rPr>
                <w:rFonts w:ascii="Arial" w:eastAsia="Arial" w:hAnsi="Arial" w:cs="Arial"/>
              </w:rPr>
              <w:t xml:space="preserve">Heart </w:t>
            </w:r>
            <w:r w:rsidR="00E9232C" w:rsidRPr="00CD6B2E">
              <w:rPr>
                <w:rFonts w:ascii="Arial" w:eastAsia="Arial" w:hAnsi="Arial" w:cs="Arial"/>
              </w:rPr>
              <w:t>Disease Risk and Patient Health Analysis</w:t>
            </w:r>
            <w:r w:rsidRPr="00CD6B2E">
              <w:rPr>
                <w:rFonts w:ascii="Arial" w:eastAsia="Arial" w:hAnsi="Arial" w:cs="Arial"/>
              </w:rPr>
              <w:t xml:space="preserve"> </w:t>
            </w:r>
          </w:p>
        </w:tc>
      </w:tr>
      <w:tr w:rsidR="00B21965" w14:paraId="3FC3AD77" w14:textId="77777777">
        <w:trPr>
          <w:jc w:val="center"/>
        </w:trPr>
        <w:tc>
          <w:tcPr>
            <w:tcW w:w="4508" w:type="dxa"/>
          </w:tcPr>
          <w:p w14:paraId="7F3D8F0F" w14:textId="77777777" w:rsidR="00B21965" w:rsidRDefault="00000000">
            <w:pPr>
              <w:rPr>
                <w:rFonts w:ascii="Arial" w:eastAsia="Arial" w:hAnsi="Arial" w:cs="Arial"/>
              </w:rPr>
            </w:pPr>
            <w:r>
              <w:rPr>
                <w:rFonts w:ascii="Arial" w:eastAsia="Arial" w:hAnsi="Arial" w:cs="Arial"/>
              </w:rPr>
              <w:t>Maximum Marks</w:t>
            </w:r>
          </w:p>
        </w:tc>
        <w:tc>
          <w:tcPr>
            <w:tcW w:w="4843" w:type="dxa"/>
          </w:tcPr>
          <w:p w14:paraId="77A63EC9" w14:textId="77777777" w:rsidR="00B21965" w:rsidRDefault="00000000">
            <w:pPr>
              <w:rPr>
                <w:rFonts w:ascii="Arial" w:eastAsia="Arial" w:hAnsi="Arial" w:cs="Arial"/>
              </w:rPr>
            </w:pPr>
            <w:r>
              <w:rPr>
                <w:rFonts w:ascii="Arial" w:eastAsia="Arial" w:hAnsi="Arial" w:cs="Arial"/>
              </w:rPr>
              <w:t>5 Marks</w:t>
            </w:r>
          </w:p>
        </w:tc>
      </w:tr>
    </w:tbl>
    <w:p w14:paraId="50E27F3A" w14:textId="77777777" w:rsidR="00B21965" w:rsidRDefault="00B21965">
      <w:pPr>
        <w:rPr>
          <w:rFonts w:ascii="Cambria" w:eastAsia="Cambria" w:hAnsi="Cambria" w:cs="Cambria"/>
          <w:color w:val="000000"/>
          <w:sz w:val="24"/>
          <w:szCs w:val="24"/>
          <w:highlight w:val="white"/>
        </w:rPr>
      </w:pPr>
    </w:p>
    <w:p w14:paraId="59001556" w14:textId="1FF053FD" w:rsidR="00577957" w:rsidRPr="00577957" w:rsidRDefault="00577957" w:rsidP="00577957">
      <w:pPr>
        <w:jc w:val="center"/>
        <w:rPr>
          <w:rFonts w:ascii="Cambria" w:eastAsia="Cambria" w:hAnsi="Cambria" w:cs="Cambria"/>
          <w:b/>
          <w:bCs/>
          <w:color w:val="000000"/>
          <w:sz w:val="32"/>
          <w:szCs w:val="32"/>
          <w:u w:val="single"/>
        </w:rPr>
      </w:pPr>
      <w:r w:rsidRPr="00577957">
        <w:rPr>
          <w:rFonts w:ascii="Cambria" w:eastAsia="Cambria" w:hAnsi="Cambria" w:cs="Cambria"/>
          <w:b/>
          <w:bCs/>
          <w:noProof/>
          <w:sz w:val="32"/>
          <w:szCs w:val="32"/>
          <w:u w:val="single"/>
        </w:rPr>
        <w:drawing>
          <wp:anchor distT="0" distB="0" distL="0" distR="0" simplePos="0" relativeHeight="251660288" behindDoc="1" locked="0" layoutInCell="1" hidden="0" allowOverlap="1" wp14:anchorId="733F6280" wp14:editId="61B2B5AB">
            <wp:simplePos x="0" y="0"/>
            <wp:positionH relativeFrom="page">
              <wp:posOffset>6387183</wp:posOffset>
            </wp:positionH>
            <wp:positionV relativeFrom="page">
              <wp:posOffset>66675</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sidRPr="00577957">
        <w:rPr>
          <w:rFonts w:ascii="Cambria" w:eastAsia="Cambria" w:hAnsi="Cambria" w:cs="Cambria"/>
          <w:b/>
          <w:bCs/>
          <w:color w:val="000000"/>
          <w:sz w:val="32"/>
          <w:szCs w:val="32"/>
          <w:u w:val="single"/>
        </w:rPr>
        <w:t>Report1</w:t>
      </w:r>
    </w:p>
    <w:p w14:paraId="5E90FC06" w14:textId="77777777" w:rsidR="00B21965" w:rsidRDefault="00000000">
      <w:pPr>
        <w:shd w:val="clear" w:color="auto" w:fill="FFFFFF"/>
        <w:jc w:val="center"/>
        <w:rPr>
          <w:sz w:val="20"/>
          <w:szCs w:val="20"/>
          <w:highlight w:val="white"/>
        </w:rPr>
      </w:pPr>
      <w:r>
        <w:rPr>
          <w:sz w:val="20"/>
          <w:szCs w:val="20"/>
        </w:rPr>
        <w:t xml:space="preserve">                    </w:t>
      </w:r>
    </w:p>
    <w:p w14:paraId="7430188C" w14:textId="6A4659C7" w:rsidR="00B21965" w:rsidRDefault="00577957">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59C0AF3" wp14:editId="265371ED">
            <wp:extent cx="457200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2590800"/>
                    </a:xfrm>
                    <a:prstGeom prst="rect">
                      <a:avLst/>
                    </a:prstGeom>
                    <a:noFill/>
                  </pic:spPr>
                </pic:pic>
              </a:graphicData>
            </a:graphic>
          </wp:inline>
        </w:drawing>
      </w:r>
    </w:p>
    <w:p w14:paraId="3B2C6BA2" w14:textId="77777777" w:rsidR="00577957" w:rsidRPr="00577957" w:rsidRDefault="00577957" w:rsidP="00577957">
      <w:pPr>
        <w:numPr>
          <w:ilvl w:val="0"/>
          <w:numId w:val="7"/>
        </w:numPr>
        <w:spacing w:before="280" w:after="280" w:line="240" w:lineRule="auto"/>
        <w:rPr>
          <w:rFonts w:ascii="Times New Roman" w:eastAsia="Times New Roman" w:hAnsi="Times New Roman" w:cs="Times New Roman"/>
          <w:b/>
          <w:bCs/>
          <w:sz w:val="24"/>
          <w:szCs w:val="24"/>
          <w:u w:val="single"/>
        </w:rPr>
      </w:pPr>
      <w:r w:rsidRPr="00577957">
        <w:rPr>
          <w:rFonts w:ascii="Times New Roman" w:eastAsia="Times New Roman" w:hAnsi="Times New Roman" w:cs="Times New Roman"/>
          <w:b/>
          <w:bCs/>
          <w:sz w:val="24"/>
          <w:szCs w:val="24"/>
          <w:u w:val="single"/>
        </w:rPr>
        <w:t>Cardiovascular Health &amp; Risk Insights Report</w:t>
      </w:r>
    </w:p>
    <w:p w14:paraId="3229F9EC"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u w:val="single"/>
        </w:rPr>
      </w:pPr>
      <w:r w:rsidRPr="00577957">
        <w:rPr>
          <w:rFonts w:ascii="Times New Roman" w:eastAsia="Times New Roman" w:hAnsi="Times New Roman" w:cs="Times New Roman"/>
          <w:b/>
          <w:bCs/>
          <w:sz w:val="24"/>
          <w:szCs w:val="24"/>
          <w:u w:val="single"/>
        </w:rPr>
        <w:t>1. Executive Summary</w:t>
      </w:r>
    </w:p>
    <w:p w14:paraId="0F65A4EF"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The dashboard presents an overall cardiovascular health profile based on cholesterol, BMI, stress, diet quality, resting heart rate, smoking status, chest-pain type, and exercise-induced angina.</w:t>
      </w:r>
    </w:p>
    <w:p w14:paraId="49752244"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Key observations include:</w:t>
      </w:r>
    </w:p>
    <w:p w14:paraId="2DB06272"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Average cholesterol:</w:t>
      </w:r>
      <w:r w:rsidRPr="00577957">
        <w:rPr>
          <w:rFonts w:ascii="Times New Roman" w:eastAsia="Times New Roman" w:hAnsi="Times New Roman" w:cs="Times New Roman"/>
          <w:sz w:val="24"/>
          <w:szCs w:val="24"/>
        </w:rPr>
        <w:t xml:space="preserve"> 188.75</w:t>
      </w:r>
    </w:p>
    <w:p w14:paraId="62BD7DCA"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Average BMI:</w:t>
      </w:r>
      <w:r w:rsidRPr="00577957">
        <w:rPr>
          <w:rFonts w:ascii="Times New Roman" w:eastAsia="Times New Roman" w:hAnsi="Times New Roman" w:cs="Times New Roman"/>
          <w:sz w:val="24"/>
          <w:szCs w:val="24"/>
        </w:rPr>
        <w:t xml:space="preserve"> 25.26</w:t>
      </w:r>
    </w:p>
    <w:p w14:paraId="1A8F8813"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Average stress score:</w:t>
      </w:r>
      <w:r w:rsidRPr="00577957">
        <w:rPr>
          <w:rFonts w:ascii="Times New Roman" w:eastAsia="Times New Roman" w:hAnsi="Times New Roman" w:cs="Times New Roman"/>
          <w:sz w:val="24"/>
          <w:szCs w:val="24"/>
        </w:rPr>
        <w:t xml:space="preserve"> 47.97</w:t>
      </w:r>
    </w:p>
    <w:p w14:paraId="0F6404A4"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Average diet-quality score:</w:t>
      </w:r>
      <w:r w:rsidRPr="00577957">
        <w:rPr>
          <w:rFonts w:ascii="Times New Roman" w:eastAsia="Times New Roman" w:hAnsi="Times New Roman" w:cs="Times New Roman"/>
          <w:sz w:val="24"/>
          <w:szCs w:val="24"/>
        </w:rPr>
        <w:t xml:space="preserve"> 59.47</w:t>
      </w:r>
    </w:p>
    <w:p w14:paraId="0B12C2DA"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Exercise-induced angina:</w:t>
      </w:r>
      <w:r w:rsidRPr="00577957">
        <w:rPr>
          <w:rFonts w:ascii="Times New Roman" w:eastAsia="Times New Roman" w:hAnsi="Times New Roman" w:cs="Times New Roman"/>
          <w:sz w:val="24"/>
          <w:szCs w:val="24"/>
        </w:rPr>
        <w:t xml:space="preserve"> 22.88% of patients</w:t>
      </w:r>
    </w:p>
    <w:p w14:paraId="69C9CC4E"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No exercise-induced angina:</w:t>
      </w:r>
      <w:r w:rsidRPr="00577957">
        <w:rPr>
          <w:rFonts w:ascii="Times New Roman" w:eastAsia="Times New Roman" w:hAnsi="Times New Roman" w:cs="Times New Roman"/>
          <w:sz w:val="24"/>
          <w:szCs w:val="24"/>
        </w:rPr>
        <w:t xml:space="preserve"> 77.12%</w:t>
      </w:r>
    </w:p>
    <w:p w14:paraId="7DAFC57E"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lastRenderedPageBreak/>
        <w:t>Largest smoking group:</w:t>
      </w:r>
      <w:r w:rsidRPr="00577957">
        <w:rPr>
          <w:rFonts w:ascii="Times New Roman" w:eastAsia="Times New Roman" w:hAnsi="Times New Roman" w:cs="Times New Roman"/>
          <w:sz w:val="24"/>
          <w:szCs w:val="24"/>
        </w:rPr>
        <w:t xml:space="preserve"> Never smokers, at approximately 4.98K patients</w:t>
      </w:r>
    </w:p>
    <w:p w14:paraId="5B3867F6"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 xml:space="preserve">The dashboard also shows a </w:t>
      </w:r>
      <w:r w:rsidRPr="00577957">
        <w:rPr>
          <w:rFonts w:ascii="Times New Roman" w:eastAsia="Times New Roman" w:hAnsi="Times New Roman" w:cs="Times New Roman"/>
          <w:b/>
          <w:bCs/>
          <w:sz w:val="24"/>
          <w:szCs w:val="24"/>
        </w:rPr>
        <w:t>positive relationship between resting heart rate and average BMI</w:t>
      </w:r>
      <w:r w:rsidRPr="00577957">
        <w:rPr>
          <w:rFonts w:ascii="Times New Roman" w:eastAsia="Times New Roman" w:hAnsi="Times New Roman" w:cs="Times New Roman"/>
          <w:sz w:val="24"/>
          <w:szCs w:val="24"/>
        </w:rPr>
        <w:t xml:space="preserve">, with average BMI increasing from </w:t>
      </w:r>
      <w:r w:rsidRPr="00577957">
        <w:rPr>
          <w:rFonts w:ascii="Times New Roman" w:eastAsia="Times New Roman" w:hAnsi="Times New Roman" w:cs="Times New Roman"/>
          <w:b/>
          <w:bCs/>
          <w:sz w:val="24"/>
          <w:szCs w:val="24"/>
        </w:rPr>
        <w:t>22.5 at a resting heart rate of 40 bpm to 27.4 at 100 bpm</w:t>
      </w:r>
      <w:r w:rsidRPr="00577957">
        <w:rPr>
          <w:rFonts w:ascii="Times New Roman" w:eastAsia="Times New Roman" w:hAnsi="Times New Roman" w:cs="Times New Roman"/>
          <w:sz w:val="24"/>
          <w:szCs w:val="24"/>
        </w:rPr>
        <w:t>.</w:t>
      </w:r>
    </w:p>
    <w:p w14:paraId="1DF92581" w14:textId="77777777" w:rsidR="00577957" w:rsidRPr="00577957" w:rsidRDefault="00000000" w:rsidP="0057795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A84A37">
          <v:rect id="_x0000_i1025" style="width:0;height:1.5pt" o:hralign="center" o:hrstd="t" o:hr="t" fillcolor="#a0a0a0" stroked="f"/>
        </w:pict>
      </w:r>
    </w:p>
    <w:p w14:paraId="7A20973B"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u w:val="single"/>
        </w:rPr>
      </w:pPr>
      <w:r w:rsidRPr="00577957">
        <w:rPr>
          <w:rFonts w:ascii="Times New Roman" w:eastAsia="Times New Roman" w:hAnsi="Times New Roman" w:cs="Times New Roman"/>
          <w:b/>
          <w:bCs/>
          <w:sz w:val="24"/>
          <w:szCs w:val="24"/>
          <w:u w:val="single"/>
        </w:rPr>
        <w:t xml:space="preserve">2. </w:t>
      </w:r>
      <w:proofErr w:type="gramStart"/>
      <w:r w:rsidRPr="00577957">
        <w:rPr>
          <w:rFonts w:ascii="Times New Roman" w:eastAsia="Times New Roman" w:hAnsi="Times New Roman" w:cs="Times New Roman"/>
          <w:b/>
          <w:bCs/>
          <w:sz w:val="24"/>
          <w:szCs w:val="24"/>
          <w:u w:val="single"/>
        </w:rPr>
        <w:t>Overall</w:t>
      </w:r>
      <w:proofErr w:type="gramEnd"/>
      <w:r w:rsidRPr="00577957">
        <w:rPr>
          <w:rFonts w:ascii="Times New Roman" w:eastAsia="Times New Roman" w:hAnsi="Times New Roman" w:cs="Times New Roman"/>
          <w:b/>
          <w:bCs/>
          <w:sz w:val="24"/>
          <w:szCs w:val="24"/>
          <w:u w:val="single"/>
        </w:rPr>
        <w:t xml:space="preserve"> Health Profile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35"/>
        <w:gridCol w:w="1389"/>
        <w:gridCol w:w="5682"/>
      </w:tblGrid>
      <w:tr w:rsidR="00577957" w:rsidRPr="00577957" w14:paraId="26FF75D9" w14:textId="77777777" w:rsidTr="00577957">
        <w:trPr>
          <w:tblHeader/>
          <w:tblCellSpacing w:w="15" w:type="dxa"/>
        </w:trPr>
        <w:tc>
          <w:tcPr>
            <w:tcW w:w="0" w:type="auto"/>
            <w:vAlign w:val="center"/>
            <w:hideMark/>
          </w:tcPr>
          <w:p w14:paraId="4F56BCAD"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rPr>
            </w:pPr>
            <w:r w:rsidRPr="00577957">
              <w:rPr>
                <w:rFonts w:ascii="Times New Roman" w:eastAsia="Times New Roman" w:hAnsi="Times New Roman" w:cs="Times New Roman"/>
                <w:b/>
                <w:bCs/>
                <w:sz w:val="24"/>
                <w:szCs w:val="24"/>
              </w:rPr>
              <w:t>Indicator</w:t>
            </w:r>
          </w:p>
        </w:tc>
        <w:tc>
          <w:tcPr>
            <w:tcW w:w="0" w:type="auto"/>
            <w:vAlign w:val="center"/>
            <w:hideMark/>
          </w:tcPr>
          <w:p w14:paraId="4D9117A2"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rPr>
            </w:pPr>
            <w:r w:rsidRPr="00577957">
              <w:rPr>
                <w:rFonts w:ascii="Times New Roman" w:eastAsia="Times New Roman" w:hAnsi="Times New Roman" w:cs="Times New Roman"/>
                <w:b/>
                <w:bCs/>
                <w:sz w:val="24"/>
                <w:szCs w:val="24"/>
              </w:rPr>
              <w:t>Average / Value</w:t>
            </w:r>
          </w:p>
        </w:tc>
        <w:tc>
          <w:tcPr>
            <w:tcW w:w="0" w:type="auto"/>
            <w:vAlign w:val="center"/>
            <w:hideMark/>
          </w:tcPr>
          <w:p w14:paraId="52447313"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rPr>
            </w:pPr>
            <w:r w:rsidRPr="00577957">
              <w:rPr>
                <w:rFonts w:ascii="Times New Roman" w:eastAsia="Times New Roman" w:hAnsi="Times New Roman" w:cs="Times New Roman"/>
                <w:b/>
                <w:bCs/>
                <w:sz w:val="24"/>
                <w:szCs w:val="24"/>
              </w:rPr>
              <w:t>Interpretation</w:t>
            </w:r>
          </w:p>
        </w:tc>
      </w:tr>
      <w:tr w:rsidR="00577957" w:rsidRPr="00577957" w14:paraId="4EF665A0" w14:textId="77777777" w:rsidTr="00577957">
        <w:trPr>
          <w:tblCellSpacing w:w="15" w:type="dxa"/>
        </w:trPr>
        <w:tc>
          <w:tcPr>
            <w:tcW w:w="0" w:type="auto"/>
            <w:vAlign w:val="center"/>
            <w:hideMark/>
          </w:tcPr>
          <w:p w14:paraId="3158C66C"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Diet Quality</w:t>
            </w:r>
          </w:p>
        </w:tc>
        <w:tc>
          <w:tcPr>
            <w:tcW w:w="0" w:type="auto"/>
            <w:vAlign w:val="center"/>
            <w:hideMark/>
          </w:tcPr>
          <w:p w14:paraId="35C0E6BD"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59.47</w:t>
            </w:r>
          </w:p>
        </w:tc>
        <w:tc>
          <w:tcPr>
            <w:tcW w:w="0" w:type="auto"/>
            <w:vAlign w:val="center"/>
            <w:hideMark/>
          </w:tcPr>
          <w:p w14:paraId="4460C1C4"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Indicates the average diet-quality score in the dataset</w:t>
            </w:r>
          </w:p>
        </w:tc>
      </w:tr>
      <w:tr w:rsidR="00577957" w:rsidRPr="00577957" w14:paraId="659DF76D" w14:textId="77777777" w:rsidTr="00577957">
        <w:trPr>
          <w:tblCellSpacing w:w="15" w:type="dxa"/>
        </w:trPr>
        <w:tc>
          <w:tcPr>
            <w:tcW w:w="0" w:type="auto"/>
            <w:vAlign w:val="center"/>
            <w:hideMark/>
          </w:tcPr>
          <w:p w14:paraId="5DA59AC4"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Cholesterol</w:t>
            </w:r>
          </w:p>
        </w:tc>
        <w:tc>
          <w:tcPr>
            <w:tcW w:w="0" w:type="auto"/>
            <w:vAlign w:val="center"/>
            <w:hideMark/>
          </w:tcPr>
          <w:p w14:paraId="352F43C5"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188.75</w:t>
            </w:r>
          </w:p>
        </w:tc>
        <w:tc>
          <w:tcPr>
            <w:tcW w:w="0" w:type="auto"/>
            <w:vAlign w:val="center"/>
            <w:hideMark/>
          </w:tcPr>
          <w:p w14:paraId="7147ABFD"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Average cholesterol measurement</w:t>
            </w:r>
          </w:p>
        </w:tc>
      </w:tr>
      <w:tr w:rsidR="00577957" w:rsidRPr="00577957" w14:paraId="7D2FEF3C" w14:textId="77777777" w:rsidTr="00577957">
        <w:trPr>
          <w:tblCellSpacing w:w="15" w:type="dxa"/>
        </w:trPr>
        <w:tc>
          <w:tcPr>
            <w:tcW w:w="0" w:type="auto"/>
            <w:vAlign w:val="center"/>
            <w:hideMark/>
          </w:tcPr>
          <w:p w14:paraId="782A0DCD"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BMI</w:t>
            </w:r>
          </w:p>
        </w:tc>
        <w:tc>
          <w:tcPr>
            <w:tcW w:w="0" w:type="auto"/>
            <w:vAlign w:val="center"/>
            <w:hideMark/>
          </w:tcPr>
          <w:p w14:paraId="00605F52"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25.26</w:t>
            </w:r>
          </w:p>
        </w:tc>
        <w:tc>
          <w:tcPr>
            <w:tcW w:w="0" w:type="auto"/>
            <w:vAlign w:val="center"/>
            <w:hideMark/>
          </w:tcPr>
          <w:p w14:paraId="0C358B5C"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Average BMI is around the overweight threshold</w:t>
            </w:r>
          </w:p>
        </w:tc>
      </w:tr>
      <w:tr w:rsidR="00577957" w:rsidRPr="00577957" w14:paraId="302AF133" w14:textId="77777777" w:rsidTr="00577957">
        <w:trPr>
          <w:tblCellSpacing w:w="15" w:type="dxa"/>
        </w:trPr>
        <w:tc>
          <w:tcPr>
            <w:tcW w:w="0" w:type="auto"/>
            <w:vAlign w:val="center"/>
            <w:hideMark/>
          </w:tcPr>
          <w:p w14:paraId="32F9BC76"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Stress Level</w:t>
            </w:r>
          </w:p>
        </w:tc>
        <w:tc>
          <w:tcPr>
            <w:tcW w:w="0" w:type="auto"/>
            <w:vAlign w:val="center"/>
            <w:hideMark/>
          </w:tcPr>
          <w:p w14:paraId="31BFC62C"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47.97</w:t>
            </w:r>
          </w:p>
        </w:tc>
        <w:tc>
          <w:tcPr>
            <w:tcW w:w="0" w:type="auto"/>
            <w:vAlign w:val="center"/>
            <w:hideMark/>
          </w:tcPr>
          <w:p w14:paraId="25224E84"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Moderate average stress score, assuming the dashboard's scale is higher-is-more-stress</w:t>
            </w:r>
          </w:p>
        </w:tc>
      </w:tr>
    </w:tbl>
    <w:p w14:paraId="7A7403CC"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These figures provide a useful baseline for understanding the population but should not be interpreted as clinical diagnoses without knowing the measurement definitions, units, and patient characteristics.</w:t>
      </w:r>
    </w:p>
    <w:p w14:paraId="4FC293E2" w14:textId="77777777" w:rsidR="00577957" w:rsidRPr="00577957" w:rsidRDefault="00000000" w:rsidP="0057795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3404AF">
          <v:rect id="_x0000_i1026" style="width:0;height:1.5pt" o:hralign="center" o:hrstd="t" o:hr="t" fillcolor="#a0a0a0" stroked="f"/>
        </w:pict>
      </w:r>
    </w:p>
    <w:p w14:paraId="76B018CB"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u w:val="single"/>
        </w:rPr>
      </w:pPr>
      <w:r w:rsidRPr="00577957">
        <w:rPr>
          <w:rFonts w:ascii="Times New Roman" w:eastAsia="Times New Roman" w:hAnsi="Times New Roman" w:cs="Times New Roman"/>
          <w:b/>
          <w:bCs/>
          <w:sz w:val="24"/>
          <w:szCs w:val="24"/>
          <w:u w:val="single"/>
        </w:rPr>
        <w:t>3. Exercise-Induced Angina</w:t>
      </w:r>
    </w:p>
    <w:p w14:paraId="5CB41FD3"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The pie chart shows:</w:t>
      </w:r>
    </w:p>
    <w:p w14:paraId="0535DA11"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31K patients (77.12%)</w:t>
      </w:r>
      <w:r w:rsidRPr="00577957">
        <w:rPr>
          <w:rFonts w:ascii="Times New Roman" w:eastAsia="Times New Roman" w:hAnsi="Times New Roman" w:cs="Times New Roman"/>
          <w:sz w:val="24"/>
          <w:szCs w:val="24"/>
        </w:rPr>
        <w:t xml:space="preserve"> — no exercise-induced angina</w:t>
      </w:r>
    </w:p>
    <w:p w14:paraId="7DFB6DAD"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9M patients (22.88%)</w:t>
      </w:r>
      <w:r w:rsidRPr="00577957">
        <w:rPr>
          <w:rFonts w:ascii="Times New Roman" w:eastAsia="Times New Roman" w:hAnsi="Times New Roman" w:cs="Times New Roman"/>
          <w:sz w:val="24"/>
          <w:szCs w:val="24"/>
        </w:rPr>
        <w:t xml:space="preserve"> — exercise-induced angina</w:t>
      </w:r>
    </w:p>
    <w:p w14:paraId="31AB8C32"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 xml:space="preserve">Approximately </w:t>
      </w:r>
      <w:r w:rsidRPr="00577957">
        <w:rPr>
          <w:rFonts w:ascii="Times New Roman" w:eastAsia="Times New Roman" w:hAnsi="Times New Roman" w:cs="Times New Roman"/>
          <w:b/>
          <w:bCs/>
          <w:sz w:val="24"/>
          <w:szCs w:val="24"/>
        </w:rPr>
        <w:t>one in five patients</w:t>
      </w:r>
      <w:r w:rsidRPr="00577957">
        <w:rPr>
          <w:rFonts w:ascii="Times New Roman" w:eastAsia="Times New Roman" w:hAnsi="Times New Roman" w:cs="Times New Roman"/>
          <w:sz w:val="24"/>
          <w:szCs w:val="24"/>
        </w:rPr>
        <w:t xml:space="preserve"> therefore falls into the exercise-induced-angina category in this dataset.</w:t>
      </w:r>
    </w:p>
    <w:p w14:paraId="1D2E27DE"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 xml:space="preserve">This is an important variable for cardiovascular-risk analysis because exercise-related chest symptoms can warrant clinical evaluation. The dashboard association should be treated as a </w:t>
      </w:r>
      <w:r w:rsidRPr="00577957">
        <w:rPr>
          <w:rFonts w:ascii="Times New Roman" w:eastAsia="Times New Roman" w:hAnsi="Times New Roman" w:cs="Times New Roman"/>
          <w:b/>
          <w:bCs/>
          <w:sz w:val="24"/>
          <w:szCs w:val="24"/>
        </w:rPr>
        <w:lastRenderedPageBreak/>
        <w:t>population-level pattern</w:t>
      </w:r>
      <w:r w:rsidRPr="00577957">
        <w:rPr>
          <w:rFonts w:ascii="Times New Roman" w:eastAsia="Times New Roman" w:hAnsi="Times New Roman" w:cs="Times New Roman"/>
          <w:sz w:val="24"/>
          <w:szCs w:val="24"/>
        </w:rPr>
        <w:t>, rather than evidence that an individual patient has cardiovascular disease.</w:t>
      </w:r>
    </w:p>
    <w:p w14:paraId="0EBC30FD" w14:textId="77777777" w:rsidR="00577957" w:rsidRPr="00577957" w:rsidRDefault="00000000" w:rsidP="0057795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A48C35">
          <v:rect id="_x0000_i1027" style="width:0;height:1.5pt" o:hralign="center" o:hrstd="t" o:hr="t" fillcolor="#a0a0a0" stroked="f"/>
        </w:pict>
      </w:r>
    </w:p>
    <w:p w14:paraId="64B01C5F" w14:textId="5176C6C8" w:rsidR="00577957" w:rsidRPr="00577957" w:rsidRDefault="00577957" w:rsidP="00577957">
      <w:pPr>
        <w:spacing w:before="280" w:after="280" w:line="240" w:lineRule="auto"/>
        <w:rPr>
          <w:rFonts w:ascii="Times New Roman" w:eastAsia="Times New Roman" w:hAnsi="Times New Roman" w:cs="Times New Roman"/>
          <w:b/>
          <w:bCs/>
          <w:sz w:val="24"/>
          <w:szCs w:val="24"/>
          <w:u w:val="single"/>
        </w:rPr>
      </w:pPr>
      <w:r w:rsidRPr="00577957">
        <w:rPr>
          <w:rFonts w:ascii="Times New Roman" w:eastAsia="Times New Roman" w:hAnsi="Times New Roman" w:cs="Times New Roman"/>
          <w:b/>
          <w:bCs/>
          <w:sz w:val="24"/>
          <w:szCs w:val="24"/>
          <w:u w:val="single"/>
        </w:rPr>
        <w:t>4 BMI. and Resting Heart Rate</w:t>
      </w:r>
    </w:p>
    <w:p w14:paraId="533D46C5"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The dashboard demonstrates a clear upward pattern: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048"/>
        <w:gridCol w:w="1468"/>
      </w:tblGrid>
      <w:tr w:rsidR="00577957" w:rsidRPr="00577957" w14:paraId="7CFA5351" w14:textId="77777777" w:rsidTr="00577957">
        <w:trPr>
          <w:tblHeader/>
          <w:tblCellSpacing w:w="15" w:type="dxa"/>
        </w:trPr>
        <w:tc>
          <w:tcPr>
            <w:tcW w:w="0" w:type="auto"/>
            <w:vAlign w:val="center"/>
            <w:hideMark/>
          </w:tcPr>
          <w:p w14:paraId="70D0E0BC"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rPr>
            </w:pPr>
            <w:r w:rsidRPr="00577957">
              <w:rPr>
                <w:rFonts w:ascii="Times New Roman" w:eastAsia="Times New Roman" w:hAnsi="Times New Roman" w:cs="Times New Roman"/>
                <w:b/>
                <w:bCs/>
                <w:sz w:val="24"/>
                <w:szCs w:val="24"/>
              </w:rPr>
              <w:t>Resting Heart Rate</w:t>
            </w:r>
          </w:p>
        </w:tc>
        <w:tc>
          <w:tcPr>
            <w:tcW w:w="0" w:type="auto"/>
            <w:vAlign w:val="center"/>
            <w:hideMark/>
          </w:tcPr>
          <w:p w14:paraId="184A7F17"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rPr>
            </w:pPr>
            <w:r w:rsidRPr="00577957">
              <w:rPr>
                <w:rFonts w:ascii="Times New Roman" w:eastAsia="Times New Roman" w:hAnsi="Times New Roman" w:cs="Times New Roman"/>
                <w:b/>
                <w:bCs/>
                <w:sz w:val="24"/>
                <w:szCs w:val="24"/>
              </w:rPr>
              <w:t>Average BMI</w:t>
            </w:r>
          </w:p>
        </w:tc>
      </w:tr>
      <w:tr w:rsidR="00577957" w:rsidRPr="00577957" w14:paraId="2147ABE4" w14:textId="77777777" w:rsidTr="00577957">
        <w:trPr>
          <w:tblCellSpacing w:w="15" w:type="dxa"/>
        </w:trPr>
        <w:tc>
          <w:tcPr>
            <w:tcW w:w="0" w:type="auto"/>
            <w:vAlign w:val="center"/>
            <w:hideMark/>
          </w:tcPr>
          <w:p w14:paraId="2A5B52F2"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40 bpm</w:t>
            </w:r>
          </w:p>
        </w:tc>
        <w:tc>
          <w:tcPr>
            <w:tcW w:w="0" w:type="auto"/>
            <w:vAlign w:val="center"/>
            <w:hideMark/>
          </w:tcPr>
          <w:p w14:paraId="0C89E5F5"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22.5</w:t>
            </w:r>
          </w:p>
        </w:tc>
      </w:tr>
      <w:tr w:rsidR="00577957" w:rsidRPr="00577957" w14:paraId="2AB4F969" w14:textId="77777777" w:rsidTr="00577957">
        <w:trPr>
          <w:tblCellSpacing w:w="15" w:type="dxa"/>
        </w:trPr>
        <w:tc>
          <w:tcPr>
            <w:tcW w:w="0" w:type="auto"/>
            <w:vAlign w:val="center"/>
            <w:hideMark/>
          </w:tcPr>
          <w:p w14:paraId="559A1308"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60 bpm</w:t>
            </w:r>
          </w:p>
        </w:tc>
        <w:tc>
          <w:tcPr>
            <w:tcW w:w="0" w:type="auto"/>
            <w:vAlign w:val="center"/>
            <w:hideMark/>
          </w:tcPr>
          <w:p w14:paraId="12D90582"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24.6</w:t>
            </w:r>
          </w:p>
        </w:tc>
      </w:tr>
      <w:tr w:rsidR="00577957" w:rsidRPr="00577957" w14:paraId="2FCC8929" w14:textId="77777777" w:rsidTr="00577957">
        <w:trPr>
          <w:tblCellSpacing w:w="15" w:type="dxa"/>
        </w:trPr>
        <w:tc>
          <w:tcPr>
            <w:tcW w:w="0" w:type="auto"/>
            <w:vAlign w:val="center"/>
            <w:hideMark/>
          </w:tcPr>
          <w:p w14:paraId="7BD0F8EC"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80 bpm</w:t>
            </w:r>
          </w:p>
        </w:tc>
        <w:tc>
          <w:tcPr>
            <w:tcW w:w="0" w:type="auto"/>
            <w:vAlign w:val="center"/>
            <w:hideMark/>
          </w:tcPr>
          <w:p w14:paraId="1AEA7664"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25.8</w:t>
            </w:r>
          </w:p>
        </w:tc>
      </w:tr>
      <w:tr w:rsidR="00577957" w:rsidRPr="00577957" w14:paraId="5043840D" w14:textId="77777777" w:rsidTr="00577957">
        <w:trPr>
          <w:tblCellSpacing w:w="15" w:type="dxa"/>
        </w:trPr>
        <w:tc>
          <w:tcPr>
            <w:tcW w:w="0" w:type="auto"/>
            <w:vAlign w:val="center"/>
            <w:hideMark/>
          </w:tcPr>
          <w:p w14:paraId="54B6B186"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100 bpm</w:t>
            </w:r>
          </w:p>
        </w:tc>
        <w:tc>
          <w:tcPr>
            <w:tcW w:w="0" w:type="auto"/>
            <w:vAlign w:val="center"/>
            <w:hideMark/>
          </w:tcPr>
          <w:p w14:paraId="7FC55464"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27.4</w:t>
            </w:r>
          </w:p>
        </w:tc>
      </w:tr>
    </w:tbl>
    <w:p w14:paraId="492DCD26"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 xml:space="preserve">Average BMI rises by approximately </w:t>
      </w:r>
      <w:r w:rsidRPr="00577957">
        <w:rPr>
          <w:rFonts w:ascii="Times New Roman" w:eastAsia="Times New Roman" w:hAnsi="Times New Roman" w:cs="Times New Roman"/>
          <w:b/>
          <w:bCs/>
          <w:sz w:val="24"/>
          <w:szCs w:val="24"/>
        </w:rPr>
        <w:t>4.9 BMI points</w:t>
      </w:r>
      <w:r w:rsidRPr="00577957">
        <w:rPr>
          <w:rFonts w:ascii="Times New Roman" w:eastAsia="Times New Roman" w:hAnsi="Times New Roman" w:cs="Times New Roman"/>
          <w:sz w:val="24"/>
          <w:szCs w:val="24"/>
        </w:rPr>
        <w:t xml:space="preserve"> between the lowest and highest displayed resting-heart-rate groups.</w:t>
      </w:r>
    </w:p>
    <w:p w14:paraId="7D241041"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 xml:space="preserve">This indicates an </w:t>
      </w:r>
      <w:r w:rsidRPr="00577957">
        <w:rPr>
          <w:rFonts w:ascii="Times New Roman" w:eastAsia="Times New Roman" w:hAnsi="Times New Roman" w:cs="Times New Roman"/>
          <w:b/>
          <w:bCs/>
          <w:sz w:val="24"/>
          <w:szCs w:val="24"/>
        </w:rPr>
        <w:t>association</w:t>
      </w:r>
      <w:r w:rsidRPr="00577957">
        <w:rPr>
          <w:rFonts w:ascii="Times New Roman" w:eastAsia="Times New Roman" w:hAnsi="Times New Roman" w:cs="Times New Roman"/>
          <w:sz w:val="24"/>
          <w:szCs w:val="24"/>
        </w:rPr>
        <w:t xml:space="preserve"> between the two variables in the displayed data. However, the chart alone does not establish that a higher resting heart rate causes higher BMI, or vice versa. Other demographic, </w:t>
      </w:r>
      <w:proofErr w:type="spellStart"/>
      <w:r w:rsidRPr="00577957">
        <w:rPr>
          <w:rFonts w:ascii="Times New Roman" w:eastAsia="Times New Roman" w:hAnsi="Times New Roman" w:cs="Times New Roman"/>
          <w:sz w:val="24"/>
          <w:szCs w:val="24"/>
        </w:rPr>
        <w:t>behavioral</w:t>
      </w:r>
      <w:proofErr w:type="spellEnd"/>
      <w:r w:rsidRPr="00577957">
        <w:rPr>
          <w:rFonts w:ascii="Times New Roman" w:eastAsia="Times New Roman" w:hAnsi="Times New Roman" w:cs="Times New Roman"/>
          <w:sz w:val="24"/>
          <w:szCs w:val="24"/>
        </w:rPr>
        <w:t>, or clinical factors may contribute.</w:t>
      </w:r>
    </w:p>
    <w:p w14:paraId="6B908B91" w14:textId="77777777" w:rsidR="00577957" w:rsidRPr="00577957" w:rsidRDefault="00000000" w:rsidP="0057795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A3B6E8">
          <v:rect id="_x0000_i1028" style="width:0;height:1.5pt" o:hralign="center" o:hrstd="t" o:hr="t" fillcolor="#a0a0a0" stroked="f"/>
        </w:pict>
      </w:r>
    </w:p>
    <w:p w14:paraId="2347208E" w14:textId="51ECAF69" w:rsidR="00577957" w:rsidRPr="00577957" w:rsidRDefault="00577957" w:rsidP="00577957">
      <w:pPr>
        <w:spacing w:before="280" w:after="280" w:line="240" w:lineRule="auto"/>
        <w:rPr>
          <w:rFonts w:ascii="Times New Roman" w:eastAsia="Times New Roman" w:hAnsi="Times New Roman" w:cs="Times New Roman"/>
          <w:b/>
          <w:bCs/>
          <w:sz w:val="24"/>
          <w:szCs w:val="24"/>
          <w:u w:val="single"/>
        </w:rPr>
      </w:pPr>
      <w:r w:rsidRPr="00577957">
        <w:rPr>
          <w:rFonts w:ascii="Times New Roman" w:eastAsia="Times New Roman" w:hAnsi="Times New Roman" w:cs="Times New Roman"/>
          <w:b/>
          <w:bCs/>
          <w:sz w:val="24"/>
          <w:szCs w:val="24"/>
          <w:u w:val="single"/>
        </w:rPr>
        <w:t>5. Smoking Status</w:t>
      </w:r>
    </w:p>
    <w:p w14:paraId="7AB8AA32"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Patient distribution is:</w:t>
      </w:r>
    </w:p>
    <w:p w14:paraId="19662C5D"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Never smokers:</w:t>
      </w:r>
      <w:r w:rsidRPr="00577957">
        <w:rPr>
          <w:rFonts w:ascii="Times New Roman" w:eastAsia="Times New Roman" w:hAnsi="Times New Roman" w:cs="Times New Roman"/>
          <w:sz w:val="24"/>
          <w:szCs w:val="24"/>
        </w:rPr>
        <w:t xml:space="preserve"> 4.98K</w:t>
      </w:r>
    </w:p>
    <w:p w14:paraId="7FC0AA59"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Former smokers:</w:t>
      </w:r>
      <w:r w:rsidRPr="00577957">
        <w:rPr>
          <w:rFonts w:ascii="Times New Roman" w:eastAsia="Times New Roman" w:hAnsi="Times New Roman" w:cs="Times New Roman"/>
          <w:sz w:val="24"/>
          <w:szCs w:val="24"/>
        </w:rPr>
        <w:t xml:space="preserve"> 2.45K</w:t>
      </w:r>
    </w:p>
    <w:p w14:paraId="1D540BE0"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Current smokers:</w:t>
      </w:r>
      <w:r w:rsidRPr="00577957">
        <w:rPr>
          <w:rFonts w:ascii="Times New Roman" w:eastAsia="Times New Roman" w:hAnsi="Times New Roman" w:cs="Times New Roman"/>
          <w:sz w:val="24"/>
          <w:szCs w:val="24"/>
        </w:rPr>
        <w:t xml:space="preserve"> 1.57K</w:t>
      </w:r>
    </w:p>
    <w:p w14:paraId="3C584773"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Never smokers constitute the largest group, while current smokers constitute the smallest.</w:t>
      </w:r>
    </w:p>
    <w:p w14:paraId="21B9CDA9"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 xml:space="preserve">The chest-pain breakdown also shows that </w:t>
      </w:r>
      <w:r w:rsidRPr="00577957">
        <w:rPr>
          <w:rFonts w:ascii="Times New Roman" w:eastAsia="Times New Roman" w:hAnsi="Times New Roman" w:cs="Times New Roman"/>
          <w:b/>
          <w:bCs/>
          <w:sz w:val="24"/>
          <w:szCs w:val="24"/>
        </w:rPr>
        <w:t>Never smokers have the largest absolute number of patients in every displayed chest-pain category</w:t>
      </w:r>
      <w:r w:rsidRPr="00577957">
        <w:rPr>
          <w:rFonts w:ascii="Times New Roman" w:eastAsia="Times New Roman" w:hAnsi="Times New Roman" w:cs="Times New Roman"/>
          <w:sz w:val="24"/>
          <w:szCs w:val="24"/>
        </w:rPr>
        <w:t xml:space="preserve">. This should be interpreted </w:t>
      </w:r>
      <w:r w:rsidRPr="00577957">
        <w:rPr>
          <w:rFonts w:ascii="Times New Roman" w:eastAsia="Times New Roman" w:hAnsi="Times New Roman" w:cs="Times New Roman"/>
          <w:sz w:val="24"/>
          <w:szCs w:val="24"/>
        </w:rPr>
        <w:lastRenderedPageBreak/>
        <w:t>alongside the different sizes of the smoking groups; absolute counts alone do not measure the prevalence or risk of a chest-pain category within each smoking group.</w:t>
      </w:r>
    </w:p>
    <w:p w14:paraId="70139FCA" w14:textId="77777777" w:rsidR="00577957" w:rsidRPr="00577957" w:rsidRDefault="00000000" w:rsidP="0057795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AC9A1B">
          <v:rect id="_x0000_i1029" style="width:0;height:1.5pt" o:hralign="center" o:hrstd="t" o:hr="t" fillcolor="#a0a0a0" stroked="f"/>
        </w:pict>
      </w:r>
    </w:p>
    <w:p w14:paraId="3BE5E897"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u w:val="single"/>
        </w:rPr>
      </w:pPr>
      <w:r w:rsidRPr="00577957">
        <w:rPr>
          <w:rFonts w:ascii="Times New Roman" w:eastAsia="Times New Roman" w:hAnsi="Times New Roman" w:cs="Times New Roman"/>
          <w:b/>
          <w:bCs/>
          <w:sz w:val="24"/>
          <w:szCs w:val="24"/>
          <w:u w:val="single"/>
        </w:rPr>
        <w:t>6. Chest-Pain Distribution</w:t>
      </w:r>
    </w:p>
    <w:p w14:paraId="7E18CB62"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The dashboard identifies four chest-pain categories:</w:t>
      </w:r>
    </w:p>
    <w:p w14:paraId="183F6956" w14:textId="77777777" w:rsidR="00577957" w:rsidRPr="00577957" w:rsidRDefault="00577957" w:rsidP="00577957">
      <w:pPr>
        <w:numPr>
          <w:ilvl w:val="1"/>
          <w:numId w:val="8"/>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Asymptomatic</w:t>
      </w:r>
    </w:p>
    <w:p w14:paraId="53B8D019" w14:textId="77777777" w:rsidR="00577957" w:rsidRPr="00577957" w:rsidRDefault="00577957" w:rsidP="00577957">
      <w:pPr>
        <w:numPr>
          <w:ilvl w:val="1"/>
          <w:numId w:val="8"/>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Non-Anginal Pain</w:t>
      </w:r>
    </w:p>
    <w:p w14:paraId="74143056" w14:textId="77777777" w:rsidR="00577957" w:rsidRPr="00577957" w:rsidRDefault="00577957" w:rsidP="00577957">
      <w:pPr>
        <w:numPr>
          <w:ilvl w:val="1"/>
          <w:numId w:val="8"/>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Atypical Angina</w:t>
      </w:r>
    </w:p>
    <w:p w14:paraId="458F4A9A" w14:textId="77777777" w:rsidR="00577957" w:rsidRPr="00577957" w:rsidRDefault="00577957" w:rsidP="00577957">
      <w:pPr>
        <w:numPr>
          <w:ilvl w:val="1"/>
          <w:numId w:val="8"/>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Typical Angina</w:t>
      </w:r>
    </w:p>
    <w:p w14:paraId="252DDD6C"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Asymptomatic cases have the highest overall counts, followed by non-anginal pain, atypical angina, and typical angina.</w:t>
      </w:r>
    </w:p>
    <w:p w14:paraId="6B944C27"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 xml:space="preserve">The displayed counts by smoking status further show that never smokers have the highest </w:t>
      </w:r>
      <w:r w:rsidRPr="00577957">
        <w:rPr>
          <w:rFonts w:ascii="Times New Roman" w:eastAsia="Times New Roman" w:hAnsi="Times New Roman" w:cs="Times New Roman"/>
          <w:b/>
          <w:bCs/>
          <w:sz w:val="24"/>
          <w:szCs w:val="24"/>
        </w:rPr>
        <w:t>absolute patient counts</w:t>
      </w:r>
      <w:r w:rsidRPr="00577957">
        <w:rPr>
          <w:rFonts w:ascii="Times New Roman" w:eastAsia="Times New Roman" w:hAnsi="Times New Roman" w:cs="Times New Roman"/>
          <w:sz w:val="24"/>
          <w:szCs w:val="24"/>
        </w:rPr>
        <w:t xml:space="preserve"> for each category, followed by former and current smokers.</w:t>
      </w:r>
    </w:p>
    <w:p w14:paraId="333A5ECB"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 xml:space="preserve">For meaningful comparisons between smoking groups, however, </w:t>
      </w:r>
      <w:r w:rsidRPr="00577957">
        <w:rPr>
          <w:rFonts w:ascii="Times New Roman" w:eastAsia="Times New Roman" w:hAnsi="Times New Roman" w:cs="Times New Roman"/>
          <w:b/>
          <w:bCs/>
          <w:sz w:val="24"/>
          <w:szCs w:val="24"/>
        </w:rPr>
        <w:t>percentages within each smoking group</w:t>
      </w:r>
      <w:r w:rsidRPr="00577957">
        <w:rPr>
          <w:rFonts w:ascii="Times New Roman" w:eastAsia="Times New Roman" w:hAnsi="Times New Roman" w:cs="Times New Roman"/>
          <w:sz w:val="24"/>
          <w:szCs w:val="24"/>
        </w:rPr>
        <w:t xml:space="preserve"> would be more informative than raw patient counts.</w:t>
      </w:r>
    </w:p>
    <w:p w14:paraId="61535781" w14:textId="77777777" w:rsidR="00577957" w:rsidRPr="00577957" w:rsidRDefault="00000000" w:rsidP="0057795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A0BDA6">
          <v:rect id="_x0000_i1030" style="width:0;height:1.5pt" o:hralign="center" o:hrstd="t" o:hr="t" fillcolor="#a0a0a0" stroked="f"/>
        </w:pict>
      </w:r>
    </w:p>
    <w:p w14:paraId="5550CDD3"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u w:val="single"/>
        </w:rPr>
      </w:pPr>
      <w:r w:rsidRPr="00577957">
        <w:rPr>
          <w:rFonts w:ascii="Times New Roman" w:eastAsia="Times New Roman" w:hAnsi="Times New Roman" w:cs="Times New Roman"/>
          <w:b/>
          <w:bCs/>
          <w:sz w:val="24"/>
          <w:szCs w:val="24"/>
          <w:u w:val="single"/>
        </w:rPr>
        <w:t>7. Key Risk Patterns for Further Analysis</w:t>
      </w:r>
    </w:p>
    <w:p w14:paraId="17F4E8F4"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The dashboard highlights several relationships worth investigating:</w:t>
      </w:r>
    </w:p>
    <w:p w14:paraId="29998F31"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rPr>
      </w:pPr>
      <w:r w:rsidRPr="00577957">
        <w:rPr>
          <w:rFonts w:ascii="Times New Roman" w:eastAsia="Times New Roman" w:hAnsi="Times New Roman" w:cs="Times New Roman"/>
          <w:b/>
          <w:bCs/>
          <w:sz w:val="24"/>
          <w:szCs w:val="24"/>
        </w:rPr>
        <w:t>A. Resting heart rate and BMI</w:t>
      </w:r>
    </w:p>
    <w:p w14:paraId="03170746"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The increasing BMI trend across resting-heart-rate levels suggests that these variables should be examined together in further analysis.</w:t>
      </w:r>
    </w:p>
    <w:p w14:paraId="257EABF3"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rPr>
      </w:pPr>
      <w:r w:rsidRPr="00577957">
        <w:rPr>
          <w:rFonts w:ascii="Times New Roman" w:eastAsia="Times New Roman" w:hAnsi="Times New Roman" w:cs="Times New Roman"/>
          <w:b/>
          <w:bCs/>
          <w:sz w:val="24"/>
          <w:szCs w:val="24"/>
        </w:rPr>
        <w:t>B. Exercise-induced angina</w:t>
      </w:r>
    </w:p>
    <w:p w14:paraId="07974081"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 xml:space="preserve">With </w:t>
      </w:r>
      <w:r w:rsidRPr="00577957">
        <w:rPr>
          <w:rFonts w:ascii="Times New Roman" w:eastAsia="Times New Roman" w:hAnsi="Times New Roman" w:cs="Times New Roman"/>
          <w:b/>
          <w:bCs/>
          <w:sz w:val="24"/>
          <w:szCs w:val="24"/>
        </w:rPr>
        <w:t>22.88%</w:t>
      </w:r>
      <w:r w:rsidRPr="00577957">
        <w:rPr>
          <w:rFonts w:ascii="Times New Roman" w:eastAsia="Times New Roman" w:hAnsi="Times New Roman" w:cs="Times New Roman"/>
          <w:sz w:val="24"/>
          <w:szCs w:val="24"/>
        </w:rPr>
        <w:t xml:space="preserve"> of the displayed population categorized as having exercise-induced angina, this variable represents an important subgroup for additional clinical and demographic analysis.</w:t>
      </w:r>
    </w:p>
    <w:p w14:paraId="50925A52"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rPr>
      </w:pPr>
      <w:r w:rsidRPr="00577957">
        <w:rPr>
          <w:rFonts w:ascii="Times New Roman" w:eastAsia="Times New Roman" w:hAnsi="Times New Roman" w:cs="Times New Roman"/>
          <w:b/>
          <w:bCs/>
          <w:sz w:val="24"/>
          <w:szCs w:val="24"/>
        </w:rPr>
        <w:t>C. Smoking and chest pain</w:t>
      </w:r>
    </w:p>
    <w:p w14:paraId="199FE43E"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 xml:space="preserve">Smoking status and chest-pain type show different distributions, but the current dashboard primarily presents </w:t>
      </w:r>
      <w:r w:rsidRPr="00577957">
        <w:rPr>
          <w:rFonts w:ascii="Times New Roman" w:eastAsia="Times New Roman" w:hAnsi="Times New Roman" w:cs="Times New Roman"/>
          <w:b/>
          <w:bCs/>
          <w:sz w:val="24"/>
          <w:szCs w:val="24"/>
        </w:rPr>
        <w:t>counts</w:t>
      </w:r>
      <w:r w:rsidRPr="00577957">
        <w:rPr>
          <w:rFonts w:ascii="Times New Roman" w:eastAsia="Times New Roman" w:hAnsi="Times New Roman" w:cs="Times New Roman"/>
          <w:sz w:val="24"/>
          <w:szCs w:val="24"/>
        </w:rPr>
        <w:t>. Calculating chest-pain prevalence within each smoking group would provide a more appropriate comparison.</w:t>
      </w:r>
    </w:p>
    <w:p w14:paraId="2603D9F2"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rPr>
      </w:pPr>
      <w:r w:rsidRPr="00577957">
        <w:rPr>
          <w:rFonts w:ascii="Times New Roman" w:eastAsia="Times New Roman" w:hAnsi="Times New Roman" w:cs="Times New Roman"/>
          <w:b/>
          <w:bCs/>
          <w:sz w:val="24"/>
          <w:szCs w:val="24"/>
        </w:rPr>
        <w:t>D. Multiple risk factors</w:t>
      </w:r>
    </w:p>
    <w:p w14:paraId="7CCCCDF6" w14:textId="7DC3BABA"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lastRenderedPageBreak/>
        <w:t xml:space="preserve">BMI, cholesterol, stress, diet quality, resting heart rate, smoking status, and exercise-induced angina could be </w:t>
      </w:r>
      <w:proofErr w:type="spellStart"/>
      <w:r w:rsidRPr="00577957">
        <w:rPr>
          <w:rFonts w:ascii="Times New Roman" w:eastAsia="Times New Roman" w:hAnsi="Times New Roman" w:cs="Times New Roman"/>
          <w:sz w:val="24"/>
          <w:szCs w:val="24"/>
        </w:rPr>
        <w:t>analyzed</w:t>
      </w:r>
      <w:proofErr w:type="spellEnd"/>
      <w:r w:rsidRPr="0057795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577957">
        <w:rPr>
          <w:rFonts w:ascii="Times New Roman" w:eastAsia="Times New Roman" w:hAnsi="Times New Roman" w:cs="Times New Roman"/>
          <w:sz w:val="24"/>
          <w:szCs w:val="24"/>
        </w:rPr>
        <w:t>jointly to determine whether combinations of factors are associated with different cardiovascular outcomes.</w:t>
      </w:r>
    </w:p>
    <w:p w14:paraId="58064748" w14:textId="77777777" w:rsidR="00577957" w:rsidRPr="00577957" w:rsidRDefault="00000000" w:rsidP="0057795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9859D9">
          <v:rect id="_x0000_i1031" style="width:0;height:1.5pt" o:hralign="center" o:hrstd="t" o:hr="t" fillcolor="#a0a0a0" stroked="f"/>
        </w:pict>
      </w:r>
    </w:p>
    <w:p w14:paraId="03E98B2C" w14:textId="77777777" w:rsidR="00577957" w:rsidRPr="00577957" w:rsidRDefault="00577957" w:rsidP="00577957">
      <w:pPr>
        <w:spacing w:before="280" w:after="280" w:line="240" w:lineRule="auto"/>
        <w:rPr>
          <w:rFonts w:ascii="Times New Roman" w:eastAsia="Times New Roman" w:hAnsi="Times New Roman" w:cs="Times New Roman"/>
          <w:b/>
          <w:bCs/>
          <w:sz w:val="24"/>
          <w:szCs w:val="24"/>
          <w:u w:val="single"/>
        </w:rPr>
      </w:pPr>
      <w:r w:rsidRPr="00577957">
        <w:rPr>
          <w:rFonts w:ascii="Times New Roman" w:eastAsia="Times New Roman" w:hAnsi="Times New Roman" w:cs="Times New Roman"/>
          <w:b/>
          <w:bCs/>
          <w:sz w:val="24"/>
          <w:szCs w:val="24"/>
          <w:u w:val="single"/>
        </w:rPr>
        <w:t>8. Recommended Analytical Extensions</w:t>
      </w:r>
    </w:p>
    <w:p w14:paraId="318CCDAF" w14:textId="77777777" w:rsidR="00577957" w:rsidRPr="00577957" w:rsidRDefault="00577957" w:rsidP="00577957">
      <w:p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For a more comprehensive cardiovascular-risk assessment, the dashboard could be enhanced with:</w:t>
      </w:r>
    </w:p>
    <w:p w14:paraId="01BB7CFB"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Chest-pain percentage by smoking status</w:t>
      </w:r>
    </w:p>
    <w:p w14:paraId="10B66AD3"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Exercise-induced angina by smoking status</w:t>
      </w:r>
    </w:p>
    <w:p w14:paraId="412CD8A0"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Cholesterol distribution by age group</w:t>
      </w:r>
    </w:p>
    <w:p w14:paraId="707F56E7"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BMI distribution by age and sex</w:t>
      </w:r>
    </w:p>
    <w:p w14:paraId="6035C185"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Resting heart rate vs. cholesterol</w:t>
      </w:r>
    </w:p>
    <w:p w14:paraId="094DF0D9"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Stress level vs. BMI</w:t>
      </w:r>
    </w:p>
    <w:p w14:paraId="0E1D6D08"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Diet quality vs. cholesterol</w:t>
      </w:r>
    </w:p>
    <w:p w14:paraId="19EC883A"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b/>
          <w:bCs/>
          <w:sz w:val="24"/>
          <w:szCs w:val="24"/>
        </w:rPr>
        <w:t>Multivariable analysis</w:t>
      </w:r>
      <w:r w:rsidRPr="00577957">
        <w:rPr>
          <w:rFonts w:ascii="Times New Roman" w:eastAsia="Times New Roman" w:hAnsi="Times New Roman" w:cs="Times New Roman"/>
          <w:sz w:val="24"/>
          <w:szCs w:val="24"/>
        </w:rPr>
        <w:t xml:space="preserve"> to determine which factors remain associated after accounting for other variables</w:t>
      </w:r>
    </w:p>
    <w:p w14:paraId="2232D504" w14:textId="77777777" w:rsidR="00577957" w:rsidRPr="00577957" w:rsidRDefault="00577957" w:rsidP="00577957">
      <w:pPr>
        <w:numPr>
          <w:ilvl w:val="1"/>
          <w:numId w:val="7"/>
        </w:numPr>
        <w:spacing w:before="280" w:after="280" w:line="240" w:lineRule="auto"/>
        <w:rPr>
          <w:rFonts w:ascii="Times New Roman" w:eastAsia="Times New Roman" w:hAnsi="Times New Roman" w:cs="Times New Roman"/>
          <w:sz w:val="24"/>
          <w:szCs w:val="24"/>
        </w:rPr>
      </w:pPr>
      <w:r w:rsidRPr="00577957">
        <w:rPr>
          <w:rFonts w:ascii="Times New Roman" w:eastAsia="Times New Roman" w:hAnsi="Times New Roman" w:cs="Times New Roman"/>
          <w:sz w:val="24"/>
          <w:szCs w:val="24"/>
        </w:rPr>
        <w:t>Confidence intervals and statistical significance where appropriate</w:t>
      </w:r>
    </w:p>
    <w:p w14:paraId="1322B9EC" w14:textId="77777777" w:rsidR="00577957" w:rsidRPr="00577957" w:rsidRDefault="00000000" w:rsidP="00577957">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BBE426">
          <v:rect id="_x0000_i1032" style="width:0;height:1.5pt" o:hralign="center" o:hrstd="t" o:hr="t" fillcolor="#a0a0a0" stroked="f"/>
        </w:pict>
      </w:r>
    </w:p>
    <w:p w14:paraId="12B21718" w14:textId="1B148FA7" w:rsidR="0082360B" w:rsidRPr="00577957" w:rsidRDefault="0082360B" w:rsidP="0082360B">
      <w:pPr>
        <w:jc w:val="center"/>
        <w:rPr>
          <w:rFonts w:ascii="Cambria" w:eastAsia="Cambria" w:hAnsi="Cambria" w:cs="Cambria"/>
          <w:b/>
          <w:bCs/>
          <w:color w:val="000000"/>
          <w:sz w:val="32"/>
          <w:szCs w:val="32"/>
          <w:u w:val="single"/>
        </w:rPr>
      </w:pPr>
      <w:r w:rsidRPr="00577957">
        <w:rPr>
          <w:rFonts w:ascii="Cambria" w:eastAsia="Cambria" w:hAnsi="Cambria" w:cs="Cambria"/>
          <w:b/>
          <w:bCs/>
          <w:noProof/>
          <w:sz w:val="32"/>
          <w:szCs w:val="32"/>
          <w:u w:val="single"/>
        </w:rPr>
        <w:drawing>
          <wp:anchor distT="0" distB="0" distL="0" distR="0" simplePos="0" relativeHeight="251662336" behindDoc="1" locked="0" layoutInCell="1" hidden="0" allowOverlap="1" wp14:anchorId="552CBEDF" wp14:editId="30A351F8">
            <wp:simplePos x="0" y="0"/>
            <wp:positionH relativeFrom="page">
              <wp:posOffset>6387183</wp:posOffset>
            </wp:positionH>
            <wp:positionV relativeFrom="page">
              <wp:posOffset>66675</wp:posOffset>
            </wp:positionV>
            <wp:extent cx="990600" cy="4953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sidRPr="00577957">
        <w:rPr>
          <w:rFonts w:ascii="Cambria" w:eastAsia="Cambria" w:hAnsi="Cambria" w:cs="Cambria"/>
          <w:b/>
          <w:bCs/>
          <w:color w:val="000000"/>
          <w:sz w:val="32"/>
          <w:szCs w:val="32"/>
          <w:u w:val="single"/>
        </w:rPr>
        <w:t>Report</w:t>
      </w:r>
      <w:r>
        <w:rPr>
          <w:rFonts w:ascii="Cambria" w:eastAsia="Cambria" w:hAnsi="Cambria" w:cs="Cambria"/>
          <w:b/>
          <w:bCs/>
          <w:color w:val="000000"/>
          <w:sz w:val="32"/>
          <w:szCs w:val="32"/>
          <w:u w:val="single"/>
        </w:rPr>
        <w:t>2</w:t>
      </w:r>
    </w:p>
    <w:p w14:paraId="742AB874" w14:textId="030B23C1" w:rsidR="00B21965" w:rsidRDefault="0082360B">
      <w:pPr>
        <w:spacing w:before="280" w:after="280" w:line="240" w:lineRule="auto"/>
        <w:rPr>
          <w:rFonts w:ascii="Times New Roman" w:eastAsia="Times New Roman" w:hAnsi="Times New Roman" w:cs="Times New Roman"/>
          <w:sz w:val="24"/>
          <w:szCs w:val="24"/>
        </w:rPr>
      </w:pPr>
      <w:r>
        <w:rPr>
          <w:noProof/>
        </w:rPr>
        <w:lastRenderedPageBreak/>
        <w:drawing>
          <wp:inline distT="0" distB="0" distL="0" distR="0" wp14:anchorId="679F2D16" wp14:editId="6B58122D">
            <wp:extent cx="5731510" cy="32746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74695"/>
                    </a:xfrm>
                    <a:prstGeom prst="rect">
                      <a:avLst/>
                    </a:prstGeom>
                    <a:noFill/>
                    <a:ln>
                      <a:noFill/>
                    </a:ln>
                  </pic:spPr>
                </pic:pic>
              </a:graphicData>
            </a:graphic>
          </wp:inline>
        </w:drawing>
      </w:r>
    </w:p>
    <w:p w14:paraId="25F33540" w14:textId="77777777" w:rsidR="00B21965" w:rsidRDefault="00B21965">
      <w:pPr>
        <w:pBdr>
          <w:top w:val="nil"/>
          <w:left w:val="nil"/>
          <w:bottom w:val="nil"/>
          <w:right w:val="nil"/>
          <w:between w:val="nil"/>
        </w:pBdr>
        <w:spacing w:after="200" w:line="240" w:lineRule="auto"/>
        <w:ind w:left="720"/>
        <w:rPr>
          <w:rFonts w:ascii="Arial" w:eastAsia="Arial" w:hAnsi="Arial" w:cs="Arial"/>
          <w:color w:val="000000"/>
          <w:sz w:val="20"/>
          <w:szCs w:val="20"/>
        </w:rPr>
      </w:pPr>
    </w:p>
    <w:p w14:paraId="3931EDA3"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u w:val="single"/>
        </w:rPr>
      </w:pPr>
      <w:r w:rsidRPr="0039469C">
        <w:rPr>
          <w:rFonts w:ascii="Arial" w:eastAsia="Arial" w:hAnsi="Arial" w:cs="Arial"/>
          <w:b/>
          <w:bCs/>
          <w:color w:val="000000"/>
          <w:sz w:val="20"/>
          <w:szCs w:val="20"/>
          <w:u w:val="single"/>
        </w:rPr>
        <w:t>Patient Wellness &amp; Heart Health Analytics Report</w:t>
      </w:r>
    </w:p>
    <w:p w14:paraId="4B76502B"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u w:val="single"/>
        </w:rPr>
      </w:pPr>
      <w:r w:rsidRPr="0039469C">
        <w:rPr>
          <w:rFonts w:ascii="Arial" w:eastAsia="Arial" w:hAnsi="Arial" w:cs="Arial"/>
          <w:b/>
          <w:bCs/>
          <w:color w:val="000000"/>
          <w:sz w:val="20"/>
          <w:szCs w:val="20"/>
          <w:u w:val="single"/>
        </w:rPr>
        <w:t>1. Executive Summary</w:t>
      </w:r>
    </w:p>
    <w:p w14:paraId="14EE662E"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 xml:space="preserve">The </w:t>
      </w:r>
      <w:r w:rsidRPr="0039469C">
        <w:rPr>
          <w:rFonts w:ascii="Arial" w:eastAsia="Arial" w:hAnsi="Arial" w:cs="Arial"/>
          <w:b/>
          <w:bCs/>
          <w:color w:val="000000"/>
          <w:sz w:val="20"/>
          <w:szCs w:val="20"/>
        </w:rPr>
        <w:t>Patient Wellness &amp; Heart Health Analytics</w:t>
      </w:r>
      <w:r w:rsidRPr="0039469C">
        <w:rPr>
          <w:rFonts w:ascii="Arial" w:eastAsia="Arial" w:hAnsi="Arial" w:cs="Arial"/>
          <w:color w:val="000000"/>
          <w:sz w:val="20"/>
          <w:szCs w:val="20"/>
        </w:rPr>
        <w:t xml:space="preserve"> dashboard provides an overview of cardiovascular health indicators, lifestyle </w:t>
      </w:r>
      <w:proofErr w:type="spellStart"/>
      <w:r w:rsidRPr="0039469C">
        <w:rPr>
          <w:rFonts w:ascii="Arial" w:eastAsia="Arial" w:hAnsi="Arial" w:cs="Arial"/>
          <w:color w:val="000000"/>
          <w:sz w:val="20"/>
          <w:szCs w:val="20"/>
        </w:rPr>
        <w:t>behaviors</w:t>
      </w:r>
      <w:proofErr w:type="spellEnd"/>
      <w:r w:rsidRPr="0039469C">
        <w:rPr>
          <w:rFonts w:ascii="Arial" w:eastAsia="Arial" w:hAnsi="Arial" w:cs="Arial"/>
          <w:color w:val="000000"/>
          <w:sz w:val="20"/>
          <w:szCs w:val="20"/>
        </w:rPr>
        <w:t>, smoking status, family history, chest-pain patterns, wearable adoption, and demographic health measures.</w:t>
      </w:r>
    </w:p>
    <w:p w14:paraId="18D29D0C"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 xml:space="preserve">Overall, the dashboard indicates that patients have an average </w:t>
      </w:r>
      <w:r w:rsidRPr="0039469C">
        <w:rPr>
          <w:rFonts w:ascii="Arial" w:eastAsia="Arial" w:hAnsi="Arial" w:cs="Arial"/>
          <w:b/>
          <w:bCs/>
          <w:color w:val="000000"/>
          <w:sz w:val="20"/>
          <w:szCs w:val="20"/>
        </w:rPr>
        <w:t>systolic blood pressure of 127.85 mmHg</w:t>
      </w:r>
      <w:r w:rsidRPr="0039469C">
        <w:rPr>
          <w:rFonts w:ascii="Arial" w:eastAsia="Arial" w:hAnsi="Arial" w:cs="Arial"/>
          <w:color w:val="000000"/>
          <w:sz w:val="20"/>
          <w:szCs w:val="20"/>
        </w:rPr>
        <w:t xml:space="preserve">, </w:t>
      </w:r>
      <w:r w:rsidRPr="0039469C">
        <w:rPr>
          <w:rFonts w:ascii="Arial" w:eastAsia="Arial" w:hAnsi="Arial" w:cs="Arial"/>
          <w:b/>
          <w:bCs/>
          <w:color w:val="000000"/>
          <w:sz w:val="20"/>
          <w:szCs w:val="20"/>
        </w:rPr>
        <w:t>diastolic blood pressure of 80.79 mmHg</w:t>
      </w:r>
      <w:r w:rsidRPr="0039469C">
        <w:rPr>
          <w:rFonts w:ascii="Arial" w:eastAsia="Arial" w:hAnsi="Arial" w:cs="Arial"/>
          <w:color w:val="000000"/>
          <w:sz w:val="20"/>
          <w:szCs w:val="20"/>
        </w:rPr>
        <w:t xml:space="preserve">, and </w:t>
      </w:r>
      <w:r w:rsidRPr="0039469C">
        <w:rPr>
          <w:rFonts w:ascii="Arial" w:eastAsia="Arial" w:hAnsi="Arial" w:cs="Arial"/>
          <w:b/>
          <w:bCs/>
          <w:color w:val="000000"/>
          <w:sz w:val="20"/>
          <w:szCs w:val="20"/>
        </w:rPr>
        <w:t>fasting blood glucose of 119.47</w:t>
      </w:r>
      <w:r w:rsidRPr="0039469C">
        <w:rPr>
          <w:rFonts w:ascii="Arial" w:eastAsia="Arial" w:hAnsi="Arial" w:cs="Arial"/>
          <w:color w:val="000000"/>
          <w:sz w:val="20"/>
          <w:szCs w:val="20"/>
        </w:rPr>
        <w:t xml:space="preserve">. Patients report approximately </w:t>
      </w:r>
      <w:r w:rsidRPr="0039469C">
        <w:rPr>
          <w:rFonts w:ascii="Arial" w:eastAsia="Arial" w:hAnsi="Arial" w:cs="Arial"/>
          <w:b/>
          <w:bCs/>
          <w:color w:val="000000"/>
          <w:sz w:val="20"/>
          <w:szCs w:val="20"/>
        </w:rPr>
        <w:t>139.49 minutes of exercise per week</w:t>
      </w:r>
      <w:r w:rsidRPr="0039469C">
        <w:rPr>
          <w:rFonts w:ascii="Arial" w:eastAsia="Arial" w:hAnsi="Arial" w:cs="Arial"/>
          <w:color w:val="000000"/>
          <w:sz w:val="20"/>
          <w:szCs w:val="20"/>
        </w:rPr>
        <w:t>, providing a useful view of physical activity within the population.</w:t>
      </w:r>
    </w:p>
    <w:p w14:paraId="62DFA0E3"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 xml:space="preserve">Smoking status is concentrated among </w:t>
      </w:r>
      <w:r w:rsidRPr="0039469C">
        <w:rPr>
          <w:rFonts w:ascii="Arial" w:eastAsia="Arial" w:hAnsi="Arial" w:cs="Arial"/>
          <w:b/>
          <w:bCs/>
          <w:color w:val="000000"/>
          <w:sz w:val="20"/>
          <w:szCs w:val="20"/>
        </w:rPr>
        <w:t>never smokers</w:t>
      </w:r>
      <w:r w:rsidRPr="0039469C">
        <w:rPr>
          <w:rFonts w:ascii="Arial" w:eastAsia="Arial" w:hAnsi="Arial" w:cs="Arial"/>
          <w:color w:val="000000"/>
          <w:sz w:val="20"/>
          <w:szCs w:val="20"/>
        </w:rPr>
        <w:t xml:space="preserve">, while patients without a family history constitute the larger family-history group. Chest-pain analysis shows that </w:t>
      </w:r>
      <w:r w:rsidRPr="0039469C">
        <w:rPr>
          <w:rFonts w:ascii="Arial" w:eastAsia="Arial" w:hAnsi="Arial" w:cs="Arial"/>
          <w:b/>
          <w:bCs/>
          <w:color w:val="000000"/>
          <w:sz w:val="20"/>
          <w:szCs w:val="20"/>
        </w:rPr>
        <w:t>asymptomatic presentations are the most common across smoking groups</w:t>
      </w:r>
      <w:r w:rsidRPr="0039469C">
        <w:rPr>
          <w:rFonts w:ascii="Arial" w:eastAsia="Arial" w:hAnsi="Arial" w:cs="Arial"/>
          <w:color w:val="000000"/>
          <w:sz w:val="20"/>
          <w:szCs w:val="20"/>
        </w:rPr>
        <w:t>. The gender comparison also demonstrates differences across cholesterol, resting blood pressure, and stress-related measures.</w:t>
      </w:r>
    </w:p>
    <w:p w14:paraId="382C01E7" w14:textId="77777777" w:rsidR="0039469C" w:rsidRPr="0039469C" w:rsidRDefault="00000000" w:rsidP="0039469C">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pict w14:anchorId="6521E08C">
          <v:rect id="_x0000_i1033" style="width:0;height:1.5pt" o:hralign="center" o:hrstd="t" o:hr="t" fillcolor="#a0a0a0" stroked="f"/>
        </w:pict>
      </w:r>
    </w:p>
    <w:p w14:paraId="0B51C1CE"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u w:val="single"/>
        </w:rPr>
      </w:pPr>
      <w:r w:rsidRPr="0039469C">
        <w:rPr>
          <w:rFonts w:ascii="Arial" w:eastAsia="Arial" w:hAnsi="Arial" w:cs="Arial"/>
          <w:b/>
          <w:bCs/>
          <w:color w:val="000000"/>
          <w:sz w:val="20"/>
          <w:szCs w:val="20"/>
          <w:u w:val="single"/>
        </w:rPr>
        <w:t>2. Key Health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2199"/>
      </w:tblGrid>
      <w:tr w:rsidR="0039469C" w:rsidRPr="0039469C" w14:paraId="2E78B017" w14:textId="77777777" w:rsidTr="0039469C">
        <w:trPr>
          <w:tblHeader/>
          <w:tblCellSpacing w:w="15" w:type="dxa"/>
        </w:trPr>
        <w:tc>
          <w:tcPr>
            <w:tcW w:w="0" w:type="auto"/>
            <w:vAlign w:val="center"/>
            <w:hideMark/>
          </w:tcPr>
          <w:p w14:paraId="5A84A8DE"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rPr>
            </w:pPr>
            <w:r w:rsidRPr="0039469C">
              <w:rPr>
                <w:rFonts w:ascii="Arial" w:eastAsia="Arial" w:hAnsi="Arial" w:cs="Arial"/>
                <w:b/>
                <w:bCs/>
                <w:color w:val="000000"/>
                <w:sz w:val="20"/>
                <w:szCs w:val="20"/>
              </w:rPr>
              <w:t>Indicator</w:t>
            </w:r>
          </w:p>
        </w:tc>
        <w:tc>
          <w:tcPr>
            <w:tcW w:w="0" w:type="auto"/>
            <w:vAlign w:val="center"/>
            <w:hideMark/>
          </w:tcPr>
          <w:p w14:paraId="2E4F2CDC"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rPr>
            </w:pPr>
            <w:r w:rsidRPr="0039469C">
              <w:rPr>
                <w:rFonts w:ascii="Arial" w:eastAsia="Arial" w:hAnsi="Arial" w:cs="Arial"/>
                <w:b/>
                <w:bCs/>
                <w:color w:val="000000"/>
                <w:sz w:val="20"/>
                <w:szCs w:val="20"/>
              </w:rPr>
              <w:t>Average / Observation</w:t>
            </w:r>
          </w:p>
        </w:tc>
      </w:tr>
      <w:tr w:rsidR="0039469C" w:rsidRPr="0039469C" w14:paraId="40F6881D" w14:textId="77777777" w:rsidTr="0039469C">
        <w:trPr>
          <w:tblCellSpacing w:w="15" w:type="dxa"/>
        </w:trPr>
        <w:tc>
          <w:tcPr>
            <w:tcW w:w="0" w:type="auto"/>
            <w:vAlign w:val="center"/>
            <w:hideMark/>
          </w:tcPr>
          <w:p w14:paraId="670836B9"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Systolic Blood Pressure</w:t>
            </w:r>
          </w:p>
        </w:tc>
        <w:tc>
          <w:tcPr>
            <w:tcW w:w="0" w:type="auto"/>
            <w:vAlign w:val="center"/>
            <w:hideMark/>
          </w:tcPr>
          <w:p w14:paraId="41284547"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127.85 mmHg</w:t>
            </w:r>
          </w:p>
        </w:tc>
      </w:tr>
      <w:tr w:rsidR="0039469C" w:rsidRPr="0039469C" w14:paraId="43035320" w14:textId="77777777" w:rsidTr="0039469C">
        <w:trPr>
          <w:tblCellSpacing w:w="15" w:type="dxa"/>
        </w:trPr>
        <w:tc>
          <w:tcPr>
            <w:tcW w:w="0" w:type="auto"/>
            <w:vAlign w:val="center"/>
            <w:hideMark/>
          </w:tcPr>
          <w:p w14:paraId="4CD099C6"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Diastolic Blood Pressure</w:t>
            </w:r>
          </w:p>
        </w:tc>
        <w:tc>
          <w:tcPr>
            <w:tcW w:w="0" w:type="auto"/>
            <w:vAlign w:val="center"/>
            <w:hideMark/>
          </w:tcPr>
          <w:p w14:paraId="79A82794"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80.79 mmHg</w:t>
            </w:r>
          </w:p>
        </w:tc>
      </w:tr>
      <w:tr w:rsidR="0039469C" w:rsidRPr="0039469C" w14:paraId="242DB285" w14:textId="77777777" w:rsidTr="0039469C">
        <w:trPr>
          <w:tblCellSpacing w:w="15" w:type="dxa"/>
        </w:trPr>
        <w:tc>
          <w:tcPr>
            <w:tcW w:w="0" w:type="auto"/>
            <w:vAlign w:val="center"/>
            <w:hideMark/>
          </w:tcPr>
          <w:p w14:paraId="7198BDED"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Fasting Blood Glucose</w:t>
            </w:r>
          </w:p>
        </w:tc>
        <w:tc>
          <w:tcPr>
            <w:tcW w:w="0" w:type="auto"/>
            <w:vAlign w:val="center"/>
            <w:hideMark/>
          </w:tcPr>
          <w:p w14:paraId="0BBB1BFF"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119.47</w:t>
            </w:r>
          </w:p>
        </w:tc>
      </w:tr>
      <w:tr w:rsidR="0039469C" w:rsidRPr="0039469C" w14:paraId="105BEF54" w14:textId="77777777" w:rsidTr="0039469C">
        <w:trPr>
          <w:tblCellSpacing w:w="15" w:type="dxa"/>
        </w:trPr>
        <w:tc>
          <w:tcPr>
            <w:tcW w:w="0" w:type="auto"/>
            <w:vAlign w:val="center"/>
            <w:hideMark/>
          </w:tcPr>
          <w:p w14:paraId="08266A97"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Weekly Exercise</w:t>
            </w:r>
          </w:p>
        </w:tc>
        <w:tc>
          <w:tcPr>
            <w:tcW w:w="0" w:type="auto"/>
            <w:vAlign w:val="center"/>
            <w:hideMark/>
          </w:tcPr>
          <w:p w14:paraId="44D3E744"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139.49 minutes</w:t>
            </w:r>
          </w:p>
        </w:tc>
      </w:tr>
    </w:tbl>
    <w:p w14:paraId="31F911E7"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 xml:space="preserve">These measures provide a high-level baseline of cardiovascular and metabolic characteristics in the displayed patient population. They should be interpreted as </w:t>
      </w:r>
      <w:r w:rsidRPr="0039469C">
        <w:rPr>
          <w:rFonts w:ascii="Arial" w:eastAsia="Arial" w:hAnsi="Arial" w:cs="Arial"/>
          <w:b/>
          <w:bCs/>
          <w:color w:val="000000"/>
          <w:sz w:val="20"/>
          <w:szCs w:val="20"/>
        </w:rPr>
        <w:t>population averages rather than individual clinical assessments</w:t>
      </w:r>
      <w:r w:rsidRPr="0039469C">
        <w:rPr>
          <w:rFonts w:ascii="Arial" w:eastAsia="Arial" w:hAnsi="Arial" w:cs="Arial"/>
          <w:color w:val="000000"/>
          <w:sz w:val="20"/>
          <w:szCs w:val="20"/>
        </w:rPr>
        <w:t>.</w:t>
      </w:r>
    </w:p>
    <w:p w14:paraId="3B30A116" w14:textId="77777777" w:rsidR="0039469C" w:rsidRPr="0039469C" w:rsidRDefault="00000000" w:rsidP="0039469C">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lastRenderedPageBreak/>
        <w:pict w14:anchorId="5FB03C6A">
          <v:rect id="_x0000_i1034" style="width:0;height:1.5pt" o:hralign="center" o:hrstd="t" o:hr="t" fillcolor="#a0a0a0" stroked="f"/>
        </w:pict>
      </w:r>
    </w:p>
    <w:p w14:paraId="53A09E7C"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u w:val="single"/>
        </w:rPr>
      </w:pPr>
      <w:r w:rsidRPr="0039469C">
        <w:rPr>
          <w:rFonts w:ascii="Arial" w:eastAsia="Arial" w:hAnsi="Arial" w:cs="Arial"/>
          <w:b/>
          <w:bCs/>
          <w:color w:val="000000"/>
          <w:sz w:val="20"/>
          <w:szCs w:val="20"/>
          <w:u w:val="single"/>
        </w:rPr>
        <w:t>3. Family History &amp; Smoking Profile</w:t>
      </w:r>
    </w:p>
    <w:p w14:paraId="53ECDE8D"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rPr>
      </w:pPr>
      <w:r w:rsidRPr="0039469C">
        <w:rPr>
          <w:rFonts w:ascii="Arial" w:eastAsia="Arial" w:hAnsi="Arial" w:cs="Arial"/>
          <w:b/>
          <w:bCs/>
          <w:color w:val="000000"/>
          <w:sz w:val="20"/>
          <w:szCs w:val="20"/>
        </w:rPr>
        <w:t>Family History</w:t>
      </w:r>
    </w:p>
    <w:p w14:paraId="4122A974"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The dashboard shows approximately:</w:t>
      </w:r>
    </w:p>
    <w:p w14:paraId="69CBA5FF" w14:textId="77777777" w:rsidR="0039469C" w:rsidRPr="0039469C" w:rsidRDefault="0039469C" w:rsidP="0039469C">
      <w:pPr>
        <w:numPr>
          <w:ilvl w:val="0"/>
          <w:numId w:val="9"/>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6.5K patients</w:t>
      </w:r>
      <w:r w:rsidRPr="0039469C">
        <w:rPr>
          <w:rFonts w:ascii="Arial" w:eastAsia="Arial" w:hAnsi="Arial" w:cs="Arial"/>
          <w:color w:val="000000"/>
          <w:sz w:val="20"/>
          <w:szCs w:val="20"/>
        </w:rPr>
        <w:t xml:space="preserve"> without a family history</w:t>
      </w:r>
    </w:p>
    <w:p w14:paraId="44AC2631" w14:textId="77777777" w:rsidR="0039469C" w:rsidRPr="0039469C" w:rsidRDefault="0039469C" w:rsidP="0039469C">
      <w:pPr>
        <w:numPr>
          <w:ilvl w:val="0"/>
          <w:numId w:val="9"/>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2.5K patients</w:t>
      </w:r>
      <w:r w:rsidRPr="0039469C">
        <w:rPr>
          <w:rFonts w:ascii="Arial" w:eastAsia="Arial" w:hAnsi="Arial" w:cs="Arial"/>
          <w:color w:val="000000"/>
          <w:sz w:val="20"/>
          <w:szCs w:val="20"/>
        </w:rPr>
        <w:t xml:space="preserve"> with a family history</w:t>
      </w:r>
    </w:p>
    <w:p w14:paraId="1B41F7A0"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Thus, the displayed population is substantially larger in the group without a reported family history.</w:t>
      </w:r>
    </w:p>
    <w:p w14:paraId="4CC57616"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rPr>
      </w:pPr>
      <w:r w:rsidRPr="0039469C">
        <w:rPr>
          <w:rFonts w:ascii="Arial" w:eastAsia="Arial" w:hAnsi="Arial" w:cs="Arial"/>
          <w:b/>
          <w:bCs/>
          <w:color w:val="000000"/>
          <w:sz w:val="20"/>
          <w:szCs w:val="20"/>
        </w:rPr>
        <w:t>Smoking Status</w:t>
      </w:r>
    </w:p>
    <w:p w14:paraId="4E501657"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The smoking distribution is approximately:</w:t>
      </w:r>
    </w:p>
    <w:p w14:paraId="7175D41B" w14:textId="77777777" w:rsidR="0039469C" w:rsidRPr="0039469C" w:rsidRDefault="0039469C" w:rsidP="0039469C">
      <w:pPr>
        <w:numPr>
          <w:ilvl w:val="0"/>
          <w:numId w:val="10"/>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Never smokers:</w:t>
      </w:r>
      <w:r w:rsidRPr="0039469C">
        <w:rPr>
          <w:rFonts w:ascii="Arial" w:eastAsia="Arial" w:hAnsi="Arial" w:cs="Arial"/>
          <w:color w:val="000000"/>
          <w:sz w:val="20"/>
          <w:szCs w:val="20"/>
        </w:rPr>
        <w:t xml:space="preserve"> 4.98K</w:t>
      </w:r>
    </w:p>
    <w:p w14:paraId="5056FB1B" w14:textId="77777777" w:rsidR="0039469C" w:rsidRPr="0039469C" w:rsidRDefault="0039469C" w:rsidP="0039469C">
      <w:pPr>
        <w:numPr>
          <w:ilvl w:val="0"/>
          <w:numId w:val="10"/>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Former smokers:</w:t>
      </w:r>
      <w:r w:rsidRPr="0039469C">
        <w:rPr>
          <w:rFonts w:ascii="Arial" w:eastAsia="Arial" w:hAnsi="Arial" w:cs="Arial"/>
          <w:color w:val="000000"/>
          <w:sz w:val="20"/>
          <w:szCs w:val="20"/>
        </w:rPr>
        <w:t xml:space="preserve"> 2.45K</w:t>
      </w:r>
    </w:p>
    <w:p w14:paraId="33EC18D8" w14:textId="77777777" w:rsidR="0039469C" w:rsidRPr="0039469C" w:rsidRDefault="0039469C" w:rsidP="0039469C">
      <w:pPr>
        <w:numPr>
          <w:ilvl w:val="0"/>
          <w:numId w:val="10"/>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Current smokers:</w:t>
      </w:r>
      <w:r w:rsidRPr="0039469C">
        <w:rPr>
          <w:rFonts w:ascii="Arial" w:eastAsia="Arial" w:hAnsi="Arial" w:cs="Arial"/>
          <w:color w:val="000000"/>
          <w:sz w:val="20"/>
          <w:szCs w:val="20"/>
        </w:rPr>
        <w:t xml:space="preserve"> 1.57K</w:t>
      </w:r>
    </w:p>
    <w:p w14:paraId="0381EEBD"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Never smokers therefore constitute the largest smoking-status group in the displayed dataset, followed by former and current smokers.</w:t>
      </w:r>
    </w:p>
    <w:p w14:paraId="2AB07B17" w14:textId="77777777" w:rsidR="0039469C" w:rsidRPr="0039469C" w:rsidRDefault="00000000" w:rsidP="0039469C">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pict w14:anchorId="070A9B62">
          <v:rect id="_x0000_i1035" style="width:0;height:1.5pt" o:hralign="center" o:hrstd="t" o:hr="t" fillcolor="#a0a0a0" stroked="f"/>
        </w:pict>
      </w:r>
    </w:p>
    <w:p w14:paraId="4F6EDE32"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u w:val="single"/>
        </w:rPr>
      </w:pPr>
      <w:r w:rsidRPr="0039469C">
        <w:rPr>
          <w:rFonts w:ascii="Arial" w:eastAsia="Arial" w:hAnsi="Arial" w:cs="Arial"/>
          <w:b/>
          <w:bCs/>
          <w:color w:val="000000"/>
          <w:sz w:val="20"/>
          <w:szCs w:val="20"/>
          <w:u w:val="single"/>
        </w:rPr>
        <w:t>4. Chest-Pain Analysis</w:t>
      </w:r>
    </w:p>
    <w:p w14:paraId="6B4F10E2"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Chest-pain patterns were examined across never, former, and current smokers.</w:t>
      </w:r>
    </w:p>
    <w:p w14:paraId="53479D72"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 xml:space="preserve">The major observation is that </w:t>
      </w:r>
      <w:r w:rsidRPr="0039469C">
        <w:rPr>
          <w:rFonts w:ascii="Arial" w:eastAsia="Arial" w:hAnsi="Arial" w:cs="Arial"/>
          <w:b/>
          <w:bCs/>
          <w:color w:val="000000"/>
          <w:sz w:val="20"/>
          <w:szCs w:val="20"/>
        </w:rPr>
        <w:t>asymptomatic cases are the most frequent chest-pain category across all three smoking groups</w:t>
      </w:r>
      <w:r w:rsidRPr="0039469C">
        <w:rPr>
          <w:rFonts w:ascii="Arial" w:eastAsia="Arial" w:hAnsi="Arial" w:cs="Arial"/>
          <w:color w:val="000000"/>
          <w:sz w:val="20"/>
          <w:szCs w:val="20"/>
        </w:rPr>
        <w:t>. Typical Angina appears as the smallest category across the groups.</w:t>
      </w:r>
    </w:p>
    <w:p w14:paraId="7D6FF541"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 xml:space="preserve">The larger number of chest-pain observations among never smokers should be interpreted alongside the fact that </w:t>
      </w:r>
      <w:r w:rsidRPr="0039469C">
        <w:rPr>
          <w:rFonts w:ascii="Arial" w:eastAsia="Arial" w:hAnsi="Arial" w:cs="Arial"/>
          <w:b/>
          <w:bCs/>
          <w:color w:val="000000"/>
          <w:sz w:val="20"/>
          <w:szCs w:val="20"/>
        </w:rPr>
        <w:t>never smokers are also the largest smoking-status population</w:t>
      </w:r>
      <w:r w:rsidRPr="0039469C">
        <w:rPr>
          <w:rFonts w:ascii="Arial" w:eastAsia="Arial" w:hAnsi="Arial" w:cs="Arial"/>
          <w:color w:val="000000"/>
          <w:sz w:val="20"/>
          <w:szCs w:val="20"/>
        </w:rPr>
        <w:t>. Raw counts therefore do not necessarily indicate that smoking status itself causes a particular chest-pain pattern.</w:t>
      </w:r>
    </w:p>
    <w:p w14:paraId="4B20AC75"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 xml:space="preserve">For meaningful comparison, </w:t>
      </w:r>
      <w:r w:rsidRPr="0039469C">
        <w:rPr>
          <w:rFonts w:ascii="Arial" w:eastAsia="Arial" w:hAnsi="Arial" w:cs="Arial"/>
          <w:b/>
          <w:bCs/>
          <w:color w:val="000000"/>
          <w:sz w:val="20"/>
          <w:szCs w:val="20"/>
        </w:rPr>
        <w:t>rates or percentages within each smoking group</w:t>
      </w:r>
      <w:r w:rsidRPr="0039469C">
        <w:rPr>
          <w:rFonts w:ascii="Arial" w:eastAsia="Arial" w:hAnsi="Arial" w:cs="Arial"/>
          <w:color w:val="000000"/>
          <w:sz w:val="20"/>
          <w:szCs w:val="20"/>
        </w:rPr>
        <w:t xml:space="preserve"> would be useful in addition to absolute patient counts.</w:t>
      </w:r>
    </w:p>
    <w:p w14:paraId="3F84E96F" w14:textId="77777777" w:rsidR="0039469C" w:rsidRPr="0039469C" w:rsidRDefault="00000000" w:rsidP="0039469C">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pict w14:anchorId="3CF7AF28">
          <v:rect id="_x0000_i1036" style="width:0;height:1.5pt" o:hralign="center" o:hrstd="t" o:hr="t" fillcolor="#a0a0a0" stroked="f"/>
        </w:pict>
      </w:r>
    </w:p>
    <w:p w14:paraId="68FC1480"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u w:val="single"/>
        </w:rPr>
      </w:pPr>
      <w:r w:rsidRPr="0039469C">
        <w:rPr>
          <w:rFonts w:ascii="Arial" w:eastAsia="Arial" w:hAnsi="Arial" w:cs="Arial"/>
          <w:b/>
          <w:bCs/>
          <w:color w:val="000000"/>
          <w:sz w:val="20"/>
          <w:szCs w:val="20"/>
          <w:u w:val="single"/>
        </w:rPr>
        <w:t>5. Wearable Technology Adoption</w:t>
      </w:r>
    </w:p>
    <w:p w14:paraId="29AB4FCA"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The dashboard reports approximately:</w:t>
      </w:r>
    </w:p>
    <w:p w14:paraId="2C20B154" w14:textId="77777777" w:rsidR="0039469C" w:rsidRPr="0039469C" w:rsidRDefault="0039469C" w:rsidP="0039469C">
      <w:pPr>
        <w:numPr>
          <w:ilvl w:val="0"/>
          <w:numId w:val="11"/>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55.55%</w:t>
      </w:r>
      <w:r w:rsidRPr="0039469C">
        <w:rPr>
          <w:rFonts w:ascii="Arial" w:eastAsia="Arial" w:hAnsi="Arial" w:cs="Arial"/>
          <w:color w:val="000000"/>
          <w:sz w:val="20"/>
          <w:szCs w:val="20"/>
        </w:rPr>
        <w:t xml:space="preserve"> associated with wearable ownership</w:t>
      </w:r>
    </w:p>
    <w:p w14:paraId="7D3FBF26" w14:textId="77777777" w:rsidR="0039469C" w:rsidRPr="0039469C" w:rsidRDefault="0039469C" w:rsidP="0039469C">
      <w:pPr>
        <w:numPr>
          <w:ilvl w:val="0"/>
          <w:numId w:val="11"/>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44.45%</w:t>
      </w:r>
      <w:r w:rsidRPr="0039469C">
        <w:rPr>
          <w:rFonts w:ascii="Arial" w:eastAsia="Arial" w:hAnsi="Arial" w:cs="Arial"/>
          <w:color w:val="000000"/>
          <w:sz w:val="20"/>
          <w:szCs w:val="20"/>
        </w:rPr>
        <w:t xml:space="preserve"> without wearable ownership</w:t>
      </w:r>
    </w:p>
    <w:p w14:paraId="11951AA1"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This suggests that wearable technology is represented among more than half of the displayed patient population/measure.</w:t>
      </w:r>
    </w:p>
    <w:p w14:paraId="202B55DA"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 xml:space="preserve">Wearable adoption could potentially support future analysis of relationships between physical activity, cardiovascular indicators, and patient wellness </w:t>
      </w:r>
      <w:proofErr w:type="spellStart"/>
      <w:r w:rsidRPr="0039469C">
        <w:rPr>
          <w:rFonts w:ascii="Arial" w:eastAsia="Arial" w:hAnsi="Arial" w:cs="Arial"/>
          <w:color w:val="000000"/>
          <w:sz w:val="20"/>
          <w:szCs w:val="20"/>
        </w:rPr>
        <w:t>behaviors</w:t>
      </w:r>
      <w:proofErr w:type="spellEnd"/>
      <w:r w:rsidRPr="0039469C">
        <w:rPr>
          <w:rFonts w:ascii="Arial" w:eastAsia="Arial" w:hAnsi="Arial" w:cs="Arial"/>
          <w:color w:val="000000"/>
          <w:sz w:val="20"/>
          <w:szCs w:val="20"/>
        </w:rPr>
        <w:t>. However, the dashboard alone does not establish that wearable ownership improves health outcomes.</w:t>
      </w:r>
    </w:p>
    <w:p w14:paraId="39894AFC" w14:textId="77777777" w:rsidR="0039469C" w:rsidRPr="0039469C" w:rsidRDefault="00000000" w:rsidP="0039469C">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pict w14:anchorId="05075FFC">
          <v:rect id="_x0000_i1037" style="width:0;height:1.5pt" o:hralign="center" o:hrstd="t" o:hr="t" fillcolor="#a0a0a0" stroked="f"/>
        </w:pict>
      </w:r>
    </w:p>
    <w:p w14:paraId="630E87A0"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u w:val="single"/>
        </w:rPr>
      </w:pPr>
      <w:r w:rsidRPr="0039469C">
        <w:rPr>
          <w:rFonts w:ascii="Arial" w:eastAsia="Arial" w:hAnsi="Arial" w:cs="Arial"/>
          <w:b/>
          <w:bCs/>
          <w:color w:val="000000"/>
          <w:sz w:val="20"/>
          <w:szCs w:val="20"/>
          <w:u w:val="single"/>
        </w:rPr>
        <w:lastRenderedPageBreak/>
        <w:t>6. Gender-Based Health Profile</w:t>
      </w:r>
    </w:p>
    <w:p w14:paraId="3F75FC69"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The comparative health profile shows differences between male and female patients across several measures, including:</w:t>
      </w:r>
    </w:p>
    <w:p w14:paraId="2C612894" w14:textId="77777777" w:rsidR="0039469C" w:rsidRPr="0039469C" w:rsidRDefault="0039469C" w:rsidP="0039469C">
      <w:pPr>
        <w:numPr>
          <w:ilvl w:val="0"/>
          <w:numId w:val="12"/>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Cholesterol</w:t>
      </w:r>
    </w:p>
    <w:p w14:paraId="265E86D7" w14:textId="77777777" w:rsidR="0039469C" w:rsidRPr="0039469C" w:rsidRDefault="0039469C" w:rsidP="0039469C">
      <w:pPr>
        <w:numPr>
          <w:ilvl w:val="0"/>
          <w:numId w:val="12"/>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Resting blood pressure</w:t>
      </w:r>
    </w:p>
    <w:p w14:paraId="1367AE1D" w14:textId="77777777" w:rsidR="0039469C" w:rsidRPr="0039469C" w:rsidRDefault="0039469C" w:rsidP="0039469C">
      <w:pPr>
        <w:numPr>
          <w:ilvl w:val="0"/>
          <w:numId w:val="12"/>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BMI</w:t>
      </w:r>
    </w:p>
    <w:p w14:paraId="0B8F575E" w14:textId="77777777" w:rsidR="0039469C" w:rsidRPr="0039469C" w:rsidRDefault="0039469C" w:rsidP="0039469C">
      <w:pPr>
        <w:numPr>
          <w:ilvl w:val="0"/>
          <w:numId w:val="12"/>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Stress-related measures</w:t>
      </w:r>
    </w:p>
    <w:p w14:paraId="151779E8" w14:textId="77777777" w:rsidR="0039469C" w:rsidRPr="0039469C" w:rsidRDefault="0039469C" w:rsidP="0039469C">
      <w:pPr>
        <w:numPr>
          <w:ilvl w:val="0"/>
          <w:numId w:val="12"/>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Other cardiovascular indicators</w:t>
      </w:r>
    </w:p>
    <w:p w14:paraId="40AC7B12"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The visualization indicates that these measures vary by sex in the displayed dataset. Further statistical analysis would be required to determine whether the observed differences are statistically significant and whether they remain after accounting for factors such as age, smoking status, exercise, and other patient characteristics.</w:t>
      </w:r>
    </w:p>
    <w:p w14:paraId="33FA2773" w14:textId="77777777" w:rsidR="0039469C" w:rsidRPr="0039469C" w:rsidRDefault="00000000" w:rsidP="0039469C">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pict w14:anchorId="06FA00D8">
          <v:rect id="_x0000_i1038" style="width:0;height:1.5pt" o:hralign="center" o:hrstd="t" o:hr="t" fillcolor="#a0a0a0" stroked="f"/>
        </w:pict>
      </w:r>
    </w:p>
    <w:p w14:paraId="1EC82C50"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u w:val="single"/>
        </w:rPr>
      </w:pPr>
      <w:r w:rsidRPr="0039469C">
        <w:rPr>
          <w:rFonts w:ascii="Arial" w:eastAsia="Arial" w:hAnsi="Arial" w:cs="Arial"/>
          <w:b/>
          <w:bCs/>
          <w:color w:val="000000"/>
          <w:sz w:val="20"/>
          <w:szCs w:val="20"/>
          <w:u w:val="single"/>
        </w:rPr>
        <w:t>7. Major Findings</w:t>
      </w:r>
    </w:p>
    <w:p w14:paraId="0058C21F"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rPr>
      </w:pPr>
      <w:r w:rsidRPr="0039469C">
        <w:rPr>
          <w:rFonts w:ascii="Arial" w:eastAsia="Arial" w:hAnsi="Arial" w:cs="Arial"/>
          <w:b/>
          <w:bCs/>
          <w:color w:val="000000"/>
          <w:sz w:val="20"/>
          <w:szCs w:val="20"/>
        </w:rPr>
        <w:t>Finding 1 — Cardiovascular indicators provide a useful population baseline</w:t>
      </w:r>
    </w:p>
    <w:p w14:paraId="681BD68F"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The average BP and glucose values establish a broad picture of cardiovascular and metabolic health in the dataset.</w:t>
      </w:r>
    </w:p>
    <w:p w14:paraId="0F0307BE"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rPr>
      </w:pPr>
      <w:r w:rsidRPr="0039469C">
        <w:rPr>
          <w:rFonts w:ascii="Arial" w:eastAsia="Arial" w:hAnsi="Arial" w:cs="Arial"/>
          <w:b/>
          <w:bCs/>
          <w:color w:val="000000"/>
          <w:sz w:val="20"/>
          <w:szCs w:val="20"/>
        </w:rPr>
        <w:t>Finding 2 — Physical activity is measurable across the population</w:t>
      </w:r>
    </w:p>
    <w:p w14:paraId="024CB315"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 xml:space="preserve">The average weekly exercise duration of </w:t>
      </w:r>
      <w:r w:rsidRPr="0039469C">
        <w:rPr>
          <w:rFonts w:ascii="Arial" w:eastAsia="Arial" w:hAnsi="Arial" w:cs="Arial"/>
          <w:b/>
          <w:bCs/>
          <w:color w:val="000000"/>
          <w:sz w:val="20"/>
          <w:szCs w:val="20"/>
        </w:rPr>
        <w:t>139.49 minutes</w:t>
      </w:r>
      <w:r w:rsidRPr="0039469C">
        <w:rPr>
          <w:rFonts w:ascii="Arial" w:eastAsia="Arial" w:hAnsi="Arial" w:cs="Arial"/>
          <w:color w:val="000000"/>
          <w:sz w:val="20"/>
          <w:szCs w:val="20"/>
        </w:rPr>
        <w:t xml:space="preserve"> indicates a meaningful level of reported physical activity.</w:t>
      </w:r>
    </w:p>
    <w:p w14:paraId="537EE2CD"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rPr>
      </w:pPr>
      <w:r w:rsidRPr="0039469C">
        <w:rPr>
          <w:rFonts w:ascii="Arial" w:eastAsia="Arial" w:hAnsi="Arial" w:cs="Arial"/>
          <w:b/>
          <w:bCs/>
          <w:color w:val="000000"/>
          <w:sz w:val="20"/>
          <w:szCs w:val="20"/>
        </w:rPr>
        <w:t>Finding 3 — Never smokers form the largest smoking-status group</w:t>
      </w:r>
    </w:p>
    <w:p w14:paraId="45CFB8D4"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 xml:space="preserve">Approximately </w:t>
      </w:r>
      <w:r w:rsidRPr="0039469C">
        <w:rPr>
          <w:rFonts w:ascii="Arial" w:eastAsia="Arial" w:hAnsi="Arial" w:cs="Arial"/>
          <w:b/>
          <w:bCs/>
          <w:color w:val="000000"/>
          <w:sz w:val="20"/>
          <w:szCs w:val="20"/>
        </w:rPr>
        <w:t>4.98K patients</w:t>
      </w:r>
      <w:r w:rsidRPr="0039469C">
        <w:rPr>
          <w:rFonts w:ascii="Arial" w:eastAsia="Arial" w:hAnsi="Arial" w:cs="Arial"/>
          <w:color w:val="000000"/>
          <w:sz w:val="20"/>
          <w:szCs w:val="20"/>
        </w:rPr>
        <w:t xml:space="preserve"> are classified as never smokers, compared with approximately 2.45K former smokers and 1.57K current smokers.</w:t>
      </w:r>
    </w:p>
    <w:p w14:paraId="4CF26C24"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rPr>
      </w:pPr>
      <w:r w:rsidRPr="0039469C">
        <w:rPr>
          <w:rFonts w:ascii="Arial" w:eastAsia="Arial" w:hAnsi="Arial" w:cs="Arial"/>
          <w:b/>
          <w:bCs/>
          <w:color w:val="000000"/>
          <w:sz w:val="20"/>
          <w:szCs w:val="20"/>
        </w:rPr>
        <w:t>Finding 4 — Family-history groups differ considerably in size</w:t>
      </w:r>
    </w:p>
    <w:p w14:paraId="0B2B73BA"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The population without a reported family history is considerably larger than the group with a family history.</w:t>
      </w:r>
    </w:p>
    <w:p w14:paraId="1D036776"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rPr>
      </w:pPr>
      <w:r w:rsidRPr="0039469C">
        <w:rPr>
          <w:rFonts w:ascii="Arial" w:eastAsia="Arial" w:hAnsi="Arial" w:cs="Arial"/>
          <w:b/>
          <w:bCs/>
          <w:color w:val="000000"/>
          <w:sz w:val="20"/>
          <w:szCs w:val="20"/>
        </w:rPr>
        <w:t>Finding 5 — Asymptomatic cases dominate chest-pain categories</w:t>
      </w:r>
    </w:p>
    <w:p w14:paraId="26A4D8E2"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Asymptomatic presentation is the most frequently observed chest-pain category across smoking groups.</w:t>
      </w:r>
    </w:p>
    <w:p w14:paraId="1D2126BA"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rPr>
      </w:pPr>
      <w:r w:rsidRPr="0039469C">
        <w:rPr>
          <w:rFonts w:ascii="Arial" w:eastAsia="Arial" w:hAnsi="Arial" w:cs="Arial"/>
          <w:b/>
          <w:bCs/>
          <w:color w:val="000000"/>
          <w:sz w:val="20"/>
          <w:szCs w:val="20"/>
        </w:rPr>
        <w:t>Finding 6 — Wearable adoption is substantial</w:t>
      </w:r>
    </w:p>
    <w:p w14:paraId="1BD77222"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 xml:space="preserve">Approximately </w:t>
      </w:r>
      <w:r w:rsidRPr="0039469C">
        <w:rPr>
          <w:rFonts w:ascii="Arial" w:eastAsia="Arial" w:hAnsi="Arial" w:cs="Arial"/>
          <w:b/>
          <w:bCs/>
          <w:color w:val="000000"/>
          <w:sz w:val="20"/>
          <w:szCs w:val="20"/>
        </w:rPr>
        <w:t>55.55%</w:t>
      </w:r>
      <w:r w:rsidRPr="0039469C">
        <w:rPr>
          <w:rFonts w:ascii="Arial" w:eastAsia="Arial" w:hAnsi="Arial" w:cs="Arial"/>
          <w:color w:val="000000"/>
          <w:sz w:val="20"/>
          <w:szCs w:val="20"/>
        </w:rPr>
        <w:t xml:space="preserve"> of the displayed measure is associated with wearable ownership, creating an opportunity for further digital-health analysis.</w:t>
      </w:r>
    </w:p>
    <w:p w14:paraId="33423D8C"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rPr>
      </w:pPr>
      <w:r w:rsidRPr="0039469C">
        <w:rPr>
          <w:rFonts w:ascii="Arial" w:eastAsia="Arial" w:hAnsi="Arial" w:cs="Arial"/>
          <w:b/>
          <w:bCs/>
          <w:color w:val="000000"/>
          <w:sz w:val="20"/>
          <w:szCs w:val="20"/>
        </w:rPr>
        <w:t>Finding 7 — Health measures vary across sex groups</w:t>
      </w:r>
    </w:p>
    <w:p w14:paraId="0F3FEA5F"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t>The dashboard demonstrates differences in cholesterol, blood pressure, BMI, and stress-related measures between male and female patients.</w:t>
      </w:r>
    </w:p>
    <w:p w14:paraId="220EEF11" w14:textId="77777777" w:rsidR="0039469C" w:rsidRPr="0039469C" w:rsidRDefault="00000000" w:rsidP="0039469C">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pict w14:anchorId="3FFF1E15">
          <v:rect id="_x0000_i1039" style="width:0;height:1.5pt" o:hralign="center" o:hrstd="t" o:hr="t" fillcolor="#a0a0a0" stroked="f"/>
        </w:pict>
      </w:r>
    </w:p>
    <w:p w14:paraId="31F62DA0"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b/>
          <w:bCs/>
          <w:color w:val="000000"/>
          <w:sz w:val="20"/>
          <w:szCs w:val="20"/>
          <w:u w:val="single"/>
        </w:rPr>
      </w:pPr>
      <w:r w:rsidRPr="0039469C">
        <w:rPr>
          <w:rFonts w:ascii="Arial" w:eastAsia="Arial" w:hAnsi="Arial" w:cs="Arial"/>
          <w:b/>
          <w:bCs/>
          <w:color w:val="000000"/>
          <w:sz w:val="20"/>
          <w:szCs w:val="20"/>
          <w:u w:val="single"/>
        </w:rPr>
        <w:t>8. Recommended Analytical Next Steps</w:t>
      </w:r>
    </w:p>
    <w:p w14:paraId="4C4133C8" w14:textId="77777777" w:rsidR="0039469C" w:rsidRPr="0039469C" w:rsidRDefault="0039469C" w:rsidP="0039469C">
      <w:p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color w:val="000000"/>
          <w:sz w:val="20"/>
          <w:szCs w:val="20"/>
        </w:rPr>
        <w:lastRenderedPageBreak/>
        <w:t>To turn this dashboard into a more actionable clinical analytics report, the following analyses would add value:</w:t>
      </w:r>
    </w:p>
    <w:p w14:paraId="7C6C65A1" w14:textId="77777777" w:rsidR="0039469C" w:rsidRPr="0039469C" w:rsidRDefault="0039469C" w:rsidP="0039469C">
      <w:pPr>
        <w:numPr>
          <w:ilvl w:val="0"/>
          <w:numId w:val="13"/>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Age-group analysis</w:t>
      </w:r>
      <w:r w:rsidRPr="0039469C">
        <w:rPr>
          <w:rFonts w:ascii="Arial" w:eastAsia="Arial" w:hAnsi="Arial" w:cs="Arial"/>
          <w:color w:val="000000"/>
          <w:sz w:val="20"/>
          <w:szCs w:val="20"/>
        </w:rPr>
        <w:t xml:space="preserve"> — compare BP, glucose, cholesterol, and stress measures across age bands.</w:t>
      </w:r>
    </w:p>
    <w:p w14:paraId="6583D9DB" w14:textId="77777777" w:rsidR="0039469C" w:rsidRPr="0039469C" w:rsidRDefault="0039469C" w:rsidP="0039469C">
      <w:pPr>
        <w:numPr>
          <w:ilvl w:val="0"/>
          <w:numId w:val="13"/>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Smoking-adjusted analysis</w:t>
      </w:r>
      <w:r w:rsidRPr="0039469C">
        <w:rPr>
          <w:rFonts w:ascii="Arial" w:eastAsia="Arial" w:hAnsi="Arial" w:cs="Arial"/>
          <w:color w:val="000000"/>
          <w:sz w:val="20"/>
          <w:szCs w:val="20"/>
        </w:rPr>
        <w:t xml:space="preserve"> — calculate chest-pain percentages within each smoking group rather than relying only on patient counts.</w:t>
      </w:r>
    </w:p>
    <w:p w14:paraId="0E4996E1" w14:textId="77777777" w:rsidR="0039469C" w:rsidRPr="0039469C" w:rsidRDefault="0039469C" w:rsidP="0039469C">
      <w:pPr>
        <w:numPr>
          <w:ilvl w:val="0"/>
          <w:numId w:val="13"/>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Risk-factor relationships</w:t>
      </w:r>
      <w:r w:rsidRPr="0039469C">
        <w:rPr>
          <w:rFonts w:ascii="Arial" w:eastAsia="Arial" w:hAnsi="Arial" w:cs="Arial"/>
          <w:color w:val="000000"/>
          <w:sz w:val="20"/>
          <w:szCs w:val="20"/>
        </w:rPr>
        <w:t xml:space="preserve"> — examine relationships among exercise, BMI, BP, glucose, cholesterol, and stress.</w:t>
      </w:r>
    </w:p>
    <w:p w14:paraId="382DF3EE" w14:textId="77777777" w:rsidR="0039469C" w:rsidRPr="0039469C" w:rsidRDefault="0039469C" w:rsidP="0039469C">
      <w:pPr>
        <w:numPr>
          <w:ilvl w:val="0"/>
          <w:numId w:val="13"/>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Family-history analysis</w:t>
      </w:r>
      <w:r w:rsidRPr="0039469C">
        <w:rPr>
          <w:rFonts w:ascii="Arial" w:eastAsia="Arial" w:hAnsi="Arial" w:cs="Arial"/>
          <w:color w:val="000000"/>
          <w:sz w:val="20"/>
          <w:szCs w:val="20"/>
        </w:rPr>
        <w:t xml:space="preserve"> — compare cardiovascular indicators between patients with and without a family history.</w:t>
      </w:r>
    </w:p>
    <w:p w14:paraId="55F3C228" w14:textId="77777777" w:rsidR="0039469C" w:rsidRPr="0039469C" w:rsidRDefault="0039469C" w:rsidP="0039469C">
      <w:pPr>
        <w:numPr>
          <w:ilvl w:val="0"/>
          <w:numId w:val="13"/>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Wearable analysis</w:t>
      </w:r>
      <w:r w:rsidRPr="0039469C">
        <w:rPr>
          <w:rFonts w:ascii="Arial" w:eastAsia="Arial" w:hAnsi="Arial" w:cs="Arial"/>
          <w:color w:val="000000"/>
          <w:sz w:val="20"/>
          <w:szCs w:val="20"/>
        </w:rPr>
        <w:t xml:space="preserve"> — compare exercise duration and health indicators between wearable and non-wearable users.</w:t>
      </w:r>
    </w:p>
    <w:p w14:paraId="036C6A6D" w14:textId="77777777" w:rsidR="0039469C" w:rsidRPr="0039469C" w:rsidRDefault="0039469C" w:rsidP="0039469C">
      <w:pPr>
        <w:numPr>
          <w:ilvl w:val="0"/>
          <w:numId w:val="13"/>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Trend analysis</w:t>
      </w:r>
      <w:r w:rsidRPr="0039469C">
        <w:rPr>
          <w:rFonts w:ascii="Arial" w:eastAsia="Arial" w:hAnsi="Arial" w:cs="Arial"/>
          <w:color w:val="000000"/>
          <w:sz w:val="20"/>
          <w:szCs w:val="20"/>
        </w:rPr>
        <w:t xml:space="preserve"> — if longitudinal data are available, track changes in BP, glucose, exercise, and other indicators over time.</w:t>
      </w:r>
    </w:p>
    <w:p w14:paraId="713B8EAB" w14:textId="77777777" w:rsidR="0039469C" w:rsidRPr="0039469C" w:rsidRDefault="0039469C" w:rsidP="0039469C">
      <w:pPr>
        <w:numPr>
          <w:ilvl w:val="0"/>
          <w:numId w:val="13"/>
        </w:numPr>
        <w:pBdr>
          <w:top w:val="nil"/>
          <w:left w:val="nil"/>
          <w:bottom w:val="nil"/>
          <w:right w:val="nil"/>
          <w:between w:val="nil"/>
        </w:pBdr>
        <w:spacing w:after="200" w:line="240" w:lineRule="auto"/>
        <w:rPr>
          <w:rFonts w:ascii="Arial" w:eastAsia="Arial" w:hAnsi="Arial" w:cs="Arial"/>
          <w:color w:val="000000"/>
          <w:sz w:val="20"/>
          <w:szCs w:val="20"/>
        </w:rPr>
      </w:pPr>
      <w:r w:rsidRPr="0039469C">
        <w:rPr>
          <w:rFonts w:ascii="Arial" w:eastAsia="Arial" w:hAnsi="Arial" w:cs="Arial"/>
          <w:b/>
          <w:bCs/>
          <w:color w:val="000000"/>
          <w:sz w:val="20"/>
          <w:szCs w:val="20"/>
        </w:rPr>
        <w:t>Statistical testing</w:t>
      </w:r>
      <w:r w:rsidRPr="0039469C">
        <w:rPr>
          <w:rFonts w:ascii="Arial" w:eastAsia="Arial" w:hAnsi="Arial" w:cs="Arial"/>
          <w:color w:val="000000"/>
          <w:sz w:val="20"/>
          <w:szCs w:val="20"/>
        </w:rPr>
        <w:t xml:space="preserve"> — assess whether observed differences between demographic or </w:t>
      </w:r>
      <w:proofErr w:type="spellStart"/>
      <w:r w:rsidRPr="0039469C">
        <w:rPr>
          <w:rFonts w:ascii="Arial" w:eastAsia="Arial" w:hAnsi="Arial" w:cs="Arial"/>
          <w:color w:val="000000"/>
          <w:sz w:val="20"/>
          <w:szCs w:val="20"/>
        </w:rPr>
        <w:t>behavioral</w:t>
      </w:r>
      <w:proofErr w:type="spellEnd"/>
      <w:r w:rsidRPr="0039469C">
        <w:rPr>
          <w:rFonts w:ascii="Arial" w:eastAsia="Arial" w:hAnsi="Arial" w:cs="Arial"/>
          <w:color w:val="000000"/>
          <w:sz w:val="20"/>
          <w:szCs w:val="20"/>
        </w:rPr>
        <w:t xml:space="preserve"> groups are statistically significant.</w:t>
      </w:r>
    </w:p>
    <w:p w14:paraId="7E4E9C82" w14:textId="77777777" w:rsidR="00B21965" w:rsidRDefault="00B21965">
      <w:pPr>
        <w:pBdr>
          <w:top w:val="nil"/>
          <w:left w:val="nil"/>
          <w:bottom w:val="nil"/>
          <w:right w:val="nil"/>
          <w:between w:val="nil"/>
        </w:pBdr>
        <w:spacing w:after="200" w:line="240" w:lineRule="auto"/>
        <w:rPr>
          <w:rFonts w:ascii="Arial" w:eastAsia="Arial" w:hAnsi="Arial" w:cs="Arial"/>
          <w:color w:val="000000"/>
          <w:sz w:val="20"/>
          <w:szCs w:val="20"/>
        </w:rPr>
      </w:pPr>
    </w:p>
    <w:p w14:paraId="28D71346" w14:textId="77777777" w:rsidR="00B21965" w:rsidRDefault="00000000">
      <w:r>
        <w:t xml:space="preserve"> </w:t>
      </w:r>
    </w:p>
    <w:sectPr w:rsidR="00B2196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C258791-782A-4E11-8DB1-014FFFEEEBBC}"/>
  </w:font>
  <w:font w:name="Calibri">
    <w:panose1 w:val="020F0502020204030204"/>
    <w:charset w:val="00"/>
    <w:family w:val="swiss"/>
    <w:pitch w:val="variable"/>
    <w:sig w:usb0="E4002EFF" w:usb1="C200247B" w:usb2="00000009" w:usb3="00000000" w:csb0="000001FF" w:csb1="00000000"/>
    <w:embedRegular r:id="rId2" w:fontKey="{4810AEFB-9157-466A-8637-1D0A45112D90}"/>
    <w:embedBold r:id="rId3" w:fontKey="{F8D5820F-7FF4-4AB3-A883-18EA23EEB9B5}"/>
  </w:font>
  <w:font w:name="Georgia">
    <w:panose1 w:val="02040502050405020303"/>
    <w:charset w:val="00"/>
    <w:family w:val="roman"/>
    <w:pitch w:val="variable"/>
    <w:sig w:usb0="00000287" w:usb1="00000000" w:usb2="00000000" w:usb3="00000000" w:csb0="0000009F" w:csb1="00000000"/>
    <w:embedItalic r:id="rId4" w:fontKey="{AB0B7373-78E1-40ED-987F-2F11293A937D}"/>
  </w:font>
  <w:font w:name="Cambria">
    <w:panose1 w:val="02040503050406030204"/>
    <w:charset w:val="00"/>
    <w:family w:val="roman"/>
    <w:pitch w:val="variable"/>
    <w:sig w:usb0="E00006FF" w:usb1="420024FF" w:usb2="02000000" w:usb3="00000000" w:csb0="0000019F" w:csb1="00000000"/>
    <w:embedRegular r:id="rId5" w:fontKey="{64C61849-B49B-4DC2-B967-17832F518BAC}"/>
    <w:embedBold r:id="rId6" w:fontKey="{A3AEA816-5AA9-426E-B682-2CFACF3645A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A8BB332B-9A81-4939-937C-18B8AC251C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56E89"/>
    <w:multiLevelType w:val="multilevel"/>
    <w:tmpl w:val="BC76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6BDE"/>
    <w:multiLevelType w:val="multilevel"/>
    <w:tmpl w:val="D83C2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F0AF2"/>
    <w:multiLevelType w:val="multilevel"/>
    <w:tmpl w:val="2A88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23ABF"/>
    <w:multiLevelType w:val="multilevel"/>
    <w:tmpl w:val="D4869AEC"/>
    <w:lvl w:ilvl="0">
      <w:start w:val="1"/>
      <w:numFmt w:val="decimal"/>
      <w:lvlText w:val="%1."/>
      <w:lvlJc w:val="left"/>
      <w:pPr>
        <w:ind w:left="1494" w:hanging="360"/>
      </w:pPr>
      <w:rPr>
        <w:b/>
        <w:bCs/>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 w15:restartNumberingAfterBreak="0">
    <w:nsid w:val="2C8E7794"/>
    <w:multiLevelType w:val="multilevel"/>
    <w:tmpl w:val="7DA0DA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D041B66"/>
    <w:multiLevelType w:val="multilevel"/>
    <w:tmpl w:val="89D8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36578"/>
    <w:multiLevelType w:val="multilevel"/>
    <w:tmpl w:val="F5BE41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9725AA1"/>
    <w:multiLevelType w:val="multilevel"/>
    <w:tmpl w:val="153059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A6266D3"/>
    <w:multiLevelType w:val="multilevel"/>
    <w:tmpl w:val="16A03B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9790BAA"/>
    <w:multiLevelType w:val="multilevel"/>
    <w:tmpl w:val="6E5C55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1D4163D"/>
    <w:multiLevelType w:val="multilevel"/>
    <w:tmpl w:val="D17A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B5AFB"/>
    <w:multiLevelType w:val="multilevel"/>
    <w:tmpl w:val="1E2A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756418">
    <w:abstractNumId w:val="7"/>
  </w:num>
  <w:num w:numId="2" w16cid:durableId="2087460511">
    <w:abstractNumId w:val="8"/>
  </w:num>
  <w:num w:numId="3" w16cid:durableId="1034042067">
    <w:abstractNumId w:val="4"/>
  </w:num>
  <w:num w:numId="4" w16cid:durableId="1222985579">
    <w:abstractNumId w:val="9"/>
  </w:num>
  <w:num w:numId="5" w16cid:durableId="717053236">
    <w:abstractNumId w:val="6"/>
  </w:num>
  <w:num w:numId="6" w16cid:durableId="92362395">
    <w:abstractNumId w:val="3"/>
  </w:num>
  <w:num w:numId="7" w16cid:durableId="1301812932">
    <w:abstractNumId w:val="1"/>
  </w:num>
  <w:num w:numId="8" w16cid:durableId="1461531273">
    <w:abstractNumId w:val="1"/>
    <w:lvlOverride w:ilvl="1">
      <w:lvl w:ilvl="1">
        <w:numFmt w:val="decimal"/>
        <w:lvlText w:val="%2."/>
        <w:lvlJc w:val="left"/>
      </w:lvl>
    </w:lvlOverride>
  </w:num>
  <w:num w:numId="9" w16cid:durableId="1186556795">
    <w:abstractNumId w:val="0"/>
  </w:num>
  <w:num w:numId="10" w16cid:durableId="1917091064">
    <w:abstractNumId w:val="5"/>
  </w:num>
  <w:num w:numId="11" w16cid:durableId="814300580">
    <w:abstractNumId w:val="2"/>
  </w:num>
  <w:num w:numId="12" w16cid:durableId="601886933">
    <w:abstractNumId w:val="10"/>
  </w:num>
  <w:num w:numId="13" w16cid:durableId="3638229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965"/>
    <w:rsid w:val="00066EDC"/>
    <w:rsid w:val="001114E0"/>
    <w:rsid w:val="0039469C"/>
    <w:rsid w:val="00577957"/>
    <w:rsid w:val="00760E4E"/>
    <w:rsid w:val="0082360B"/>
    <w:rsid w:val="00B21965"/>
    <w:rsid w:val="00CD6B2E"/>
    <w:rsid w:val="00DA7E18"/>
    <w:rsid w:val="00E92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77A1"/>
  <w15:docId w15:val="{180F9C22-D2E7-4FE2-AB86-15407E2B3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79951">
      <w:bodyDiv w:val="1"/>
      <w:marLeft w:val="0"/>
      <w:marRight w:val="0"/>
      <w:marTop w:val="0"/>
      <w:marBottom w:val="0"/>
      <w:divBdr>
        <w:top w:val="none" w:sz="0" w:space="0" w:color="auto"/>
        <w:left w:val="none" w:sz="0" w:space="0" w:color="auto"/>
        <w:bottom w:val="none" w:sz="0" w:space="0" w:color="auto"/>
        <w:right w:val="none" w:sz="0" w:space="0" w:color="auto"/>
      </w:divBdr>
      <w:divsChild>
        <w:div w:id="263611679">
          <w:marLeft w:val="0"/>
          <w:marRight w:val="0"/>
          <w:marTop w:val="0"/>
          <w:marBottom w:val="0"/>
          <w:divBdr>
            <w:top w:val="none" w:sz="0" w:space="0" w:color="auto"/>
            <w:left w:val="none" w:sz="0" w:space="0" w:color="auto"/>
            <w:bottom w:val="none" w:sz="0" w:space="0" w:color="auto"/>
            <w:right w:val="none" w:sz="0" w:space="0" w:color="auto"/>
          </w:divBdr>
          <w:divsChild>
            <w:div w:id="12449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7628">
      <w:bodyDiv w:val="1"/>
      <w:marLeft w:val="0"/>
      <w:marRight w:val="0"/>
      <w:marTop w:val="0"/>
      <w:marBottom w:val="0"/>
      <w:divBdr>
        <w:top w:val="none" w:sz="0" w:space="0" w:color="auto"/>
        <w:left w:val="none" w:sz="0" w:space="0" w:color="auto"/>
        <w:bottom w:val="none" w:sz="0" w:space="0" w:color="auto"/>
        <w:right w:val="none" w:sz="0" w:space="0" w:color="auto"/>
      </w:divBdr>
      <w:divsChild>
        <w:div w:id="1582644353">
          <w:marLeft w:val="0"/>
          <w:marRight w:val="0"/>
          <w:marTop w:val="0"/>
          <w:marBottom w:val="0"/>
          <w:divBdr>
            <w:top w:val="none" w:sz="0" w:space="0" w:color="auto"/>
            <w:left w:val="none" w:sz="0" w:space="0" w:color="auto"/>
            <w:bottom w:val="none" w:sz="0" w:space="0" w:color="auto"/>
            <w:right w:val="none" w:sz="0" w:space="0" w:color="auto"/>
          </w:divBdr>
          <w:divsChild>
            <w:div w:id="937191">
              <w:marLeft w:val="0"/>
              <w:marRight w:val="0"/>
              <w:marTop w:val="0"/>
              <w:marBottom w:val="0"/>
              <w:divBdr>
                <w:top w:val="none" w:sz="0" w:space="0" w:color="auto"/>
                <w:left w:val="none" w:sz="0" w:space="0" w:color="auto"/>
                <w:bottom w:val="none" w:sz="0" w:space="0" w:color="auto"/>
                <w:right w:val="none" w:sz="0" w:space="0" w:color="auto"/>
              </w:divBdr>
              <w:divsChild>
                <w:div w:id="295992138">
                  <w:marLeft w:val="0"/>
                  <w:marRight w:val="0"/>
                  <w:marTop w:val="0"/>
                  <w:marBottom w:val="0"/>
                  <w:divBdr>
                    <w:top w:val="none" w:sz="0" w:space="0" w:color="auto"/>
                    <w:left w:val="none" w:sz="0" w:space="0" w:color="auto"/>
                    <w:bottom w:val="none" w:sz="0" w:space="0" w:color="auto"/>
                    <w:right w:val="none" w:sz="0" w:space="0" w:color="auto"/>
                  </w:divBdr>
                  <w:divsChild>
                    <w:div w:id="1978145829">
                      <w:marLeft w:val="0"/>
                      <w:marRight w:val="0"/>
                      <w:marTop w:val="0"/>
                      <w:marBottom w:val="0"/>
                      <w:divBdr>
                        <w:top w:val="none" w:sz="0" w:space="0" w:color="auto"/>
                        <w:left w:val="none" w:sz="0" w:space="0" w:color="auto"/>
                        <w:bottom w:val="none" w:sz="0" w:space="0" w:color="auto"/>
                        <w:right w:val="none" w:sz="0" w:space="0" w:color="auto"/>
                      </w:divBdr>
                      <w:divsChild>
                        <w:div w:id="1772968496">
                          <w:marLeft w:val="0"/>
                          <w:marRight w:val="0"/>
                          <w:marTop w:val="0"/>
                          <w:marBottom w:val="0"/>
                          <w:divBdr>
                            <w:top w:val="none" w:sz="0" w:space="0" w:color="auto"/>
                            <w:left w:val="none" w:sz="0" w:space="0" w:color="auto"/>
                            <w:bottom w:val="none" w:sz="0" w:space="0" w:color="auto"/>
                            <w:right w:val="none" w:sz="0" w:space="0" w:color="auto"/>
                          </w:divBdr>
                        </w:div>
                      </w:divsChild>
                    </w:div>
                    <w:div w:id="1937859141">
                      <w:marLeft w:val="0"/>
                      <w:marRight w:val="0"/>
                      <w:marTop w:val="0"/>
                      <w:marBottom w:val="0"/>
                      <w:divBdr>
                        <w:top w:val="none" w:sz="0" w:space="0" w:color="auto"/>
                        <w:left w:val="none" w:sz="0" w:space="0" w:color="auto"/>
                        <w:bottom w:val="none" w:sz="0" w:space="0" w:color="auto"/>
                        <w:right w:val="none" w:sz="0" w:space="0" w:color="auto"/>
                      </w:divBdr>
                      <w:divsChild>
                        <w:div w:id="13096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906715">
      <w:bodyDiv w:val="1"/>
      <w:marLeft w:val="0"/>
      <w:marRight w:val="0"/>
      <w:marTop w:val="0"/>
      <w:marBottom w:val="0"/>
      <w:divBdr>
        <w:top w:val="none" w:sz="0" w:space="0" w:color="auto"/>
        <w:left w:val="none" w:sz="0" w:space="0" w:color="auto"/>
        <w:bottom w:val="none" w:sz="0" w:space="0" w:color="auto"/>
        <w:right w:val="none" w:sz="0" w:space="0" w:color="auto"/>
      </w:divBdr>
      <w:divsChild>
        <w:div w:id="1215890545">
          <w:marLeft w:val="0"/>
          <w:marRight w:val="0"/>
          <w:marTop w:val="0"/>
          <w:marBottom w:val="0"/>
          <w:divBdr>
            <w:top w:val="none" w:sz="0" w:space="0" w:color="auto"/>
            <w:left w:val="none" w:sz="0" w:space="0" w:color="auto"/>
            <w:bottom w:val="none" w:sz="0" w:space="0" w:color="auto"/>
            <w:right w:val="none" w:sz="0" w:space="0" w:color="auto"/>
          </w:divBdr>
          <w:divsChild>
            <w:div w:id="14497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88608">
      <w:bodyDiv w:val="1"/>
      <w:marLeft w:val="0"/>
      <w:marRight w:val="0"/>
      <w:marTop w:val="0"/>
      <w:marBottom w:val="0"/>
      <w:divBdr>
        <w:top w:val="none" w:sz="0" w:space="0" w:color="auto"/>
        <w:left w:val="none" w:sz="0" w:space="0" w:color="auto"/>
        <w:bottom w:val="none" w:sz="0" w:space="0" w:color="auto"/>
        <w:right w:val="none" w:sz="0" w:space="0" w:color="auto"/>
      </w:divBdr>
      <w:divsChild>
        <w:div w:id="1207596643">
          <w:marLeft w:val="0"/>
          <w:marRight w:val="0"/>
          <w:marTop w:val="0"/>
          <w:marBottom w:val="0"/>
          <w:divBdr>
            <w:top w:val="none" w:sz="0" w:space="0" w:color="auto"/>
            <w:left w:val="none" w:sz="0" w:space="0" w:color="auto"/>
            <w:bottom w:val="none" w:sz="0" w:space="0" w:color="auto"/>
            <w:right w:val="none" w:sz="0" w:space="0" w:color="auto"/>
          </w:divBdr>
          <w:divsChild>
            <w:div w:id="1408579563">
              <w:marLeft w:val="0"/>
              <w:marRight w:val="0"/>
              <w:marTop w:val="0"/>
              <w:marBottom w:val="0"/>
              <w:divBdr>
                <w:top w:val="none" w:sz="0" w:space="0" w:color="auto"/>
                <w:left w:val="none" w:sz="0" w:space="0" w:color="auto"/>
                <w:bottom w:val="none" w:sz="0" w:space="0" w:color="auto"/>
                <w:right w:val="none" w:sz="0" w:space="0" w:color="auto"/>
              </w:divBdr>
              <w:divsChild>
                <w:div w:id="770013481">
                  <w:marLeft w:val="0"/>
                  <w:marRight w:val="0"/>
                  <w:marTop w:val="0"/>
                  <w:marBottom w:val="0"/>
                  <w:divBdr>
                    <w:top w:val="none" w:sz="0" w:space="0" w:color="auto"/>
                    <w:left w:val="none" w:sz="0" w:space="0" w:color="auto"/>
                    <w:bottom w:val="none" w:sz="0" w:space="0" w:color="auto"/>
                    <w:right w:val="none" w:sz="0" w:space="0" w:color="auto"/>
                  </w:divBdr>
                  <w:divsChild>
                    <w:div w:id="1229800430">
                      <w:marLeft w:val="0"/>
                      <w:marRight w:val="0"/>
                      <w:marTop w:val="0"/>
                      <w:marBottom w:val="0"/>
                      <w:divBdr>
                        <w:top w:val="none" w:sz="0" w:space="0" w:color="auto"/>
                        <w:left w:val="none" w:sz="0" w:space="0" w:color="auto"/>
                        <w:bottom w:val="none" w:sz="0" w:space="0" w:color="auto"/>
                        <w:right w:val="none" w:sz="0" w:space="0" w:color="auto"/>
                      </w:divBdr>
                      <w:divsChild>
                        <w:div w:id="1920551536">
                          <w:marLeft w:val="0"/>
                          <w:marRight w:val="0"/>
                          <w:marTop w:val="0"/>
                          <w:marBottom w:val="0"/>
                          <w:divBdr>
                            <w:top w:val="none" w:sz="0" w:space="0" w:color="auto"/>
                            <w:left w:val="none" w:sz="0" w:space="0" w:color="auto"/>
                            <w:bottom w:val="none" w:sz="0" w:space="0" w:color="auto"/>
                            <w:right w:val="none" w:sz="0" w:space="0" w:color="auto"/>
                          </w:divBdr>
                        </w:div>
                      </w:divsChild>
                    </w:div>
                    <w:div w:id="1176456413">
                      <w:marLeft w:val="0"/>
                      <w:marRight w:val="0"/>
                      <w:marTop w:val="0"/>
                      <w:marBottom w:val="0"/>
                      <w:divBdr>
                        <w:top w:val="none" w:sz="0" w:space="0" w:color="auto"/>
                        <w:left w:val="none" w:sz="0" w:space="0" w:color="auto"/>
                        <w:bottom w:val="none" w:sz="0" w:space="0" w:color="auto"/>
                        <w:right w:val="none" w:sz="0" w:space="0" w:color="auto"/>
                      </w:divBdr>
                      <w:divsChild>
                        <w:div w:id="9546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1675</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2026-09-18T09:13:00Z</dcterms:created>
  <dcterms:modified xsi:type="dcterms:W3CDTF">2026-09-18T09:39:00Z</dcterms:modified>
</cp:coreProperties>
</file>