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Weizhi,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some grading criteria for your consideration.  The assignment is worth 10 points. A student’s script need not be perfect with respect to the following to get a high score (say 9.5 out of 10).   You can decide on the points associated with the following categories.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[1] Please identify 2 or 3 best submissions,  rename their html as HW-1-student_name.html , and place those html in this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[2] Please record grades on Canvas.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[A] Please check that the betas are shown in either the right order or clearly labeled order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beta =  XXX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RSS =  19.25635114667625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[B] sample answer below and shown in Q, students’ answer will vary,  you may assign credits to how close their algos get to the theoretical values in [A]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b1. The smallest loss your network is able to achieve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19.25650713642234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b2. The corresponding learning 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b3. The corresponding estimated ”optimal” weights. Please check that the betas are shown in either the right order or clearly labeled order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&gt;&gt; Important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Please verify the answer in (b3) is consistent with the answer in (b1), take points off if they do not agree.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your convenience, I have uploaded my spreadsheet to the folder in case you need a calculator.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b4. The corresponding number of updates when your network reaches the ”optimal” estimates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b5. A plot of the final 50 (or a reasonable number of) updates of the loss values vs the 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Sample answer shown in Q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Thank you very much!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