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2953" w:rsidRDefault="008A2953" w:rsidP="006A2872">
      <w:pPr>
        <w:rPr>
          <w:rFonts w:ascii="Arial" w:hAnsi="Arial" w:cs="Arial"/>
          <w:color w:val="009CFF"/>
          <w:sz w:val="60"/>
          <w:szCs w:val="60"/>
        </w:rPr>
      </w:pPr>
      <w:r>
        <w:rPr>
          <w:rFonts w:ascii="Arial" w:hAnsi="Arial" w:cs="Arial"/>
          <w:color w:val="009CFF"/>
          <w:sz w:val="60"/>
          <w:szCs w:val="60"/>
        </w:rPr>
        <w:t>Web data extraction Requirement document</w:t>
      </w:r>
    </w:p>
    <w:p w:rsidR="008A2953" w:rsidRDefault="008A2953" w:rsidP="006A2872">
      <w:pPr>
        <w:rPr>
          <w:rFonts w:ascii="Arial" w:hAnsi="Arial" w:cs="Arial"/>
          <w:color w:val="009CFF"/>
          <w:sz w:val="34"/>
          <w:szCs w:val="60"/>
        </w:rPr>
      </w:pPr>
      <w:r w:rsidRPr="00777161">
        <w:rPr>
          <w:rFonts w:ascii="Arial" w:hAnsi="Arial" w:cs="Arial"/>
          <w:color w:val="009CFF"/>
          <w:sz w:val="34"/>
          <w:szCs w:val="60"/>
        </w:rPr>
        <w:t>Suggested Code Policy:</w:t>
      </w:r>
    </w:p>
    <w:p w:rsidR="008A2953" w:rsidRDefault="008A2953" w:rsidP="006A2872">
      <w:pPr>
        <w:pStyle w:val="ListParagraph"/>
        <w:numPr>
          <w:ilvl w:val="0"/>
          <w:numId w:val="1"/>
        </w:numPr>
        <w:rPr>
          <w:rFonts w:ascii="Arial" w:hAnsi="Arial" w:cs="Arial"/>
          <w:color w:val="009CFF"/>
          <w:sz w:val="34"/>
          <w:szCs w:val="60"/>
        </w:rPr>
      </w:pPr>
      <w:r>
        <w:rPr>
          <w:rFonts w:ascii="Arial" w:hAnsi="Arial" w:cs="Arial"/>
          <w:color w:val="009CFF"/>
          <w:sz w:val="34"/>
          <w:szCs w:val="60"/>
        </w:rPr>
        <w:t xml:space="preserve">Copy the Project folder structure from bellow </w:t>
      </w:r>
      <w:proofErr w:type="spellStart"/>
      <w:r>
        <w:rPr>
          <w:rFonts w:ascii="Arial" w:hAnsi="Arial" w:cs="Arial"/>
          <w:color w:val="009CFF"/>
          <w:sz w:val="34"/>
          <w:szCs w:val="60"/>
        </w:rPr>
        <w:t>github</w:t>
      </w:r>
      <w:proofErr w:type="spellEnd"/>
      <w:r>
        <w:rPr>
          <w:rFonts w:ascii="Arial" w:hAnsi="Arial" w:cs="Arial"/>
          <w:color w:val="009CFF"/>
          <w:sz w:val="34"/>
          <w:szCs w:val="60"/>
        </w:rPr>
        <w:t xml:space="preserve"> link.</w:t>
      </w:r>
    </w:p>
    <w:p w:rsidR="008A2953" w:rsidRDefault="009A00F5" w:rsidP="006A2872">
      <w:pPr>
        <w:pStyle w:val="ListParagraph"/>
        <w:rPr>
          <w:rFonts w:ascii="Arial" w:hAnsi="Arial" w:cs="Arial"/>
          <w:color w:val="009CFF"/>
          <w:sz w:val="34"/>
          <w:szCs w:val="60"/>
        </w:rPr>
      </w:pPr>
      <w:hyperlink r:id="rId6" w:history="1">
        <w:r w:rsidR="008A2953" w:rsidRPr="003239F5">
          <w:rPr>
            <w:rStyle w:val="Hyperlink"/>
            <w:rFonts w:ascii="Arial" w:hAnsi="Arial" w:cs="Arial"/>
            <w:sz w:val="34"/>
            <w:szCs w:val="60"/>
          </w:rPr>
          <w:t>https://github.com/hackathonScrapping/BANK.git</w:t>
        </w:r>
      </w:hyperlink>
    </w:p>
    <w:p w:rsidR="008A2953" w:rsidRDefault="008A2953" w:rsidP="006A2872">
      <w:pPr>
        <w:pStyle w:val="ListParagraph"/>
        <w:rPr>
          <w:rFonts w:ascii="Arial" w:hAnsi="Arial" w:cs="Arial"/>
          <w:color w:val="009CFF"/>
          <w:sz w:val="34"/>
          <w:szCs w:val="60"/>
        </w:rPr>
      </w:pPr>
    </w:p>
    <w:p w:rsidR="008A2953" w:rsidRDefault="008A2953" w:rsidP="006A2872">
      <w:pPr>
        <w:pStyle w:val="ListParagraph"/>
        <w:numPr>
          <w:ilvl w:val="0"/>
          <w:numId w:val="1"/>
        </w:numPr>
        <w:rPr>
          <w:rFonts w:ascii="Arial" w:hAnsi="Arial" w:cs="Arial"/>
          <w:color w:val="009CFF"/>
          <w:sz w:val="34"/>
          <w:szCs w:val="60"/>
        </w:rPr>
      </w:pPr>
      <w:r>
        <w:rPr>
          <w:rFonts w:ascii="Arial" w:hAnsi="Arial" w:cs="Arial"/>
          <w:color w:val="009CFF"/>
          <w:sz w:val="34"/>
          <w:szCs w:val="60"/>
        </w:rPr>
        <w:t xml:space="preserve">Use Python(Mandatory) with </w:t>
      </w:r>
      <w:proofErr w:type="spellStart"/>
      <w:r>
        <w:rPr>
          <w:rFonts w:ascii="Arial" w:hAnsi="Arial" w:cs="Arial"/>
          <w:color w:val="009CFF"/>
          <w:sz w:val="34"/>
          <w:szCs w:val="60"/>
        </w:rPr>
        <w:t>BeautifulSoup</w:t>
      </w:r>
      <w:proofErr w:type="spellEnd"/>
      <w:r>
        <w:rPr>
          <w:rFonts w:ascii="Arial" w:hAnsi="Arial" w:cs="Arial"/>
          <w:color w:val="009CFF"/>
          <w:sz w:val="34"/>
          <w:szCs w:val="60"/>
        </w:rPr>
        <w:t xml:space="preserve">, </w:t>
      </w:r>
      <w:proofErr w:type="spellStart"/>
      <w:r>
        <w:rPr>
          <w:rFonts w:ascii="Arial" w:hAnsi="Arial" w:cs="Arial"/>
          <w:color w:val="009CFF"/>
          <w:sz w:val="34"/>
          <w:szCs w:val="60"/>
        </w:rPr>
        <w:t>Scrapy</w:t>
      </w:r>
      <w:proofErr w:type="spellEnd"/>
      <w:r>
        <w:rPr>
          <w:rFonts w:ascii="Arial" w:hAnsi="Arial" w:cs="Arial"/>
          <w:color w:val="009CFF"/>
          <w:sz w:val="34"/>
          <w:szCs w:val="60"/>
        </w:rPr>
        <w:t xml:space="preserve"> and Selenium (Feel free to use any other Python libraries)</w:t>
      </w:r>
    </w:p>
    <w:p w:rsidR="008A2953" w:rsidRPr="00777161" w:rsidRDefault="008A2953" w:rsidP="006A2872">
      <w:pPr>
        <w:pStyle w:val="ListParagraph"/>
        <w:numPr>
          <w:ilvl w:val="0"/>
          <w:numId w:val="1"/>
        </w:numPr>
        <w:rPr>
          <w:rFonts w:ascii="Arial" w:hAnsi="Arial" w:cs="Arial"/>
          <w:color w:val="009CFF"/>
          <w:sz w:val="34"/>
          <w:szCs w:val="60"/>
        </w:rPr>
      </w:pPr>
      <w:r>
        <w:rPr>
          <w:rFonts w:ascii="Arial" w:hAnsi="Arial" w:cs="Arial"/>
          <w:color w:val="009CFF"/>
          <w:sz w:val="34"/>
          <w:szCs w:val="60"/>
        </w:rPr>
        <w:t>Store Scrapped data with provided file name and CSV format.</w:t>
      </w:r>
    </w:p>
    <w:p w:rsidR="008A2953" w:rsidRDefault="008A2953" w:rsidP="006A2872">
      <w:pPr>
        <w:rPr>
          <w:rFonts w:ascii="Arial" w:hAnsi="Arial" w:cs="Arial"/>
          <w:color w:val="009CFF"/>
          <w:sz w:val="60"/>
          <w:szCs w:val="60"/>
        </w:rPr>
      </w:pPr>
      <w:r>
        <w:rPr>
          <w:rFonts w:ascii="Arial" w:hAnsi="Arial" w:cs="Arial"/>
          <w:color w:val="009CFF"/>
          <w:sz w:val="60"/>
          <w:szCs w:val="60"/>
        </w:rPr>
        <w:t>Work 1:</w:t>
      </w:r>
    </w:p>
    <w:p w:rsidR="008A2953" w:rsidRDefault="008A2953" w:rsidP="006A2872"/>
    <w:p w:rsidR="008A2953" w:rsidRDefault="008A2953" w:rsidP="006A2872">
      <w:pPr>
        <w:rPr>
          <w:b/>
        </w:rPr>
      </w:pPr>
      <w:r>
        <w:rPr>
          <w:b/>
        </w:rPr>
        <w:t xml:space="preserve">Scarped Data Format (File Name - </w:t>
      </w:r>
      <w:proofErr w:type="spellStart"/>
      <w:r w:rsidR="003259CB">
        <w:rPr>
          <w:b/>
        </w:rPr>
        <w:t>WellsF</w:t>
      </w:r>
      <w:r>
        <w:rPr>
          <w:b/>
        </w:rPr>
        <w:t>_Data_Deposit</w:t>
      </w:r>
      <w:proofErr w:type="spellEnd"/>
      <w:r>
        <w:rPr>
          <w:b/>
        </w:rPr>
        <w:t>_&lt;MM_DD_YYYY&gt;.csv)</w:t>
      </w:r>
    </w:p>
    <w:tbl>
      <w:tblPr>
        <w:tblW w:w="9252" w:type="dxa"/>
        <w:tblInd w:w="-10" w:type="dxa"/>
        <w:tblLook w:val="04A0" w:firstRow="1" w:lastRow="0" w:firstColumn="1" w:lastColumn="0" w:noHBand="0" w:noVBand="1"/>
      </w:tblPr>
      <w:tblGrid>
        <w:gridCol w:w="640"/>
        <w:gridCol w:w="749"/>
        <w:gridCol w:w="921"/>
        <w:gridCol w:w="951"/>
        <w:gridCol w:w="1356"/>
        <w:gridCol w:w="1123"/>
        <w:gridCol w:w="1009"/>
        <w:gridCol w:w="817"/>
        <w:gridCol w:w="917"/>
        <w:gridCol w:w="769"/>
      </w:tblGrid>
      <w:tr w:rsidR="003710C4" w:rsidRPr="00283DA7" w:rsidTr="003710C4">
        <w:trPr>
          <w:trHeight w:val="817"/>
        </w:trPr>
        <w:tc>
          <w:tcPr>
            <w:tcW w:w="6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eastAsia="en-IN"/>
              </w:rPr>
              <w:t>Date</w:t>
            </w:r>
          </w:p>
        </w:tc>
        <w:tc>
          <w:tcPr>
            <w:tcW w:w="72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eastAsia="en-IN"/>
              </w:rPr>
              <w:t>Bank Name</w:t>
            </w:r>
          </w:p>
        </w:tc>
        <w:tc>
          <w:tcPr>
            <w:tcW w:w="895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3710C4" w:rsidRPr="00283DA7" w:rsidRDefault="003710C4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eastAsia="en-IN"/>
              </w:rPr>
              <w:t>Product Name</w:t>
            </w:r>
          </w:p>
        </w:tc>
        <w:tc>
          <w:tcPr>
            <w:tcW w:w="95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vAlign w:val="center"/>
          </w:tcPr>
          <w:p w:rsidR="003710C4" w:rsidRPr="00283DA7" w:rsidRDefault="003710C4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IN"/>
              </w:rPr>
              <w:t>Account Balance</w:t>
            </w:r>
          </w:p>
        </w:tc>
        <w:tc>
          <w:tcPr>
            <w:tcW w:w="149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vAlign w:val="center"/>
          </w:tcPr>
          <w:p w:rsidR="003710C4" w:rsidRPr="00283DA7" w:rsidRDefault="003710C4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IN"/>
              </w:rPr>
              <w:t>Minimum to Open</w:t>
            </w:r>
          </w:p>
        </w:tc>
        <w:tc>
          <w:tcPr>
            <w:tcW w:w="108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vAlign w:val="center"/>
          </w:tcPr>
          <w:p w:rsidR="003710C4" w:rsidRPr="00283DA7" w:rsidRDefault="003710C4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eastAsia="en-IN"/>
              </w:rPr>
              <w:t>Maximum Balance</w:t>
            </w:r>
          </w:p>
        </w:tc>
        <w:tc>
          <w:tcPr>
            <w:tcW w:w="100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vAlign w:val="center"/>
          </w:tcPr>
          <w:p w:rsidR="003710C4" w:rsidRPr="00283DA7" w:rsidRDefault="003710C4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IN"/>
              </w:rPr>
              <w:t>Rate %</w:t>
            </w:r>
          </w:p>
        </w:tc>
        <w:tc>
          <w:tcPr>
            <w:tcW w:w="817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vAlign w:val="center"/>
          </w:tcPr>
          <w:p w:rsidR="003710C4" w:rsidRPr="00283DA7" w:rsidRDefault="003710C4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eastAsia="en-IN"/>
              </w:rPr>
              <w:t>APY</w:t>
            </w:r>
            <w:r>
              <w:rPr>
                <w:rFonts w:ascii="Calibri" w:eastAsia="Times New Roman" w:hAnsi="Calibri" w:cs="Times New Roman"/>
                <w:color w:val="000000"/>
                <w:lang w:eastAsia="en-IN"/>
              </w:rPr>
              <w:t xml:space="preserve"> %</w:t>
            </w:r>
          </w:p>
        </w:tc>
        <w:tc>
          <w:tcPr>
            <w:tcW w:w="89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vAlign w:val="center"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IN"/>
              </w:rPr>
              <w:t>Bonus Interest Rate</w:t>
            </w:r>
          </w:p>
        </w:tc>
        <w:tc>
          <w:tcPr>
            <w:tcW w:w="74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IN"/>
              </w:rPr>
              <w:t>Bonus APY</w:t>
            </w:r>
          </w:p>
        </w:tc>
      </w:tr>
      <w:tr w:rsidR="003710C4" w:rsidRPr="00283DA7" w:rsidTr="003710C4">
        <w:trPr>
          <w:trHeight w:val="300"/>
        </w:trPr>
        <w:tc>
          <w:tcPr>
            <w:tcW w:w="62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8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89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en-IN"/>
              </w:rPr>
            </w:pPr>
          </w:p>
        </w:tc>
      </w:tr>
      <w:tr w:rsidR="003710C4" w:rsidRPr="00283DA7" w:rsidTr="003710C4">
        <w:trPr>
          <w:trHeight w:val="300"/>
        </w:trPr>
        <w:tc>
          <w:tcPr>
            <w:tcW w:w="62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Arial" w:eastAsia="Times New Roman" w:hAnsi="Arial" w:cs="Arial"/>
                <w:color w:val="666666"/>
                <w:sz w:val="16"/>
                <w:szCs w:val="16"/>
                <w:lang w:eastAsia="en-IN"/>
              </w:rPr>
            </w:pPr>
            <w:r w:rsidRPr="00283DA7">
              <w:rPr>
                <w:rFonts w:ascii="Arial" w:eastAsia="Times New Roman" w:hAnsi="Arial" w:cs="Arial"/>
                <w:color w:val="666666"/>
                <w:sz w:val="16"/>
                <w:szCs w:val="16"/>
                <w:lang w:val="en-US" w:eastAsia="en-IN"/>
              </w:rPr>
              <w:t> 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Arial" w:eastAsia="Times New Roman" w:hAnsi="Arial" w:cs="Arial"/>
                <w:color w:val="666666"/>
                <w:sz w:val="16"/>
                <w:szCs w:val="16"/>
                <w:lang w:eastAsia="en-IN"/>
              </w:rPr>
            </w:pPr>
            <w:r w:rsidRPr="00283DA7">
              <w:rPr>
                <w:rFonts w:ascii="Arial" w:eastAsia="Times New Roman" w:hAnsi="Arial" w:cs="Arial"/>
                <w:color w:val="666666"/>
                <w:sz w:val="16"/>
                <w:szCs w:val="16"/>
                <w:lang w:val="en-US" w:eastAsia="en-IN"/>
              </w:rPr>
              <w:t> 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8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89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en-IN"/>
              </w:rPr>
            </w:pPr>
          </w:p>
        </w:tc>
      </w:tr>
      <w:tr w:rsidR="003710C4" w:rsidRPr="00283DA7" w:rsidTr="003710C4">
        <w:trPr>
          <w:trHeight w:val="300"/>
        </w:trPr>
        <w:tc>
          <w:tcPr>
            <w:tcW w:w="62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Arial" w:eastAsia="Times New Roman" w:hAnsi="Arial" w:cs="Arial"/>
                <w:color w:val="666666"/>
                <w:sz w:val="16"/>
                <w:szCs w:val="16"/>
                <w:lang w:eastAsia="en-IN"/>
              </w:rPr>
            </w:pPr>
            <w:r w:rsidRPr="00283DA7">
              <w:rPr>
                <w:rFonts w:ascii="Arial" w:eastAsia="Times New Roman" w:hAnsi="Arial" w:cs="Arial"/>
                <w:color w:val="666666"/>
                <w:sz w:val="16"/>
                <w:szCs w:val="16"/>
                <w:lang w:val="en-US" w:eastAsia="en-IN"/>
              </w:rPr>
              <w:t> 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Arial" w:eastAsia="Times New Roman" w:hAnsi="Arial" w:cs="Arial"/>
                <w:color w:val="666666"/>
                <w:sz w:val="16"/>
                <w:szCs w:val="16"/>
                <w:lang w:eastAsia="en-IN"/>
              </w:rPr>
            </w:pPr>
            <w:r w:rsidRPr="00283DA7">
              <w:rPr>
                <w:rFonts w:ascii="Arial" w:eastAsia="Times New Roman" w:hAnsi="Arial" w:cs="Arial"/>
                <w:color w:val="666666"/>
                <w:sz w:val="16"/>
                <w:szCs w:val="16"/>
                <w:lang w:val="en-US" w:eastAsia="en-IN"/>
              </w:rPr>
              <w:t> 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8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89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en-IN"/>
              </w:rPr>
            </w:pPr>
          </w:p>
        </w:tc>
      </w:tr>
      <w:tr w:rsidR="003710C4" w:rsidRPr="00283DA7" w:rsidTr="003710C4">
        <w:trPr>
          <w:trHeight w:val="300"/>
        </w:trPr>
        <w:tc>
          <w:tcPr>
            <w:tcW w:w="62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Arial" w:eastAsia="Times New Roman" w:hAnsi="Arial" w:cs="Arial"/>
                <w:color w:val="666666"/>
                <w:sz w:val="16"/>
                <w:szCs w:val="16"/>
                <w:lang w:eastAsia="en-IN"/>
              </w:rPr>
            </w:pPr>
            <w:r w:rsidRPr="00283DA7">
              <w:rPr>
                <w:rFonts w:ascii="Arial" w:eastAsia="Times New Roman" w:hAnsi="Arial" w:cs="Arial"/>
                <w:color w:val="666666"/>
                <w:sz w:val="16"/>
                <w:szCs w:val="16"/>
                <w:lang w:val="en-US" w:eastAsia="en-IN"/>
              </w:rPr>
              <w:t> 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Arial" w:eastAsia="Times New Roman" w:hAnsi="Arial" w:cs="Arial"/>
                <w:color w:val="666666"/>
                <w:sz w:val="16"/>
                <w:szCs w:val="16"/>
                <w:lang w:eastAsia="en-IN"/>
              </w:rPr>
            </w:pPr>
            <w:r w:rsidRPr="00283DA7">
              <w:rPr>
                <w:rFonts w:ascii="Arial" w:eastAsia="Times New Roman" w:hAnsi="Arial" w:cs="Arial"/>
                <w:color w:val="666666"/>
                <w:sz w:val="16"/>
                <w:szCs w:val="16"/>
                <w:lang w:val="en-US" w:eastAsia="en-IN"/>
              </w:rPr>
              <w:t> 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8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89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en-IN"/>
              </w:rPr>
            </w:pPr>
          </w:p>
        </w:tc>
      </w:tr>
      <w:tr w:rsidR="003710C4" w:rsidRPr="00283DA7" w:rsidTr="003710C4">
        <w:trPr>
          <w:trHeight w:val="300"/>
        </w:trPr>
        <w:tc>
          <w:tcPr>
            <w:tcW w:w="62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Arial" w:eastAsia="Times New Roman" w:hAnsi="Arial" w:cs="Arial"/>
                <w:color w:val="666666"/>
                <w:sz w:val="16"/>
                <w:szCs w:val="16"/>
                <w:lang w:eastAsia="en-IN"/>
              </w:rPr>
            </w:pPr>
            <w:r w:rsidRPr="00283DA7">
              <w:rPr>
                <w:rFonts w:ascii="Arial" w:eastAsia="Times New Roman" w:hAnsi="Arial" w:cs="Arial"/>
                <w:color w:val="666666"/>
                <w:sz w:val="16"/>
                <w:szCs w:val="16"/>
                <w:lang w:val="en-US" w:eastAsia="en-IN"/>
              </w:rPr>
              <w:t> 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Arial" w:eastAsia="Times New Roman" w:hAnsi="Arial" w:cs="Arial"/>
                <w:color w:val="666666"/>
                <w:sz w:val="16"/>
                <w:szCs w:val="16"/>
                <w:lang w:eastAsia="en-IN"/>
              </w:rPr>
            </w:pPr>
            <w:r w:rsidRPr="00283DA7">
              <w:rPr>
                <w:rFonts w:ascii="Arial" w:eastAsia="Times New Roman" w:hAnsi="Arial" w:cs="Arial"/>
                <w:color w:val="666666"/>
                <w:sz w:val="16"/>
                <w:szCs w:val="16"/>
                <w:lang w:val="en-US" w:eastAsia="en-IN"/>
              </w:rPr>
              <w:t> 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8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89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en-IN"/>
              </w:rPr>
            </w:pPr>
          </w:p>
        </w:tc>
      </w:tr>
      <w:tr w:rsidR="003710C4" w:rsidRPr="00283DA7" w:rsidTr="003710C4">
        <w:trPr>
          <w:trHeight w:val="315"/>
        </w:trPr>
        <w:tc>
          <w:tcPr>
            <w:tcW w:w="625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7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89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95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Arial" w:eastAsia="Times New Roman" w:hAnsi="Arial" w:cs="Arial"/>
                <w:color w:val="666666"/>
                <w:sz w:val="16"/>
                <w:szCs w:val="16"/>
                <w:lang w:eastAsia="en-IN"/>
              </w:rPr>
            </w:pPr>
            <w:r w:rsidRPr="00283DA7">
              <w:rPr>
                <w:rFonts w:ascii="Arial" w:eastAsia="Times New Roman" w:hAnsi="Arial" w:cs="Arial"/>
                <w:color w:val="666666"/>
                <w:sz w:val="16"/>
                <w:szCs w:val="16"/>
                <w:lang w:val="en-US" w:eastAsia="en-IN"/>
              </w:rPr>
              <w:t> 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Arial" w:eastAsia="Times New Roman" w:hAnsi="Arial" w:cs="Arial"/>
                <w:color w:val="666666"/>
                <w:sz w:val="16"/>
                <w:szCs w:val="16"/>
                <w:lang w:eastAsia="en-IN"/>
              </w:rPr>
            </w:pPr>
            <w:r w:rsidRPr="00283DA7">
              <w:rPr>
                <w:rFonts w:ascii="Arial" w:eastAsia="Times New Roman" w:hAnsi="Arial" w:cs="Arial"/>
                <w:color w:val="666666"/>
                <w:sz w:val="16"/>
                <w:szCs w:val="16"/>
                <w:lang w:val="en-US" w:eastAsia="en-IN"/>
              </w:rPr>
              <w:t> 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8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8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7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3710C4" w:rsidRPr="00283DA7" w:rsidRDefault="003710C4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en-IN"/>
              </w:rPr>
            </w:pPr>
          </w:p>
        </w:tc>
      </w:tr>
    </w:tbl>
    <w:p w:rsidR="008A2953" w:rsidRDefault="008A2953" w:rsidP="006A2872">
      <w:pPr>
        <w:rPr>
          <w:b/>
        </w:rPr>
      </w:pPr>
    </w:p>
    <w:p w:rsidR="008A2953" w:rsidRDefault="008A2953" w:rsidP="006A2872">
      <w:pPr>
        <w:rPr>
          <w:b/>
        </w:rPr>
      </w:pPr>
    </w:p>
    <w:p w:rsidR="008A2953" w:rsidRDefault="008A2953" w:rsidP="006A2872">
      <w:pPr>
        <w:rPr>
          <w:b/>
        </w:rPr>
      </w:pPr>
    </w:p>
    <w:p w:rsidR="008A2953" w:rsidRDefault="008A2953" w:rsidP="006A2872">
      <w:pPr>
        <w:rPr>
          <w:b/>
        </w:rPr>
      </w:pPr>
    </w:p>
    <w:p w:rsidR="008A2953" w:rsidRDefault="008A2953" w:rsidP="006A2872">
      <w:pPr>
        <w:rPr>
          <w:b/>
        </w:rPr>
      </w:pPr>
    </w:p>
    <w:p w:rsidR="008A2953" w:rsidRDefault="008A2953" w:rsidP="006A2872">
      <w:pPr>
        <w:rPr>
          <w:b/>
        </w:rPr>
      </w:pPr>
    </w:p>
    <w:p w:rsidR="008A2953" w:rsidRDefault="008A2953" w:rsidP="006A2872">
      <w:pPr>
        <w:rPr>
          <w:b/>
        </w:rPr>
      </w:pPr>
    </w:p>
    <w:tbl>
      <w:tblPr>
        <w:tblW w:w="11216" w:type="dxa"/>
        <w:tblInd w:w="-1347" w:type="dxa"/>
        <w:tblLook w:val="04A0" w:firstRow="1" w:lastRow="0" w:firstColumn="1" w:lastColumn="0" w:noHBand="0" w:noVBand="1"/>
      </w:tblPr>
      <w:tblGrid>
        <w:gridCol w:w="912"/>
        <w:gridCol w:w="543"/>
        <w:gridCol w:w="206"/>
        <w:gridCol w:w="1226"/>
        <w:gridCol w:w="988"/>
        <w:gridCol w:w="1088"/>
        <w:gridCol w:w="1088"/>
        <w:gridCol w:w="1123"/>
        <w:gridCol w:w="361"/>
        <w:gridCol w:w="222"/>
        <w:gridCol w:w="222"/>
        <w:gridCol w:w="2640"/>
        <w:gridCol w:w="597"/>
      </w:tblGrid>
      <w:tr w:rsidR="008A2953" w:rsidRPr="00EB5E49" w:rsidTr="00A56413">
        <w:trPr>
          <w:trHeight w:val="233"/>
        </w:trPr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2953" w:rsidRPr="00EB5E49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7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2953" w:rsidRPr="00EB5E49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12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2953" w:rsidRPr="00EB5E49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2953" w:rsidRPr="00EB5E49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1088" w:type="dxa"/>
            <w:tcBorders>
              <w:top w:val="nil"/>
              <w:left w:val="nil"/>
              <w:bottom w:val="nil"/>
              <w:right w:val="nil"/>
            </w:tcBorders>
          </w:tcPr>
          <w:p w:rsidR="008A2953" w:rsidRPr="00EB5E49" w:rsidRDefault="008A2953" w:rsidP="006A2872">
            <w:pPr>
              <w:spacing w:after="0" w:line="240" w:lineRule="auto"/>
              <w:rPr>
                <w:rFonts w:ascii="Arial" w:eastAsia="Times New Roman" w:hAnsi="Arial" w:cs="Arial"/>
                <w:color w:val="666666"/>
                <w:sz w:val="16"/>
                <w:szCs w:val="16"/>
                <w:lang w:val="en-US"/>
              </w:rPr>
            </w:pPr>
          </w:p>
        </w:tc>
        <w:tc>
          <w:tcPr>
            <w:tcW w:w="10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2953" w:rsidRPr="00EB5E49" w:rsidRDefault="008A2953" w:rsidP="006A2872">
            <w:pPr>
              <w:spacing w:after="0" w:line="240" w:lineRule="auto"/>
              <w:rPr>
                <w:rFonts w:ascii="Arial" w:eastAsia="Times New Roman" w:hAnsi="Arial" w:cs="Arial"/>
                <w:color w:val="666666"/>
                <w:sz w:val="16"/>
                <w:szCs w:val="16"/>
                <w:lang w:val="en-US"/>
              </w:rPr>
            </w:pPr>
          </w:p>
        </w:tc>
        <w:tc>
          <w:tcPr>
            <w:tcW w:w="11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2953" w:rsidRPr="00EB5E49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34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2953" w:rsidRPr="00EB5E49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2953" w:rsidRPr="00EB5E49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</w:tr>
      <w:tr w:rsidR="008A2953" w:rsidRPr="00EB5E49" w:rsidTr="00A56413">
        <w:trPr>
          <w:trHeight w:val="233"/>
        </w:trPr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2953" w:rsidRPr="00EB5E49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7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2953" w:rsidRPr="00EB5E49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12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2953" w:rsidRPr="00EB5E49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2953" w:rsidRPr="00EB5E49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1088" w:type="dxa"/>
            <w:tcBorders>
              <w:top w:val="nil"/>
              <w:left w:val="nil"/>
              <w:bottom w:val="nil"/>
              <w:right w:val="nil"/>
            </w:tcBorders>
          </w:tcPr>
          <w:p w:rsidR="008A2953" w:rsidRPr="00EB5E49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10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2953" w:rsidRPr="00EB5E49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11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2953" w:rsidRPr="00EB5E49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34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2953" w:rsidRPr="00EB5E49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2953" w:rsidRPr="00EB5E49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</w:tr>
      <w:tr w:rsidR="008A2953" w:rsidRPr="00EB5E49" w:rsidTr="00A56413">
        <w:trPr>
          <w:trHeight w:val="233"/>
        </w:trPr>
        <w:tc>
          <w:tcPr>
            <w:tcW w:w="145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A2953" w:rsidRPr="00EB5E49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</w:p>
        </w:tc>
        <w:tc>
          <w:tcPr>
            <w:tcW w:w="9164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2953" w:rsidRPr="00EB5E49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2953" w:rsidRPr="00EB5E49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</w:tr>
      <w:tr w:rsidR="008A2953" w:rsidRPr="00EB5E49" w:rsidTr="00A56413">
        <w:trPr>
          <w:trHeight w:val="233"/>
        </w:trPr>
        <w:tc>
          <w:tcPr>
            <w:tcW w:w="9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2953" w:rsidRPr="00EB5E49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7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2953" w:rsidRPr="00EB5E49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12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2953" w:rsidRPr="00EB5E49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2953" w:rsidRPr="00EB5E49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3660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8A2953" w:rsidRPr="00EB5E49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2953" w:rsidRPr="00EB5E49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2953" w:rsidRPr="00EB5E49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2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2953" w:rsidRPr="00EB5E49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2953" w:rsidRPr="00EB5E49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</w:tr>
    </w:tbl>
    <w:p w:rsidR="008A2953" w:rsidRDefault="008A2953" w:rsidP="006A2872">
      <w:pPr>
        <w:rPr>
          <w:b/>
        </w:rPr>
      </w:pPr>
    </w:p>
    <w:p w:rsidR="008A2953" w:rsidRPr="00B03168" w:rsidRDefault="008A2953" w:rsidP="006A2872">
      <w:pPr>
        <w:rPr>
          <w:b/>
        </w:rPr>
      </w:pPr>
      <w:r w:rsidRPr="00B03168">
        <w:rPr>
          <w:b/>
        </w:rPr>
        <w:t>Steps</w:t>
      </w:r>
    </w:p>
    <w:p w:rsidR="008A2953" w:rsidRDefault="008A2953" w:rsidP="006A2872">
      <w:pPr>
        <w:pStyle w:val="ListParagraph"/>
        <w:numPr>
          <w:ilvl w:val="0"/>
          <w:numId w:val="2"/>
        </w:numPr>
      </w:pPr>
      <w:r>
        <w:t>Click on below bank site</w:t>
      </w:r>
    </w:p>
    <w:p w:rsidR="006A2872" w:rsidRDefault="008A2953" w:rsidP="006A2872">
      <w:pPr>
        <w:spacing w:after="0" w:line="240" w:lineRule="auto"/>
        <w:ind w:firstLine="720"/>
      </w:pPr>
      <w:r>
        <w:t xml:space="preserve">URL: </w:t>
      </w:r>
      <w:hyperlink r:id="rId7" w:history="1">
        <w:r w:rsidR="00277B1E" w:rsidRPr="00A51355">
          <w:rPr>
            <w:rStyle w:val="Hyperlink"/>
          </w:rPr>
          <w:t>https://www.wellsfargo.com/savings-cds/rates/</w:t>
        </w:r>
      </w:hyperlink>
      <w:r w:rsidR="00277B1E">
        <w:t xml:space="preserve"> </w:t>
      </w:r>
    </w:p>
    <w:p w:rsidR="00CC0A8A" w:rsidRDefault="00CC0A8A" w:rsidP="006A2872">
      <w:pPr>
        <w:spacing w:after="0" w:line="240" w:lineRule="auto"/>
        <w:ind w:firstLine="720"/>
      </w:pPr>
    </w:p>
    <w:p w:rsidR="00277B1E" w:rsidRDefault="008A2953" w:rsidP="00277B1E">
      <w:pPr>
        <w:pStyle w:val="ListParagraph"/>
        <w:numPr>
          <w:ilvl w:val="0"/>
          <w:numId w:val="2"/>
        </w:numPr>
        <w:spacing w:after="0" w:line="240" w:lineRule="auto"/>
      </w:pPr>
      <w:r>
        <w:t>Scra</w:t>
      </w:r>
      <w:r w:rsidR="00CC0A8A">
        <w:t xml:space="preserve">pe </w:t>
      </w:r>
      <w:r w:rsidR="00277B1E">
        <w:t>the below highlighted data points</w:t>
      </w:r>
    </w:p>
    <w:p w:rsidR="00277B1E" w:rsidRDefault="00277B1E" w:rsidP="003710C4">
      <w:pPr>
        <w:spacing w:after="0" w:line="240" w:lineRule="auto"/>
        <w:ind w:left="360"/>
      </w:pPr>
    </w:p>
    <w:p w:rsidR="00277B1E" w:rsidRDefault="00277B1E" w:rsidP="00277B1E">
      <w:pPr>
        <w:spacing w:after="0" w:line="240" w:lineRule="auto"/>
      </w:pPr>
    </w:p>
    <w:p w:rsidR="00277B1E" w:rsidRDefault="00277B1E" w:rsidP="00277B1E">
      <w:pPr>
        <w:spacing w:after="0" w:line="240" w:lineRule="auto"/>
      </w:pPr>
      <w:r>
        <w:rPr>
          <w:noProof/>
          <w:lang w:eastAsia="en-IN"/>
        </w:rPr>
        <w:drawing>
          <wp:inline distT="0" distB="0" distL="0" distR="0">
            <wp:extent cx="5505450" cy="2914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953" w:rsidRDefault="008A2953" w:rsidP="006A2872">
      <w:pPr>
        <w:spacing w:after="0" w:line="240" w:lineRule="auto"/>
      </w:pPr>
    </w:p>
    <w:p w:rsidR="0052757A" w:rsidRDefault="0052757A" w:rsidP="006A2872">
      <w:pPr>
        <w:spacing w:after="0" w:line="240" w:lineRule="auto"/>
      </w:pPr>
    </w:p>
    <w:p w:rsidR="00C4133C" w:rsidRDefault="00277B1E" w:rsidP="006A2872">
      <w:pPr>
        <w:spacing w:after="0" w:line="240" w:lineRule="auto"/>
      </w:pPr>
      <w:r>
        <w:rPr>
          <w:noProof/>
          <w:lang w:eastAsia="en-IN"/>
        </w:rPr>
        <w:lastRenderedPageBreak/>
        <w:drawing>
          <wp:inline distT="0" distB="0" distL="0" distR="0" wp14:anchorId="472ED595" wp14:editId="6AC48E37">
            <wp:extent cx="5724525" cy="32956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33C" w:rsidRDefault="00C4133C" w:rsidP="006A2872">
      <w:pPr>
        <w:spacing w:after="0" w:line="240" w:lineRule="auto"/>
      </w:pPr>
    </w:p>
    <w:p w:rsidR="00C4133C" w:rsidRDefault="00C4133C" w:rsidP="006A2872">
      <w:pPr>
        <w:spacing w:after="0" w:line="240" w:lineRule="auto"/>
      </w:pPr>
    </w:p>
    <w:p w:rsidR="008A2953" w:rsidRDefault="003354B6" w:rsidP="006A2872">
      <w:pPr>
        <w:spacing w:after="0" w:line="240" w:lineRule="auto"/>
        <w:rPr>
          <w:rFonts w:ascii="Calibri" w:eastAsia="Times New Roman" w:hAnsi="Calibri" w:cs="Times New Roman"/>
          <w:noProof/>
          <w:color w:val="0563C1"/>
          <w:u w:val="single"/>
          <w:lang w:eastAsia="en-IN"/>
        </w:rPr>
      </w:pPr>
      <w:r>
        <w:rPr>
          <w:rFonts w:ascii="Calibri" w:eastAsia="Times New Roman" w:hAnsi="Calibri" w:cs="Times New Roman"/>
          <w:noProof/>
          <w:color w:val="0563C1"/>
          <w:u w:val="single"/>
          <w:lang w:eastAsia="en-IN"/>
        </w:rPr>
        <w:drawing>
          <wp:inline distT="0" distB="0" distL="0" distR="0">
            <wp:extent cx="5724525" cy="24098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4B6" w:rsidRDefault="003354B6" w:rsidP="006A2872">
      <w:pPr>
        <w:spacing w:after="0" w:line="240" w:lineRule="auto"/>
        <w:rPr>
          <w:rFonts w:ascii="Calibri" w:eastAsia="Times New Roman" w:hAnsi="Calibri" w:cs="Times New Roman"/>
          <w:noProof/>
          <w:color w:val="0563C1"/>
          <w:u w:val="single"/>
          <w:lang w:eastAsia="en-IN"/>
        </w:rPr>
      </w:pPr>
    </w:p>
    <w:p w:rsidR="003354B6" w:rsidRDefault="003354B6" w:rsidP="006A2872">
      <w:pPr>
        <w:spacing w:after="0" w:line="240" w:lineRule="auto"/>
        <w:rPr>
          <w:rFonts w:ascii="Calibri" w:eastAsia="Times New Roman" w:hAnsi="Calibri" w:cs="Times New Roman"/>
          <w:noProof/>
          <w:color w:val="0563C1"/>
          <w:u w:val="single"/>
          <w:lang w:eastAsia="en-IN"/>
        </w:rPr>
      </w:pPr>
      <w:r>
        <w:rPr>
          <w:rFonts w:ascii="Calibri" w:eastAsia="Times New Roman" w:hAnsi="Calibri" w:cs="Times New Roman"/>
          <w:noProof/>
          <w:color w:val="0563C1"/>
          <w:u w:val="single"/>
          <w:lang w:eastAsia="en-IN"/>
        </w:rPr>
        <w:lastRenderedPageBreak/>
        <w:drawing>
          <wp:inline distT="0" distB="0" distL="0" distR="0">
            <wp:extent cx="5724525" cy="47720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4B6" w:rsidRDefault="003354B6" w:rsidP="006A2872">
      <w:pPr>
        <w:spacing w:after="0" w:line="240" w:lineRule="auto"/>
        <w:rPr>
          <w:rFonts w:ascii="Calibri" w:eastAsia="Times New Roman" w:hAnsi="Calibri" w:cs="Times New Roman"/>
          <w:noProof/>
          <w:color w:val="0563C1"/>
          <w:u w:val="single"/>
          <w:lang w:eastAsia="en-IN"/>
        </w:rPr>
      </w:pPr>
    </w:p>
    <w:p w:rsidR="003354B6" w:rsidRDefault="003354B6" w:rsidP="006A2872">
      <w:pPr>
        <w:spacing w:after="0" w:line="240" w:lineRule="auto"/>
        <w:rPr>
          <w:rFonts w:ascii="Calibri" w:eastAsia="Times New Roman" w:hAnsi="Calibri" w:cs="Times New Roman"/>
          <w:noProof/>
          <w:color w:val="0563C1"/>
          <w:u w:val="single"/>
          <w:lang w:eastAsia="en-IN"/>
        </w:rPr>
      </w:pPr>
      <w:r>
        <w:rPr>
          <w:rFonts w:ascii="Calibri" w:eastAsia="Times New Roman" w:hAnsi="Calibri" w:cs="Times New Roman"/>
          <w:noProof/>
          <w:color w:val="0563C1"/>
          <w:u w:val="single"/>
          <w:lang w:eastAsia="en-IN"/>
        </w:rPr>
        <w:drawing>
          <wp:inline distT="0" distB="0" distL="0" distR="0">
            <wp:extent cx="5724525" cy="11239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B46" w:rsidRDefault="00D30B46" w:rsidP="006A2872">
      <w:pPr>
        <w:spacing w:after="0" w:line="240" w:lineRule="auto"/>
        <w:rPr>
          <w:rFonts w:ascii="Calibri" w:eastAsia="Times New Roman" w:hAnsi="Calibri" w:cs="Times New Roman"/>
          <w:noProof/>
          <w:color w:val="0563C1"/>
          <w:u w:val="single"/>
          <w:lang w:eastAsia="en-IN"/>
        </w:rPr>
      </w:pPr>
    </w:p>
    <w:p w:rsidR="00C4133C" w:rsidRDefault="00C4133C" w:rsidP="006A2872">
      <w:pPr>
        <w:spacing w:after="0" w:line="240" w:lineRule="auto"/>
        <w:rPr>
          <w:rFonts w:ascii="Calibri" w:eastAsia="Times New Roman" w:hAnsi="Calibri" w:cs="Times New Roman"/>
          <w:noProof/>
          <w:color w:val="0563C1"/>
          <w:u w:val="single"/>
          <w:lang w:eastAsia="en-IN"/>
        </w:rPr>
      </w:pPr>
    </w:p>
    <w:p w:rsidR="0001122B" w:rsidRDefault="0001122B" w:rsidP="006A2872">
      <w:pPr>
        <w:spacing w:after="0" w:line="240" w:lineRule="auto"/>
        <w:rPr>
          <w:rFonts w:ascii="Calibri" w:eastAsia="Times New Roman" w:hAnsi="Calibri" w:cs="Times New Roman"/>
          <w:noProof/>
          <w:color w:val="0563C1"/>
          <w:u w:val="single"/>
          <w:lang w:eastAsia="en-IN"/>
        </w:rPr>
      </w:pPr>
    </w:p>
    <w:p w:rsidR="0001122B" w:rsidRDefault="0001122B" w:rsidP="006A2872">
      <w:pPr>
        <w:spacing w:after="0" w:line="240" w:lineRule="auto"/>
        <w:rPr>
          <w:rFonts w:ascii="Calibri" w:eastAsia="Times New Roman" w:hAnsi="Calibri" w:cs="Times New Roman"/>
          <w:noProof/>
          <w:color w:val="0563C1"/>
          <w:u w:val="single"/>
          <w:lang w:eastAsia="en-IN"/>
        </w:rPr>
      </w:pPr>
    </w:p>
    <w:p w:rsidR="0001122B" w:rsidRDefault="0001122B" w:rsidP="006A2872">
      <w:pPr>
        <w:spacing w:after="0" w:line="240" w:lineRule="auto"/>
        <w:rPr>
          <w:rFonts w:ascii="Calibri" w:eastAsia="Times New Roman" w:hAnsi="Calibri" w:cs="Times New Roman"/>
          <w:b/>
          <w:noProof/>
          <w:color w:val="0563C1"/>
          <w:u w:val="single"/>
          <w:lang w:eastAsia="en-IN"/>
        </w:rPr>
      </w:pPr>
      <w:r w:rsidRPr="0001122B">
        <w:rPr>
          <w:rFonts w:ascii="Calibri" w:eastAsia="Times New Roman" w:hAnsi="Calibri" w:cs="Times New Roman"/>
          <w:b/>
          <w:noProof/>
          <w:color w:val="0563C1"/>
          <w:u w:val="single"/>
          <w:lang w:eastAsia="en-IN"/>
        </w:rPr>
        <w:t>Checking Accounts</w:t>
      </w:r>
    </w:p>
    <w:p w:rsidR="0001122B" w:rsidRDefault="0001122B" w:rsidP="006A2872">
      <w:pPr>
        <w:spacing w:after="0" w:line="240" w:lineRule="auto"/>
        <w:rPr>
          <w:rFonts w:ascii="Calibri" w:eastAsia="Times New Roman" w:hAnsi="Calibri" w:cs="Times New Roman"/>
          <w:b/>
          <w:noProof/>
          <w:color w:val="0563C1"/>
          <w:u w:val="single"/>
          <w:lang w:eastAsia="en-IN"/>
        </w:rPr>
      </w:pPr>
    </w:p>
    <w:p w:rsidR="0001122B" w:rsidRDefault="0001122B" w:rsidP="006A2872">
      <w:pPr>
        <w:spacing w:after="0" w:line="240" w:lineRule="auto"/>
        <w:rPr>
          <w:rFonts w:ascii="Calibri" w:eastAsia="Times New Roman" w:hAnsi="Calibri" w:cs="Times New Roman"/>
          <w:b/>
          <w:noProof/>
          <w:color w:val="0563C1"/>
          <w:lang w:eastAsia="en-IN"/>
        </w:rPr>
      </w:pPr>
    </w:p>
    <w:p w:rsidR="0001122B" w:rsidRDefault="0001122B" w:rsidP="0001122B">
      <w:pPr>
        <w:rPr>
          <w:b/>
        </w:rPr>
      </w:pPr>
    </w:p>
    <w:p w:rsidR="0001122B" w:rsidRDefault="0001122B" w:rsidP="0001122B">
      <w:pPr>
        <w:rPr>
          <w:b/>
        </w:rPr>
      </w:pPr>
    </w:p>
    <w:p w:rsidR="0001122B" w:rsidRDefault="0001122B" w:rsidP="0001122B">
      <w:pPr>
        <w:rPr>
          <w:b/>
        </w:rPr>
      </w:pPr>
    </w:p>
    <w:tbl>
      <w:tblPr>
        <w:tblW w:w="10817" w:type="dxa"/>
        <w:tblInd w:w="-88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0"/>
        <w:gridCol w:w="863"/>
        <w:gridCol w:w="917"/>
        <w:gridCol w:w="1240"/>
        <w:gridCol w:w="919"/>
        <w:gridCol w:w="680"/>
        <w:gridCol w:w="686"/>
        <w:gridCol w:w="760"/>
        <w:gridCol w:w="722"/>
        <w:gridCol w:w="774"/>
        <w:gridCol w:w="1072"/>
        <w:gridCol w:w="967"/>
        <w:gridCol w:w="577"/>
      </w:tblGrid>
      <w:tr w:rsidR="0001122B" w:rsidRPr="00283DA7" w:rsidTr="00CF1593">
        <w:trPr>
          <w:trHeight w:val="719"/>
        </w:trPr>
        <w:tc>
          <w:tcPr>
            <w:tcW w:w="640" w:type="dxa"/>
            <w:shd w:val="clear" w:color="000000" w:fill="FFC000"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eastAsia="en-IN"/>
              </w:rPr>
              <w:t>Date</w:t>
            </w:r>
          </w:p>
        </w:tc>
        <w:tc>
          <w:tcPr>
            <w:tcW w:w="863" w:type="dxa"/>
            <w:shd w:val="clear" w:color="000000" w:fill="FFC000"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eastAsia="en-IN"/>
              </w:rPr>
              <w:t>Bank Name</w:t>
            </w:r>
          </w:p>
        </w:tc>
        <w:tc>
          <w:tcPr>
            <w:tcW w:w="917" w:type="dxa"/>
            <w:shd w:val="clear" w:color="000000" w:fill="FFC000"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IN"/>
              </w:rPr>
              <w:t xml:space="preserve">Interest Type </w:t>
            </w:r>
          </w:p>
        </w:tc>
        <w:tc>
          <w:tcPr>
            <w:tcW w:w="1240" w:type="dxa"/>
            <w:shd w:val="clear" w:color="000000" w:fill="FFC000"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IN"/>
              </w:rPr>
              <w:t>Repayment Method</w:t>
            </w:r>
          </w:p>
        </w:tc>
        <w:tc>
          <w:tcPr>
            <w:tcW w:w="919" w:type="dxa"/>
            <w:shd w:val="clear" w:color="000000" w:fill="FFC000"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Loan amount</w:t>
            </w:r>
          </w:p>
        </w:tc>
        <w:tc>
          <w:tcPr>
            <w:tcW w:w="680" w:type="dxa"/>
            <w:shd w:val="clear" w:color="000000" w:fill="FFC000"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State</w:t>
            </w:r>
          </w:p>
        </w:tc>
        <w:tc>
          <w:tcPr>
            <w:tcW w:w="686" w:type="dxa"/>
            <w:shd w:val="clear" w:color="000000" w:fill="FFC000"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IN"/>
              </w:rPr>
              <w:t>Loan Term</w:t>
            </w:r>
          </w:p>
        </w:tc>
        <w:tc>
          <w:tcPr>
            <w:tcW w:w="760" w:type="dxa"/>
            <w:shd w:val="clear" w:color="000000" w:fill="FFC000"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Credit Score</w:t>
            </w:r>
          </w:p>
        </w:tc>
        <w:tc>
          <w:tcPr>
            <w:tcW w:w="722" w:type="dxa"/>
            <w:shd w:val="clear" w:color="000000" w:fill="FFC000"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 xml:space="preserve">Loan to Value </w:t>
            </w: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lastRenderedPageBreak/>
              <w:t>Ratio</w:t>
            </w:r>
            <w:r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 xml:space="preserve"> (LTV)</w:t>
            </w:r>
          </w:p>
        </w:tc>
        <w:tc>
          <w:tcPr>
            <w:tcW w:w="774" w:type="dxa"/>
            <w:shd w:val="clear" w:color="000000" w:fill="FFC000"/>
            <w:noWrap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lastRenderedPageBreak/>
              <w:t>Loan Type</w:t>
            </w:r>
          </w:p>
        </w:tc>
        <w:tc>
          <w:tcPr>
            <w:tcW w:w="1072" w:type="dxa"/>
            <w:shd w:val="clear" w:color="000000" w:fill="FFC000"/>
            <w:noWrap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Product Name</w:t>
            </w:r>
          </w:p>
        </w:tc>
        <w:tc>
          <w:tcPr>
            <w:tcW w:w="967" w:type="dxa"/>
            <w:shd w:val="clear" w:color="000000" w:fill="FFC000"/>
            <w:noWrap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Interest Rate</w:t>
            </w:r>
          </w:p>
        </w:tc>
        <w:tc>
          <w:tcPr>
            <w:tcW w:w="577" w:type="dxa"/>
            <w:shd w:val="clear" w:color="000000" w:fill="FFC000"/>
            <w:noWrap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APR</w:t>
            </w:r>
          </w:p>
        </w:tc>
      </w:tr>
      <w:tr w:rsidR="0001122B" w:rsidRPr="00283DA7" w:rsidTr="00CF1593">
        <w:trPr>
          <w:trHeight w:val="235"/>
        </w:trPr>
        <w:tc>
          <w:tcPr>
            <w:tcW w:w="640" w:type="dxa"/>
            <w:shd w:val="clear" w:color="auto" w:fill="auto"/>
            <w:noWrap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863" w:type="dxa"/>
            <w:shd w:val="clear" w:color="auto" w:fill="auto"/>
            <w:noWrap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917" w:type="dxa"/>
            <w:shd w:val="clear" w:color="auto" w:fill="auto"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919" w:type="dxa"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en-IN"/>
              </w:rPr>
            </w:pPr>
          </w:p>
        </w:tc>
        <w:tc>
          <w:tcPr>
            <w:tcW w:w="680" w:type="dxa"/>
            <w:shd w:val="clear" w:color="auto" w:fill="auto"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686" w:type="dxa"/>
            <w:shd w:val="clear" w:color="auto" w:fill="auto"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760" w:type="dxa"/>
            <w:shd w:val="clear" w:color="auto" w:fill="auto"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722" w:type="dxa"/>
            <w:shd w:val="clear" w:color="auto" w:fill="auto"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774" w:type="dxa"/>
            <w:shd w:val="clear" w:color="auto" w:fill="auto"/>
            <w:noWrap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1072" w:type="dxa"/>
            <w:shd w:val="clear" w:color="auto" w:fill="auto"/>
            <w:noWrap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967" w:type="dxa"/>
            <w:shd w:val="clear" w:color="auto" w:fill="auto"/>
            <w:noWrap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577" w:type="dxa"/>
            <w:shd w:val="clear" w:color="auto" w:fill="auto"/>
            <w:noWrap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</w:tr>
      <w:tr w:rsidR="0001122B" w:rsidRPr="00283DA7" w:rsidTr="00CF1593">
        <w:trPr>
          <w:trHeight w:val="235"/>
        </w:trPr>
        <w:tc>
          <w:tcPr>
            <w:tcW w:w="640" w:type="dxa"/>
            <w:shd w:val="clear" w:color="auto" w:fill="auto"/>
            <w:noWrap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863" w:type="dxa"/>
            <w:shd w:val="clear" w:color="auto" w:fill="auto"/>
            <w:noWrap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917" w:type="dxa"/>
            <w:shd w:val="clear" w:color="auto" w:fill="auto"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919" w:type="dxa"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en-IN"/>
              </w:rPr>
            </w:pPr>
          </w:p>
        </w:tc>
        <w:tc>
          <w:tcPr>
            <w:tcW w:w="680" w:type="dxa"/>
            <w:shd w:val="clear" w:color="auto" w:fill="auto"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686" w:type="dxa"/>
            <w:shd w:val="clear" w:color="auto" w:fill="auto"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760" w:type="dxa"/>
            <w:shd w:val="clear" w:color="auto" w:fill="auto"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722" w:type="dxa"/>
            <w:shd w:val="clear" w:color="auto" w:fill="auto"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774" w:type="dxa"/>
            <w:shd w:val="clear" w:color="auto" w:fill="auto"/>
            <w:noWrap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1072" w:type="dxa"/>
            <w:shd w:val="clear" w:color="auto" w:fill="auto"/>
            <w:noWrap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967" w:type="dxa"/>
            <w:shd w:val="clear" w:color="auto" w:fill="auto"/>
            <w:noWrap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577" w:type="dxa"/>
            <w:shd w:val="clear" w:color="auto" w:fill="auto"/>
            <w:noWrap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</w:tr>
      <w:tr w:rsidR="0001122B" w:rsidRPr="00283DA7" w:rsidTr="00CF1593">
        <w:trPr>
          <w:trHeight w:val="235"/>
        </w:trPr>
        <w:tc>
          <w:tcPr>
            <w:tcW w:w="640" w:type="dxa"/>
            <w:shd w:val="clear" w:color="auto" w:fill="auto"/>
            <w:noWrap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863" w:type="dxa"/>
            <w:shd w:val="clear" w:color="auto" w:fill="auto"/>
            <w:noWrap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917" w:type="dxa"/>
            <w:shd w:val="clear" w:color="auto" w:fill="auto"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919" w:type="dxa"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en-IN"/>
              </w:rPr>
            </w:pPr>
          </w:p>
        </w:tc>
        <w:tc>
          <w:tcPr>
            <w:tcW w:w="680" w:type="dxa"/>
            <w:shd w:val="clear" w:color="auto" w:fill="auto"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686" w:type="dxa"/>
            <w:shd w:val="clear" w:color="auto" w:fill="auto"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760" w:type="dxa"/>
            <w:shd w:val="clear" w:color="auto" w:fill="auto"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722" w:type="dxa"/>
            <w:shd w:val="clear" w:color="auto" w:fill="auto"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774" w:type="dxa"/>
            <w:shd w:val="clear" w:color="auto" w:fill="auto"/>
            <w:noWrap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1072" w:type="dxa"/>
            <w:shd w:val="clear" w:color="auto" w:fill="auto"/>
            <w:noWrap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967" w:type="dxa"/>
            <w:shd w:val="clear" w:color="auto" w:fill="auto"/>
            <w:noWrap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577" w:type="dxa"/>
            <w:shd w:val="clear" w:color="auto" w:fill="auto"/>
            <w:noWrap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</w:tr>
      <w:tr w:rsidR="0001122B" w:rsidRPr="00283DA7" w:rsidTr="00CF1593">
        <w:trPr>
          <w:trHeight w:val="235"/>
        </w:trPr>
        <w:tc>
          <w:tcPr>
            <w:tcW w:w="640" w:type="dxa"/>
            <w:shd w:val="clear" w:color="auto" w:fill="auto"/>
            <w:noWrap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863" w:type="dxa"/>
            <w:shd w:val="clear" w:color="auto" w:fill="auto"/>
            <w:noWrap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917" w:type="dxa"/>
            <w:shd w:val="clear" w:color="auto" w:fill="auto"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919" w:type="dxa"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en-IN"/>
              </w:rPr>
            </w:pPr>
          </w:p>
        </w:tc>
        <w:tc>
          <w:tcPr>
            <w:tcW w:w="680" w:type="dxa"/>
            <w:shd w:val="clear" w:color="auto" w:fill="auto"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686" w:type="dxa"/>
            <w:shd w:val="clear" w:color="auto" w:fill="auto"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760" w:type="dxa"/>
            <w:shd w:val="clear" w:color="auto" w:fill="auto"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722" w:type="dxa"/>
            <w:shd w:val="clear" w:color="auto" w:fill="auto"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774" w:type="dxa"/>
            <w:shd w:val="clear" w:color="auto" w:fill="auto"/>
            <w:noWrap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1072" w:type="dxa"/>
            <w:shd w:val="clear" w:color="auto" w:fill="auto"/>
            <w:noWrap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967" w:type="dxa"/>
            <w:shd w:val="clear" w:color="auto" w:fill="auto"/>
            <w:noWrap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577" w:type="dxa"/>
            <w:shd w:val="clear" w:color="auto" w:fill="auto"/>
            <w:noWrap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</w:tr>
      <w:tr w:rsidR="0001122B" w:rsidRPr="00283DA7" w:rsidTr="00CF1593">
        <w:trPr>
          <w:trHeight w:val="247"/>
        </w:trPr>
        <w:tc>
          <w:tcPr>
            <w:tcW w:w="640" w:type="dxa"/>
            <w:shd w:val="clear" w:color="auto" w:fill="auto"/>
            <w:noWrap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863" w:type="dxa"/>
            <w:shd w:val="clear" w:color="auto" w:fill="auto"/>
            <w:noWrap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917" w:type="dxa"/>
            <w:shd w:val="clear" w:color="auto" w:fill="auto"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1240" w:type="dxa"/>
            <w:shd w:val="clear" w:color="auto" w:fill="auto"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919" w:type="dxa"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en-IN"/>
              </w:rPr>
            </w:pPr>
          </w:p>
        </w:tc>
        <w:tc>
          <w:tcPr>
            <w:tcW w:w="680" w:type="dxa"/>
            <w:shd w:val="clear" w:color="auto" w:fill="auto"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686" w:type="dxa"/>
            <w:shd w:val="clear" w:color="auto" w:fill="auto"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760" w:type="dxa"/>
            <w:shd w:val="clear" w:color="auto" w:fill="auto"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722" w:type="dxa"/>
            <w:shd w:val="clear" w:color="auto" w:fill="auto"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774" w:type="dxa"/>
            <w:shd w:val="clear" w:color="auto" w:fill="auto"/>
            <w:noWrap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1072" w:type="dxa"/>
            <w:shd w:val="clear" w:color="auto" w:fill="auto"/>
            <w:noWrap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967" w:type="dxa"/>
            <w:shd w:val="clear" w:color="auto" w:fill="auto"/>
            <w:noWrap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  <w:tc>
          <w:tcPr>
            <w:tcW w:w="577" w:type="dxa"/>
            <w:shd w:val="clear" w:color="auto" w:fill="auto"/>
            <w:noWrap/>
            <w:vAlign w:val="center"/>
            <w:hideMark/>
          </w:tcPr>
          <w:p w:rsidR="0001122B" w:rsidRPr="00283DA7" w:rsidRDefault="0001122B" w:rsidP="00CF159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n-IN"/>
              </w:rPr>
            </w:pPr>
            <w:r w:rsidRPr="00283DA7">
              <w:rPr>
                <w:rFonts w:ascii="Calibri" w:eastAsia="Times New Roman" w:hAnsi="Calibri" w:cs="Times New Roman"/>
                <w:color w:val="000000"/>
                <w:lang w:val="en-US" w:eastAsia="en-IN"/>
              </w:rPr>
              <w:t> </w:t>
            </w:r>
          </w:p>
        </w:tc>
      </w:tr>
    </w:tbl>
    <w:p w:rsidR="0001122B" w:rsidRDefault="0001122B" w:rsidP="006A2872">
      <w:pPr>
        <w:spacing w:after="0" w:line="240" w:lineRule="auto"/>
        <w:rPr>
          <w:rFonts w:ascii="Calibri" w:eastAsia="Times New Roman" w:hAnsi="Calibri" w:cs="Times New Roman"/>
          <w:b/>
          <w:noProof/>
          <w:color w:val="0563C1"/>
          <w:lang w:eastAsia="en-IN"/>
        </w:rPr>
      </w:pPr>
    </w:p>
    <w:p w:rsidR="0001122B" w:rsidRDefault="009A00F5" w:rsidP="0001122B">
      <w:pPr>
        <w:spacing w:after="0" w:line="240" w:lineRule="auto"/>
        <w:rPr>
          <w:rFonts w:ascii="Calibri" w:eastAsia="Times New Roman" w:hAnsi="Calibri" w:cs="Times New Roman"/>
          <w:b/>
          <w:noProof/>
          <w:color w:val="0563C1"/>
          <w:lang w:eastAsia="en-IN"/>
        </w:rPr>
      </w:pPr>
      <w:hyperlink r:id="rId13" w:history="1">
        <w:r w:rsidR="0001122B" w:rsidRPr="00A51355">
          <w:rPr>
            <w:rStyle w:val="Hyperlink"/>
            <w:rFonts w:ascii="Calibri" w:eastAsia="Times New Roman" w:hAnsi="Calibri" w:cs="Times New Roman"/>
            <w:b/>
            <w:noProof/>
            <w:lang w:eastAsia="en-IN"/>
          </w:rPr>
          <w:t>https://www.wellsfargo.com/checking/everyday/</w:t>
        </w:r>
      </w:hyperlink>
      <w:r w:rsidR="0001122B">
        <w:rPr>
          <w:rFonts w:ascii="Calibri" w:eastAsia="Times New Roman" w:hAnsi="Calibri" w:cs="Times New Roman"/>
          <w:b/>
          <w:noProof/>
          <w:color w:val="0563C1"/>
          <w:lang w:eastAsia="en-IN"/>
        </w:rPr>
        <w:t xml:space="preserve"> </w:t>
      </w:r>
    </w:p>
    <w:p w:rsidR="0001122B" w:rsidRDefault="0001122B" w:rsidP="006A2872">
      <w:pPr>
        <w:spacing w:after="0" w:line="240" w:lineRule="auto"/>
        <w:rPr>
          <w:rFonts w:ascii="Calibri" w:eastAsia="Times New Roman" w:hAnsi="Calibri" w:cs="Times New Roman"/>
          <w:b/>
          <w:noProof/>
          <w:color w:val="0563C1"/>
          <w:lang w:eastAsia="en-IN"/>
        </w:rPr>
      </w:pPr>
    </w:p>
    <w:p w:rsidR="0001122B" w:rsidRPr="0001122B" w:rsidRDefault="0001122B" w:rsidP="006A2872">
      <w:pPr>
        <w:spacing w:after="0" w:line="240" w:lineRule="auto"/>
        <w:rPr>
          <w:rFonts w:ascii="Calibri" w:eastAsia="Times New Roman" w:hAnsi="Calibri" w:cs="Times New Roman"/>
          <w:b/>
          <w:noProof/>
          <w:color w:val="0563C1"/>
          <w:lang w:eastAsia="en-IN"/>
        </w:rPr>
      </w:pPr>
      <w:r>
        <w:rPr>
          <w:rFonts w:ascii="Calibri" w:eastAsia="Times New Roman" w:hAnsi="Calibri" w:cs="Times New Roman"/>
          <w:b/>
          <w:noProof/>
          <w:color w:val="0563C1"/>
          <w:lang w:eastAsia="en-IN"/>
        </w:rPr>
        <w:drawing>
          <wp:inline distT="0" distB="0" distL="0" distR="0">
            <wp:extent cx="6076950" cy="34385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22B" w:rsidRDefault="0001122B" w:rsidP="006A2872">
      <w:pPr>
        <w:spacing w:after="0" w:line="240" w:lineRule="auto"/>
        <w:rPr>
          <w:rFonts w:ascii="Calibri" w:eastAsia="Times New Roman" w:hAnsi="Calibri" w:cs="Times New Roman"/>
          <w:color w:val="0563C1"/>
          <w:u w:val="single"/>
          <w:lang w:eastAsia="en-IN"/>
        </w:rPr>
      </w:pPr>
    </w:p>
    <w:p w:rsidR="004214D4" w:rsidRDefault="004214D4" w:rsidP="006A2872">
      <w:pPr>
        <w:spacing w:after="0" w:line="240" w:lineRule="auto"/>
        <w:rPr>
          <w:rFonts w:ascii="Calibri" w:eastAsia="Times New Roman" w:hAnsi="Calibri" w:cs="Times New Roman"/>
          <w:color w:val="0563C1"/>
          <w:u w:val="single"/>
          <w:lang w:eastAsia="en-IN"/>
        </w:rPr>
      </w:pPr>
      <w:r w:rsidRPr="004214D4">
        <w:rPr>
          <w:rFonts w:ascii="Calibri" w:eastAsia="Times New Roman" w:hAnsi="Calibri" w:cs="Times New Roman"/>
          <w:color w:val="0563C1"/>
          <w:u w:val="single"/>
          <w:lang w:eastAsia="en-IN"/>
        </w:rPr>
        <w:t>https://www.wellsfargo.com/checking/preferred/</w:t>
      </w:r>
    </w:p>
    <w:p w:rsidR="004214D4" w:rsidRDefault="004214D4" w:rsidP="006A2872">
      <w:pPr>
        <w:spacing w:after="0" w:line="240" w:lineRule="auto"/>
        <w:rPr>
          <w:rFonts w:ascii="Calibri" w:eastAsia="Times New Roman" w:hAnsi="Calibri" w:cs="Times New Roman"/>
          <w:color w:val="0563C1"/>
          <w:u w:val="single"/>
          <w:lang w:eastAsia="en-IN"/>
        </w:rPr>
      </w:pPr>
    </w:p>
    <w:p w:rsidR="004214D4" w:rsidRDefault="004214D4" w:rsidP="006A2872">
      <w:pPr>
        <w:spacing w:after="0" w:line="240" w:lineRule="auto"/>
        <w:rPr>
          <w:rFonts w:ascii="Calibri" w:eastAsia="Times New Roman" w:hAnsi="Calibri" w:cs="Times New Roman"/>
          <w:color w:val="0563C1"/>
          <w:u w:val="single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7BC50AD9" wp14:editId="58EAD053">
            <wp:extent cx="5731510" cy="4539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4D4" w:rsidRDefault="004214D4" w:rsidP="006A2872">
      <w:pPr>
        <w:spacing w:after="0" w:line="240" w:lineRule="auto"/>
        <w:rPr>
          <w:rFonts w:ascii="Calibri" w:eastAsia="Times New Roman" w:hAnsi="Calibri" w:cs="Times New Roman"/>
          <w:color w:val="0563C1"/>
          <w:u w:val="single"/>
          <w:lang w:eastAsia="en-IN"/>
        </w:rPr>
      </w:pPr>
    </w:p>
    <w:p w:rsidR="003F095B" w:rsidRDefault="003F095B" w:rsidP="006A2872">
      <w:pPr>
        <w:spacing w:after="0" w:line="240" w:lineRule="auto"/>
        <w:rPr>
          <w:rFonts w:ascii="Calibri" w:eastAsia="Times New Roman" w:hAnsi="Calibri" w:cs="Times New Roman"/>
          <w:color w:val="0563C1"/>
          <w:u w:val="single"/>
          <w:lang w:eastAsia="en-IN"/>
        </w:rPr>
      </w:pPr>
    </w:p>
    <w:p w:rsidR="003F095B" w:rsidRDefault="003F095B" w:rsidP="006A2872">
      <w:pPr>
        <w:spacing w:after="0" w:line="240" w:lineRule="auto"/>
        <w:rPr>
          <w:rFonts w:ascii="Calibri" w:eastAsia="Times New Roman" w:hAnsi="Calibri" w:cs="Times New Roman"/>
          <w:color w:val="0563C1"/>
          <w:u w:val="single"/>
          <w:lang w:eastAsia="en-IN"/>
        </w:rPr>
      </w:pPr>
    </w:p>
    <w:p w:rsidR="004214D4" w:rsidRDefault="009A00F5" w:rsidP="006A2872">
      <w:pPr>
        <w:spacing w:after="0" w:line="240" w:lineRule="auto"/>
        <w:rPr>
          <w:rFonts w:ascii="Calibri" w:eastAsia="Times New Roman" w:hAnsi="Calibri" w:cs="Times New Roman"/>
          <w:color w:val="0563C1"/>
          <w:u w:val="single"/>
          <w:lang w:eastAsia="en-IN"/>
        </w:rPr>
      </w:pPr>
      <w:hyperlink r:id="rId16" w:history="1">
        <w:r w:rsidR="003F095B" w:rsidRPr="00A51355">
          <w:rPr>
            <w:rStyle w:val="Hyperlink"/>
            <w:rFonts w:ascii="Calibri" w:eastAsia="Times New Roman" w:hAnsi="Calibri" w:cs="Times New Roman"/>
            <w:lang w:eastAsia="en-IN"/>
          </w:rPr>
          <w:t>https://www.wellsfargo.com/checking/portfolio/</w:t>
        </w:r>
      </w:hyperlink>
    </w:p>
    <w:p w:rsidR="003F095B" w:rsidRDefault="003F095B" w:rsidP="006A2872">
      <w:pPr>
        <w:spacing w:after="0" w:line="240" w:lineRule="auto"/>
        <w:rPr>
          <w:rFonts w:ascii="Calibri" w:eastAsia="Times New Roman" w:hAnsi="Calibri" w:cs="Times New Roman"/>
          <w:color w:val="0563C1"/>
          <w:u w:val="single"/>
          <w:lang w:eastAsia="en-IN"/>
        </w:rPr>
      </w:pPr>
    </w:p>
    <w:p w:rsidR="003F095B" w:rsidRDefault="003F095B" w:rsidP="006A2872">
      <w:pPr>
        <w:spacing w:after="0" w:line="240" w:lineRule="auto"/>
        <w:rPr>
          <w:rFonts w:ascii="Calibri" w:eastAsia="Times New Roman" w:hAnsi="Calibri" w:cs="Times New Roman"/>
          <w:color w:val="0563C1"/>
          <w:u w:val="single"/>
          <w:lang w:eastAsia="en-IN"/>
        </w:rPr>
      </w:pPr>
      <w:r>
        <w:rPr>
          <w:rFonts w:ascii="Calibri" w:eastAsia="Times New Roman" w:hAnsi="Calibri" w:cs="Times New Roman"/>
          <w:noProof/>
          <w:color w:val="0563C1"/>
          <w:u w:val="single"/>
          <w:lang w:eastAsia="en-IN"/>
        </w:rPr>
        <w:lastRenderedPageBreak/>
        <w:drawing>
          <wp:inline distT="0" distB="0" distL="0" distR="0">
            <wp:extent cx="5257800" cy="37621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7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95B" w:rsidRDefault="003F095B" w:rsidP="006A2872">
      <w:pPr>
        <w:spacing w:after="0" w:line="240" w:lineRule="auto"/>
        <w:rPr>
          <w:rFonts w:ascii="Calibri" w:eastAsia="Times New Roman" w:hAnsi="Calibri" w:cs="Times New Roman"/>
          <w:color w:val="0563C1"/>
          <w:u w:val="single"/>
          <w:lang w:eastAsia="en-IN"/>
        </w:rPr>
      </w:pPr>
    </w:p>
    <w:p w:rsidR="003F095B" w:rsidRDefault="003F095B" w:rsidP="006A2872">
      <w:pPr>
        <w:spacing w:after="0" w:line="240" w:lineRule="auto"/>
        <w:rPr>
          <w:rFonts w:ascii="Calibri" w:eastAsia="Times New Roman" w:hAnsi="Calibri" w:cs="Times New Roman"/>
          <w:color w:val="0563C1"/>
          <w:u w:val="single"/>
          <w:lang w:eastAsia="en-IN"/>
        </w:rPr>
      </w:pPr>
    </w:p>
    <w:p w:rsidR="003F095B" w:rsidRDefault="009A00F5" w:rsidP="006A2872">
      <w:pPr>
        <w:spacing w:after="0" w:line="240" w:lineRule="auto"/>
        <w:rPr>
          <w:rFonts w:ascii="Calibri" w:eastAsia="Times New Roman" w:hAnsi="Calibri" w:cs="Times New Roman"/>
          <w:color w:val="0563C1"/>
          <w:u w:val="single"/>
          <w:lang w:eastAsia="en-IN"/>
        </w:rPr>
      </w:pPr>
      <w:hyperlink r:id="rId18" w:history="1">
        <w:r w:rsidR="003F095B" w:rsidRPr="00A51355">
          <w:rPr>
            <w:rStyle w:val="Hyperlink"/>
            <w:rFonts w:ascii="Calibri" w:eastAsia="Times New Roman" w:hAnsi="Calibri" w:cs="Times New Roman"/>
            <w:lang w:eastAsia="en-IN"/>
          </w:rPr>
          <w:t>https://www.wellsfargo.com/checking/opportunity/</w:t>
        </w:r>
      </w:hyperlink>
    </w:p>
    <w:p w:rsidR="003F095B" w:rsidRDefault="003F095B" w:rsidP="006A2872">
      <w:pPr>
        <w:spacing w:after="0" w:line="240" w:lineRule="auto"/>
        <w:rPr>
          <w:rFonts w:ascii="Calibri" w:eastAsia="Times New Roman" w:hAnsi="Calibri" w:cs="Times New Roman"/>
          <w:color w:val="0563C1"/>
          <w:u w:val="single"/>
          <w:lang w:eastAsia="en-IN"/>
        </w:rPr>
      </w:pPr>
    </w:p>
    <w:p w:rsidR="003F095B" w:rsidRDefault="003F095B" w:rsidP="006A2872">
      <w:pPr>
        <w:spacing w:after="0" w:line="240" w:lineRule="auto"/>
        <w:rPr>
          <w:rFonts w:ascii="Calibri" w:eastAsia="Times New Roman" w:hAnsi="Calibri" w:cs="Times New Roman"/>
          <w:color w:val="0563C1"/>
          <w:u w:val="single"/>
          <w:lang w:eastAsia="en-IN"/>
        </w:rPr>
      </w:pPr>
      <w:r>
        <w:rPr>
          <w:rFonts w:ascii="Calibri" w:eastAsia="Times New Roman" w:hAnsi="Calibri" w:cs="Times New Roman"/>
          <w:noProof/>
          <w:color w:val="0563C1"/>
          <w:u w:val="single"/>
          <w:lang w:eastAsia="en-IN"/>
        </w:rPr>
        <w:drawing>
          <wp:inline distT="0" distB="0" distL="0" distR="0">
            <wp:extent cx="5724525" cy="37814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4D4" w:rsidRDefault="004214D4" w:rsidP="006A2872">
      <w:pPr>
        <w:spacing w:after="0" w:line="240" w:lineRule="auto"/>
        <w:rPr>
          <w:rFonts w:ascii="Calibri" w:eastAsia="Times New Roman" w:hAnsi="Calibri" w:cs="Times New Roman"/>
          <w:color w:val="0563C1"/>
          <w:u w:val="single"/>
          <w:lang w:eastAsia="en-IN"/>
        </w:rPr>
      </w:pPr>
    </w:p>
    <w:tbl>
      <w:tblPr>
        <w:tblW w:w="11807" w:type="dxa"/>
        <w:tblInd w:w="-612" w:type="dxa"/>
        <w:tblLook w:val="04A0" w:firstRow="1" w:lastRow="0" w:firstColumn="1" w:lastColumn="0" w:noHBand="0" w:noVBand="1"/>
      </w:tblPr>
      <w:tblGrid>
        <w:gridCol w:w="11043"/>
        <w:gridCol w:w="764"/>
      </w:tblGrid>
      <w:tr w:rsidR="008A2953" w:rsidRPr="00EB5E49" w:rsidTr="002737B3">
        <w:trPr>
          <w:trHeight w:val="300"/>
        </w:trPr>
        <w:tc>
          <w:tcPr>
            <w:tcW w:w="110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2953" w:rsidRPr="004A0130" w:rsidRDefault="008A2953" w:rsidP="006A2872">
            <w:pPr>
              <w:rPr>
                <w:rFonts w:ascii="Arial" w:hAnsi="Arial" w:cs="Arial"/>
                <w:color w:val="009CFF"/>
                <w:sz w:val="60"/>
                <w:szCs w:val="60"/>
              </w:rPr>
            </w:pPr>
            <w:r w:rsidRPr="004A0130">
              <w:rPr>
                <w:rFonts w:ascii="Arial" w:hAnsi="Arial" w:cs="Arial"/>
                <w:color w:val="009CFF"/>
                <w:sz w:val="60"/>
                <w:szCs w:val="60"/>
              </w:rPr>
              <w:lastRenderedPageBreak/>
              <w:t>Work 2: Capturing Mortgage data</w:t>
            </w:r>
          </w:p>
          <w:p w:rsidR="00CE0496" w:rsidRDefault="00CE0496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</w:p>
          <w:p w:rsidR="008A2953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</w:p>
          <w:p w:rsidR="008A2953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  <w:t>Captur</w:t>
            </w:r>
            <w:r w:rsidR="003259CB"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  <w:t>e data for both Mortgage and</w:t>
            </w:r>
            <w:r w:rsidR="00280522"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  <w:t xml:space="preserve"> Refinance along with any other 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  <w:t xml:space="preserve">additional data </w:t>
            </w:r>
            <w:r w:rsidR="00280522"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  <w:t>as per below</w:t>
            </w:r>
          </w:p>
          <w:p w:rsidR="008A2953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</w:p>
          <w:p w:rsidR="008A2953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</w:p>
          <w:p w:rsidR="00280522" w:rsidRDefault="00280522" w:rsidP="00280522">
            <w:pPr>
              <w:rPr>
                <w:b/>
              </w:rPr>
            </w:pPr>
            <w:r>
              <w:rPr>
                <w:b/>
              </w:rPr>
              <w:t xml:space="preserve">Scarped Data Format (File Name - </w:t>
            </w:r>
            <w:proofErr w:type="spellStart"/>
            <w:r w:rsidR="003259CB">
              <w:rPr>
                <w:b/>
              </w:rPr>
              <w:t>WellsF</w:t>
            </w:r>
            <w:r>
              <w:rPr>
                <w:b/>
              </w:rPr>
              <w:t>_Data_Mortgage</w:t>
            </w:r>
            <w:proofErr w:type="spellEnd"/>
            <w:r>
              <w:rPr>
                <w:b/>
              </w:rPr>
              <w:t>_&lt;MM_DD_YYYY&gt;.csv)</w:t>
            </w:r>
          </w:p>
          <w:p w:rsidR="00280522" w:rsidRDefault="00280522" w:rsidP="00280522">
            <w:pPr>
              <w:rPr>
                <w:b/>
              </w:rPr>
            </w:pPr>
          </w:p>
          <w:tbl>
            <w:tblPr>
              <w:tblW w:w="1033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640"/>
              <w:gridCol w:w="863"/>
              <w:gridCol w:w="917"/>
              <w:gridCol w:w="1240"/>
              <w:gridCol w:w="919"/>
              <w:gridCol w:w="680"/>
              <w:gridCol w:w="686"/>
              <w:gridCol w:w="760"/>
              <w:gridCol w:w="722"/>
              <w:gridCol w:w="774"/>
              <w:gridCol w:w="1072"/>
              <w:gridCol w:w="967"/>
              <w:gridCol w:w="577"/>
            </w:tblGrid>
            <w:tr w:rsidR="00CE0496" w:rsidRPr="00283DA7" w:rsidTr="00357A56">
              <w:trPr>
                <w:trHeight w:val="719"/>
              </w:trPr>
              <w:tc>
                <w:tcPr>
                  <w:tcW w:w="640" w:type="dxa"/>
                  <w:shd w:val="clear" w:color="000000" w:fill="FFC000"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  <w:t>Date</w:t>
                  </w:r>
                </w:p>
              </w:tc>
              <w:tc>
                <w:tcPr>
                  <w:tcW w:w="863" w:type="dxa"/>
                  <w:shd w:val="clear" w:color="000000" w:fill="FFC000"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  <w:t>Bank Name</w:t>
                  </w:r>
                </w:p>
              </w:tc>
              <w:tc>
                <w:tcPr>
                  <w:tcW w:w="1010" w:type="dxa"/>
                  <w:shd w:val="clear" w:color="000000" w:fill="FFC000"/>
                  <w:vAlign w:val="center"/>
                  <w:hideMark/>
                </w:tcPr>
                <w:p w:rsidR="00357A56" w:rsidRPr="00283DA7" w:rsidRDefault="00CE049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  <w:t xml:space="preserve">Interest Type </w:t>
                  </w:r>
                </w:p>
              </w:tc>
              <w:tc>
                <w:tcPr>
                  <w:tcW w:w="920" w:type="dxa"/>
                  <w:shd w:val="clear" w:color="000000" w:fill="FFC000"/>
                  <w:vAlign w:val="center"/>
                  <w:hideMark/>
                </w:tcPr>
                <w:p w:rsidR="00357A56" w:rsidRPr="00283DA7" w:rsidRDefault="00CE049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  <w:t>Repayment Method</w:t>
                  </w:r>
                </w:p>
              </w:tc>
              <w:tc>
                <w:tcPr>
                  <w:tcW w:w="680" w:type="dxa"/>
                  <w:shd w:val="clear" w:color="000000" w:fill="FFC000"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Loan amount</w:t>
                  </w:r>
                </w:p>
              </w:tc>
              <w:tc>
                <w:tcPr>
                  <w:tcW w:w="680" w:type="dxa"/>
                  <w:shd w:val="clear" w:color="000000" w:fill="FFC000"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State</w:t>
                  </w:r>
                </w:p>
              </w:tc>
              <w:tc>
                <w:tcPr>
                  <w:tcW w:w="558" w:type="dxa"/>
                  <w:shd w:val="clear" w:color="000000" w:fill="FFC000"/>
                  <w:vAlign w:val="center"/>
                  <w:hideMark/>
                </w:tcPr>
                <w:p w:rsidR="00357A56" w:rsidRPr="00283DA7" w:rsidRDefault="00CE049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  <w:t>Loan Term</w:t>
                  </w:r>
                </w:p>
              </w:tc>
              <w:tc>
                <w:tcPr>
                  <w:tcW w:w="778" w:type="dxa"/>
                  <w:shd w:val="clear" w:color="000000" w:fill="FFC000"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Credit Score</w:t>
                  </w:r>
                </w:p>
              </w:tc>
              <w:tc>
                <w:tcPr>
                  <w:tcW w:w="819" w:type="dxa"/>
                  <w:shd w:val="clear" w:color="000000" w:fill="FFC000"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Loan to Value Ratio</w:t>
                  </w:r>
                  <w:r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 xml:space="preserve"> (LTV)</w:t>
                  </w:r>
                </w:p>
              </w:tc>
              <w:tc>
                <w:tcPr>
                  <w:tcW w:w="774" w:type="dxa"/>
                  <w:shd w:val="clear" w:color="000000" w:fill="FFC000"/>
                  <w:noWrap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Loan Type</w:t>
                  </w:r>
                </w:p>
              </w:tc>
              <w:tc>
                <w:tcPr>
                  <w:tcW w:w="1072" w:type="dxa"/>
                  <w:shd w:val="clear" w:color="000000" w:fill="FFC000"/>
                  <w:noWrap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Product Name</w:t>
                  </w:r>
                </w:p>
              </w:tc>
              <w:tc>
                <w:tcPr>
                  <w:tcW w:w="967" w:type="dxa"/>
                  <w:shd w:val="clear" w:color="000000" w:fill="FFC000"/>
                  <w:noWrap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Interest Rate</w:t>
                  </w:r>
                </w:p>
              </w:tc>
              <w:tc>
                <w:tcPr>
                  <w:tcW w:w="577" w:type="dxa"/>
                  <w:shd w:val="clear" w:color="000000" w:fill="FFC000"/>
                  <w:noWrap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APR</w:t>
                  </w:r>
                </w:p>
              </w:tc>
            </w:tr>
            <w:tr w:rsidR="00CE0496" w:rsidRPr="00283DA7" w:rsidTr="00357A56">
              <w:trPr>
                <w:trHeight w:val="235"/>
              </w:trPr>
              <w:tc>
                <w:tcPr>
                  <w:tcW w:w="640" w:type="dxa"/>
                  <w:shd w:val="clear" w:color="auto" w:fill="auto"/>
                  <w:noWrap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863" w:type="dxa"/>
                  <w:shd w:val="clear" w:color="auto" w:fill="auto"/>
                  <w:noWrap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1010" w:type="dxa"/>
                  <w:shd w:val="clear" w:color="auto" w:fill="auto"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920" w:type="dxa"/>
                  <w:shd w:val="clear" w:color="auto" w:fill="auto"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680" w:type="dxa"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</w:pPr>
                </w:p>
              </w:tc>
              <w:tc>
                <w:tcPr>
                  <w:tcW w:w="680" w:type="dxa"/>
                  <w:shd w:val="clear" w:color="auto" w:fill="auto"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558" w:type="dxa"/>
                  <w:shd w:val="clear" w:color="auto" w:fill="auto"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778" w:type="dxa"/>
                  <w:shd w:val="clear" w:color="auto" w:fill="auto"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819" w:type="dxa"/>
                  <w:shd w:val="clear" w:color="auto" w:fill="auto"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774" w:type="dxa"/>
                  <w:shd w:val="clear" w:color="auto" w:fill="auto"/>
                  <w:noWrap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1072" w:type="dxa"/>
                  <w:shd w:val="clear" w:color="auto" w:fill="auto"/>
                  <w:noWrap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967" w:type="dxa"/>
                  <w:shd w:val="clear" w:color="auto" w:fill="auto"/>
                  <w:noWrap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577" w:type="dxa"/>
                  <w:shd w:val="clear" w:color="auto" w:fill="auto"/>
                  <w:noWrap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</w:tr>
            <w:tr w:rsidR="00CE0496" w:rsidRPr="00283DA7" w:rsidTr="00357A56">
              <w:trPr>
                <w:trHeight w:val="235"/>
              </w:trPr>
              <w:tc>
                <w:tcPr>
                  <w:tcW w:w="640" w:type="dxa"/>
                  <w:shd w:val="clear" w:color="auto" w:fill="auto"/>
                  <w:noWrap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863" w:type="dxa"/>
                  <w:shd w:val="clear" w:color="auto" w:fill="auto"/>
                  <w:noWrap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1010" w:type="dxa"/>
                  <w:shd w:val="clear" w:color="auto" w:fill="auto"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920" w:type="dxa"/>
                  <w:shd w:val="clear" w:color="auto" w:fill="auto"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680" w:type="dxa"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</w:pPr>
                </w:p>
              </w:tc>
              <w:tc>
                <w:tcPr>
                  <w:tcW w:w="680" w:type="dxa"/>
                  <w:shd w:val="clear" w:color="auto" w:fill="auto"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558" w:type="dxa"/>
                  <w:shd w:val="clear" w:color="auto" w:fill="auto"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778" w:type="dxa"/>
                  <w:shd w:val="clear" w:color="auto" w:fill="auto"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819" w:type="dxa"/>
                  <w:shd w:val="clear" w:color="auto" w:fill="auto"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774" w:type="dxa"/>
                  <w:shd w:val="clear" w:color="auto" w:fill="auto"/>
                  <w:noWrap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1072" w:type="dxa"/>
                  <w:shd w:val="clear" w:color="auto" w:fill="auto"/>
                  <w:noWrap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967" w:type="dxa"/>
                  <w:shd w:val="clear" w:color="auto" w:fill="auto"/>
                  <w:noWrap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577" w:type="dxa"/>
                  <w:shd w:val="clear" w:color="auto" w:fill="auto"/>
                  <w:noWrap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</w:tr>
            <w:tr w:rsidR="00CE0496" w:rsidRPr="00283DA7" w:rsidTr="00357A56">
              <w:trPr>
                <w:trHeight w:val="235"/>
              </w:trPr>
              <w:tc>
                <w:tcPr>
                  <w:tcW w:w="640" w:type="dxa"/>
                  <w:shd w:val="clear" w:color="auto" w:fill="auto"/>
                  <w:noWrap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863" w:type="dxa"/>
                  <w:shd w:val="clear" w:color="auto" w:fill="auto"/>
                  <w:noWrap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1010" w:type="dxa"/>
                  <w:shd w:val="clear" w:color="auto" w:fill="auto"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920" w:type="dxa"/>
                  <w:shd w:val="clear" w:color="auto" w:fill="auto"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680" w:type="dxa"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</w:pPr>
                </w:p>
              </w:tc>
              <w:tc>
                <w:tcPr>
                  <w:tcW w:w="680" w:type="dxa"/>
                  <w:shd w:val="clear" w:color="auto" w:fill="auto"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558" w:type="dxa"/>
                  <w:shd w:val="clear" w:color="auto" w:fill="auto"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778" w:type="dxa"/>
                  <w:shd w:val="clear" w:color="auto" w:fill="auto"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819" w:type="dxa"/>
                  <w:shd w:val="clear" w:color="auto" w:fill="auto"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774" w:type="dxa"/>
                  <w:shd w:val="clear" w:color="auto" w:fill="auto"/>
                  <w:noWrap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1072" w:type="dxa"/>
                  <w:shd w:val="clear" w:color="auto" w:fill="auto"/>
                  <w:noWrap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967" w:type="dxa"/>
                  <w:shd w:val="clear" w:color="auto" w:fill="auto"/>
                  <w:noWrap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577" w:type="dxa"/>
                  <w:shd w:val="clear" w:color="auto" w:fill="auto"/>
                  <w:noWrap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</w:tr>
            <w:tr w:rsidR="00CE0496" w:rsidRPr="00283DA7" w:rsidTr="00357A56">
              <w:trPr>
                <w:trHeight w:val="235"/>
              </w:trPr>
              <w:tc>
                <w:tcPr>
                  <w:tcW w:w="640" w:type="dxa"/>
                  <w:shd w:val="clear" w:color="auto" w:fill="auto"/>
                  <w:noWrap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863" w:type="dxa"/>
                  <w:shd w:val="clear" w:color="auto" w:fill="auto"/>
                  <w:noWrap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1010" w:type="dxa"/>
                  <w:shd w:val="clear" w:color="auto" w:fill="auto"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920" w:type="dxa"/>
                  <w:shd w:val="clear" w:color="auto" w:fill="auto"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680" w:type="dxa"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</w:pPr>
                </w:p>
              </w:tc>
              <w:tc>
                <w:tcPr>
                  <w:tcW w:w="680" w:type="dxa"/>
                  <w:shd w:val="clear" w:color="auto" w:fill="auto"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558" w:type="dxa"/>
                  <w:shd w:val="clear" w:color="auto" w:fill="auto"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778" w:type="dxa"/>
                  <w:shd w:val="clear" w:color="auto" w:fill="auto"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819" w:type="dxa"/>
                  <w:shd w:val="clear" w:color="auto" w:fill="auto"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774" w:type="dxa"/>
                  <w:shd w:val="clear" w:color="auto" w:fill="auto"/>
                  <w:noWrap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1072" w:type="dxa"/>
                  <w:shd w:val="clear" w:color="auto" w:fill="auto"/>
                  <w:noWrap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967" w:type="dxa"/>
                  <w:shd w:val="clear" w:color="auto" w:fill="auto"/>
                  <w:noWrap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577" w:type="dxa"/>
                  <w:shd w:val="clear" w:color="auto" w:fill="auto"/>
                  <w:noWrap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</w:tr>
            <w:tr w:rsidR="00CE0496" w:rsidRPr="00283DA7" w:rsidTr="00357A56">
              <w:trPr>
                <w:trHeight w:val="247"/>
              </w:trPr>
              <w:tc>
                <w:tcPr>
                  <w:tcW w:w="640" w:type="dxa"/>
                  <w:shd w:val="clear" w:color="auto" w:fill="auto"/>
                  <w:noWrap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863" w:type="dxa"/>
                  <w:shd w:val="clear" w:color="auto" w:fill="auto"/>
                  <w:noWrap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1010" w:type="dxa"/>
                  <w:shd w:val="clear" w:color="auto" w:fill="auto"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920" w:type="dxa"/>
                  <w:shd w:val="clear" w:color="auto" w:fill="auto"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680" w:type="dxa"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</w:pPr>
                </w:p>
              </w:tc>
              <w:tc>
                <w:tcPr>
                  <w:tcW w:w="680" w:type="dxa"/>
                  <w:shd w:val="clear" w:color="auto" w:fill="auto"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558" w:type="dxa"/>
                  <w:shd w:val="clear" w:color="auto" w:fill="auto"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778" w:type="dxa"/>
                  <w:shd w:val="clear" w:color="auto" w:fill="auto"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819" w:type="dxa"/>
                  <w:shd w:val="clear" w:color="auto" w:fill="auto"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774" w:type="dxa"/>
                  <w:shd w:val="clear" w:color="auto" w:fill="auto"/>
                  <w:noWrap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1072" w:type="dxa"/>
                  <w:shd w:val="clear" w:color="auto" w:fill="auto"/>
                  <w:noWrap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967" w:type="dxa"/>
                  <w:shd w:val="clear" w:color="auto" w:fill="auto"/>
                  <w:noWrap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  <w:tc>
                <w:tcPr>
                  <w:tcW w:w="577" w:type="dxa"/>
                  <w:shd w:val="clear" w:color="auto" w:fill="auto"/>
                  <w:noWrap/>
                  <w:vAlign w:val="center"/>
                  <w:hideMark/>
                </w:tcPr>
                <w:p w:rsidR="00357A56" w:rsidRPr="00283DA7" w:rsidRDefault="00357A56" w:rsidP="00A56413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en-IN"/>
                    </w:rPr>
                  </w:pPr>
                  <w:r w:rsidRPr="00283DA7">
                    <w:rPr>
                      <w:rFonts w:ascii="Calibri" w:eastAsia="Times New Roman" w:hAnsi="Calibri" w:cs="Times New Roman"/>
                      <w:color w:val="000000"/>
                      <w:lang w:val="en-US" w:eastAsia="en-IN"/>
                    </w:rPr>
                    <w:t> </w:t>
                  </w:r>
                </w:p>
              </w:tc>
            </w:tr>
          </w:tbl>
          <w:p w:rsidR="00280522" w:rsidRDefault="00280522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</w:p>
          <w:p w:rsidR="00935057" w:rsidRDefault="00935057" w:rsidP="00935057">
            <w:pPr>
              <w:spacing w:after="0" w:line="240" w:lineRule="auto"/>
              <w:rPr>
                <w:rFonts w:ascii="Calibri" w:eastAsia="Times New Roman" w:hAnsi="Calibri" w:cs="Times New Roman"/>
                <w:bCs/>
                <w:color w:val="000000"/>
                <w:lang w:val="en-US"/>
              </w:rPr>
            </w:pPr>
            <w:r w:rsidRPr="00357A56">
              <w:rPr>
                <w:rFonts w:ascii="Calibri" w:eastAsia="Times New Roman" w:hAnsi="Calibri" w:cs="Times New Roman"/>
                <w:bCs/>
                <w:color w:val="000000"/>
                <w:lang w:val="en-US"/>
              </w:rPr>
              <w:t>Capture the following:</w:t>
            </w:r>
          </w:p>
          <w:p w:rsidR="008A2953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</w:p>
          <w:p w:rsidR="00935057" w:rsidRDefault="00935057" w:rsidP="00935057">
            <w:pPr>
              <w:spacing w:after="0" w:line="240" w:lineRule="auto"/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  <w:t xml:space="preserve">Mortgage URL: </w:t>
            </w:r>
            <w:hyperlink r:id="rId20" w:history="1">
              <w:r w:rsidR="002D64B9" w:rsidRPr="00C46132">
                <w:rPr>
                  <w:rStyle w:val="Hyperlink"/>
                </w:rPr>
                <w:t>https://www.wellsfargo.com/mortgage/rates/purchase-assumptions?prod=1</w:t>
              </w:r>
            </w:hyperlink>
            <w:r w:rsidR="002D64B9">
              <w:t xml:space="preserve"> </w:t>
            </w:r>
          </w:p>
          <w:p w:rsidR="002D64B9" w:rsidRDefault="002D64B9" w:rsidP="00935057">
            <w:pPr>
              <w:spacing w:after="0" w:line="240" w:lineRule="auto"/>
            </w:pPr>
          </w:p>
          <w:p w:rsidR="008A2953" w:rsidRDefault="00526CAA" w:rsidP="006A2872">
            <w:pPr>
              <w:spacing w:after="0" w:line="240" w:lineRule="auto"/>
            </w:pPr>
            <w:r>
              <w:object w:dxaOrig="11055" w:dyaOrig="556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50.75pt;height:227.25pt" o:ole="">
                  <v:imagedata r:id="rId21" o:title=""/>
                </v:shape>
                <o:OLEObject Type="Embed" ProgID="PBrush" ShapeID="_x0000_i1025" DrawAspect="Content" ObjectID="_1581258699" r:id="rId22"/>
              </w:object>
            </w:r>
          </w:p>
          <w:p w:rsidR="00526CAA" w:rsidRDefault="00526CAA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</w:p>
          <w:p w:rsidR="002D64B9" w:rsidRDefault="009A00F5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  <w:hyperlink r:id="rId23" w:history="1">
              <w:r w:rsidR="002D64B9" w:rsidRPr="00C46132">
                <w:rPr>
                  <w:rStyle w:val="Hyperlink"/>
                  <w:rFonts w:ascii="Calibri" w:eastAsia="Times New Roman" w:hAnsi="Calibri" w:cs="Times New Roman"/>
                  <w:b/>
                  <w:bCs/>
                  <w:lang w:val="en-US"/>
                </w:rPr>
                <w:t>https://www.wellsfargo.com/mortgage/rates/purchase-assumptions?prod=2</w:t>
              </w:r>
            </w:hyperlink>
            <w:r w:rsidR="002D64B9"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  <w:t xml:space="preserve"> </w:t>
            </w:r>
          </w:p>
          <w:p w:rsidR="002D64B9" w:rsidRDefault="00526CAA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  <w:r>
              <w:object w:dxaOrig="9870" w:dyaOrig="5760">
                <v:shape id="_x0000_i1026" type="#_x0000_t75" style="width:450.75pt;height:263.25pt" o:ole="">
                  <v:imagedata r:id="rId24" o:title=""/>
                </v:shape>
                <o:OLEObject Type="Embed" ProgID="PBrush" ShapeID="_x0000_i1026" DrawAspect="Content" ObjectID="_1581258700" r:id="rId25"/>
              </w:object>
            </w:r>
          </w:p>
          <w:p w:rsidR="002D64B9" w:rsidRDefault="002D64B9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</w:p>
          <w:p w:rsidR="00660ED1" w:rsidRDefault="009A00F5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  <w:hyperlink r:id="rId26" w:history="1">
              <w:r w:rsidR="00660ED1" w:rsidRPr="00C46132">
                <w:rPr>
                  <w:rStyle w:val="Hyperlink"/>
                  <w:rFonts w:ascii="Calibri" w:eastAsia="Times New Roman" w:hAnsi="Calibri" w:cs="Times New Roman"/>
                  <w:b/>
                  <w:bCs/>
                  <w:lang w:val="en-US"/>
                </w:rPr>
                <w:t>https://www.wellsfargo.com/mortgage/rates/purchase-assumptions?prod=3</w:t>
              </w:r>
            </w:hyperlink>
            <w:r w:rsidR="00660ED1"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  <w:t xml:space="preserve"> </w:t>
            </w:r>
          </w:p>
          <w:p w:rsidR="00660ED1" w:rsidRDefault="00660ED1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</w:p>
          <w:p w:rsidR="00660ED1" w:rsidRDefault="00660ED1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  <w:r>
              <w:object w:dxaOrig="8130" w:dyaOrig="6345">
                <v:shape id="_x0000_i1027" type="#_x0000_t75" style="width:406.5pt;height:317.25pt" o:ole="">
                  <v:imagedata r:id="rId27" o:title=""/>
                </v:shape>
                <o:OLEObject Type="Embed" ProgID="PBrush" ShapeID="_x0000_i1027" DrawAspect="Content" ObjectID="_1581258701" r:id="rId28"/>
              </w:object>
            </w:r>
          </w:p>
          <w:p w:rsidR="00935057" w:rsidRDefault="009A00F5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  <w:hyperlink r:id="rId29" w:history="1">
              <w:r w:rsidR="00660ED1" w:rsidRPr="00C46132">
                <w:rPr>
                  <w:rStyle w:val="Hyperlink"/>
                  <w:rFonts w:ascii="Calibri" w:eastAsia="Times New Roman" w:hAnsi="Calibri" w:cs="Times New Roman"/>
                  <w:b/>
                  <w:bCs/>
                  <w:lang w:val="en-US"/>
                </w:rPr>
                <w:t>https://www.wellsfargo.com/mortgage/rates/purchase-assumptions?prod=4</w:t>
              </w:r>
            </w:hyperlink>
            <w:r w:rsidR="00660ED1"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  <w:t xml:space="preserve"> </w:t>
            </w:r>
          </w:p>
          <w:p w:rsidR="00660ED1" w:rsidRDefault="00660ED1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</w:p>
          <w:p w:rsidR="00660ED1" w:rsidRDefault="00660ED1" w:rsidP="006A2872">
            <w:pPr>
              <w:spacing w:after="0" w:line="240" w:lineRule="auto"/>
            </w:pPr>
            <w:r>
              <w:object w:dxaOrig="8610" w:dyaOrig="5415">
                <v:shape id="_x0000_i1028" type="#_x0000_t75" style="width:430.5pt;height:270.75pt" o:ole="">
                  <v:imagedata r:id="rId30" o:title=""/>
                </v:shape>
                <o:OLEObject Type="Embed" ProgID="PBrush" ShapeID="_x0000_i1028" DrawAspect="Content" ObjectID="_1581258702" r:id="rId31"/>
              </w:object>
            </w:r>
          </w:p>
          <w:p w:rsidR="00660ED1" w:rsidRDefault="00660ED1" w:rsidP="006A2872">
            <w:pPr>
              <w:spacing w:after="0" w:line="240" w:lineRule="auto"/>
            </w:pPr>
          </w:p>
          <w:p w:rsidR="008A2953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</w:p>
          <w:p w:rsidR="00BC6688" w:rsidRDefault="00BC6688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</w:p>
          <w:p w:rsidR="00BC6688" w:rsidRDefault="00BC6688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  <w:t xml:space="preserve">Mortgage URL: </w:t>
            </w:r>
            <w:hyperlink r:id="rId32" w:history="1">
              <w:r w:rsidRPr="00A51355">
                <w:rPr>
                  <w:rStyle w:val="Hyperlink"/>
                  <w:rFonts w:ascii="Calibri" w:eastAsia="Times New Roman" w:hAnsi="Calibri" w:cs="Times New Roman"/>
                  <w:b/>
                  <w:bCs/>
                  <w:lang w:val="en-US"/>
                </w:rPr>
                <w:t>https://www.wellsfargo.com/mortgage/rates/purchase-assumptions?prod=5</w:t>
              </w:r>
            </w:hyperlink>
            <w:r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  <w:t xml:space="preserve"> </w:t>
            </w:r>
          </w:p>
          <w:p w:rsidR="00BC6688" w:rsidRDefault="00BC6688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</w:p>
          <w:p w:rsidR="00BC6688" w:rsidRDefault="00F33C31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  <w:r>
              <w:object w:dxaOrig="9900" w:dyaOrig="7995">
                <v:shape id="_x0000_i1029" type="#_x0000_t75" style="width:450.75pt;height:364.5pt" o:ole="">
                  <v:imagedata r:id="rId33" o:title=""/>
                </v:shape>
                <o:OLEObject Type="Embed" ProgID="PBrush" ShapeID="_x0000_i1029" DrawAspect="Content" ObjectID="_1581258703" r:id="rId34"/>
              </w:object>
            </w:r>
          </w:p>
          <w:p w:rsidR="00BC6688" w:rsidRDefault="00BC6688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</w:p>
          <w:p w:rsidR="00BC6688" w:rsidRDefault="00BC6688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  <w:t xml:space="preserve">Mortgage URL: </w:t>
            </w:r>
            <w:hyperlink r:id="rId35" w:history="1">
              <w:r w:rsidR="00F33C31" w:rsidRPr="00A51355">
                <w:rPr>
                  <w:rStyle w:val="Hyperlink"/>
                  <w:rFonts w:ascii="Calibri" w:eastAsia="Times New Roman" w:hAnsi="Calibri" w:cs="Times New Roman"/>
                  <w:b/>
                  <w:bCs/>
                  <w:lang w:val="en-US"/>
                </w:rPr>
                <w:t>https://www.wellsfargo.com/mortgage/rates/purchase-assumptions?prod=6</w:t>
              </w:r>
            </w:hyperlink>
            <w:r w:rsidR="00F33C31"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  <w:t xml:space="preserve"> </w:t>
            </w:r>
          </w:p>
          <w:p w:rsidR="00F33C31" w:rsidRDefault="00F33C31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</w:p>
          <w:p w:rsidR="00F33C31" w:rsidRDefault="00F33C31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  <w:r>
              <w:object w:dxaOrig="8040" w:dyaOrig="7860">
                <v:shape id="_x0000_i1030" type="#_x0000_t75" style="width:402pt;height:393pt" o:ole="">
                  <v:imagedata r:id="rId36" o:title=""/>
                </v:shape>
                <o:OLEObject Type="Embed" ProgID="PBrush" ShapeID="_x0000_i1030" DrawAspect="Content" ObjectID="_1581258704" r:id="rId37"/>
              </w:object>
            </w:r>
          </w:p>
          <w:p w:rsidR="00BC6688" w:rsidRDefault="00BC6688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</w:p>
          <w:p w:rsidR="0048009B" w:rsidRDefault="0048009B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</w:p>
          <w:p w:rsidR="00B15AE8" w:rsidRDefault="009A00F5" w:rsidP="006A2872">
            <w:pPr>
              <w:spacing w:after="0" w:line="240" w:lineRule="auto"/>
              <w:rPr>
                <w:rFonts w:ascii="Calibri" w:eastAsia="Times New Roman" w:hAnsi="Calibri" w:cs="Times New Roman"/>
                <w:bCs/>
                <w:color w:val="000000"/>
                <w:lang w:val="en-US"/>
              </w:rPr>
            </w:pPr>
            <w:hyperlink r:id="rId38" w:history="1">
              <w:r w:rsidR="004709D2" w:rsidRPr="004709D2">
                <w:rPr>
                  <w:rStyle w:val="Hyperlink"/>
                  <w:rFonts w:ascii="Calibri" w:eastAsia="Times New Roman" w:hAnsi="Calibri" w:cs="Times New Roman"/>
                  <w:bCs/>
                  <w:lang w:val="en-US"/>
                </w:rPr>
                <w:t>https://www.wellsfargo.com/mortgage/rates/purchase-assumptions?prod=8</w:t>
              </w:r>
            </w:hyperlink>
          </w:p>
          <w:p w:rsidR="004709D2" w:rsidRDefault="004709D2" w:rsidP="006A2872">
            <w:pPr>
              <w:spacing w:after="0" w:line="240" w:lineRule="auto"/>
              <w:rPr>
                <w:rFonts w:ascii="Calibri" w:eastAsia="Times New Roman" w:hAnsi="Calibri" w:cs="Times New Roman"/>
                <w:bCs/>
                <w:color w:val="000000"/>
                <w:lang w:val="en-US"/>
              </w:rPr>
            </w:pPr>
          </w:p>
          <w:p w:rsidR="004709D2" w:rsidRPr="004709D2" w:rsidRDefault="004709D2" w:rsidP="006A2872">
            <w:pPr>
              <w:spacing w:after="0" w:line="240" w:lineRule="auto"/>
              <w:rPr>
                <w:rFonts w:ascii="Calibri" w:eastAsia="Times New Roman" w:hAnsi="Calibri" w:cs="Times New Roman"/>
                <w:bCs/>
                <w:color w:val="000000"/>
                <w:lang w:val="en-US"/>
              </w:rPr>
            </w:pPr>
            <w:r>
              <w:object w:dxaOrig="7725" w:dyaOrig="4350">
                <v:shape id="_x0000_i1031" type="#_x0000_t75" style="width:386.25pt;height:217.5pt" o:ole="">
                  <v:imagedata r:id="rId39" o:title=""/>
                </v:shape>
                <o:OLEObject Type="Embed" ProgID="PBrush" ShapeID="_x0000_i1031" DrawAspect="Content" ObjectID="_1581258705" r:id="rId40"/>
              </w:object>
            </w:r>
          </w:p>
          <w:p w:rsidR="004709D2" w:rsidRPr="004709D2" w:rsidRDefault="004709D2" w:rsidP="006A2872">
            <w:pPr>
              <w:spacing w:after="0" w:line="240" w:lineRule="auto"/>
            </w:pPr>
          </w:p>
          <w:p w:rsidR="00B15AE8" w:rsidRPr="004709D2" w:rsidRDefault="009A00F5" w:rsidP="006A2872">
            <w:pPr>
              <w:spacing w:after="0" w:line="240" w:lineRule="auto"/>
            </w:pPr>
            <w:hyperlink r:id="rId41" w:history="1">
              <w:r w:rsidR="004709D2" w:rsidRPr="004709D2">
                <w:rPr>
                  <w:rStyle w:val="Hyperlink"/>
                </w:rPr>
                <w:t>https://www.wellsfargo.com/mortgage/rates/purchase-assumptions?prod=9</w:t>
              </w:r>
            </w:hyperlink>
            <w:r w:rsidR="004709D2" w:rsidRPr="004709D2">
              <w:t xml:space="preserve"> </w:t>
            </w:r>
          </w:p>
          <w:p w:rsidR="00B15AE8" w:rsidRPr="004709D2" w:rsidRDefault="00B15AE8" w:rsidP="006A2872">
            <w:pPr>
              <w:spacing w:after="0" w:line="240" w:lineRule="auto"/>
              <w:rPr>
                <w:rFonts w:ascii="Calibri" w:eastAsia="Times New Roman" w:hAnsi="Calibri" w:cs="Times New Roman"/>
                <w:bCs/>
                <w:color w:val="000000"/>
                <w:lang w:val="en-US"/>
              </w:rPr>
            </w:pPr>
          </w:p>
          <w:p w:rsidR="0048009B" w:rsidRPr="004709D2" w:rsidRDefault="004709D2" w:rsidP="006A2872">
            <w:pPr>
              <w:spacing w:after="0" w:line="240" w:lineRule="auto"/>
              <w:rPr>
                <w:rFonts w:ascii="Calibri" w:eastAsia="Times New Roman" w:hAnsi="Calibri" w:cs="Times New Roman"/>
                <w:bCs/>
                <w:color w:val="000000"/>
                <w:lang w:val="en-US"/>
              </w:rPr>
            </w:pPr>
            <w:r>
              <w:object w:dxaOrig="7680" w:dyaOrig="4020">
                <v:shape id="_x0000_i1032" type="#_x0000_t75" style="width:384pt;height:201pt" o:ole="">
                  <v:imagedata r:id="rId42" o:title=""/>
                </v:shape>
                <o:OLEObject Type="Embed" ProgID="PBrush" ShapeID="_x0000_i1032" DrawAspect="Content" ObjectID="_1581258706" r:id="rId43"/>
              </w:object>
            </w:r>
          </w:p>
          <w:p w:rsidR="004709D2" w:rsidRDefault="009A00F5" w:rsidP="006A2872">
            <w:pPr>
              <w:spacing w:after="0" w:line="240" w:lineRule="auto"/>
              <w:rPr>
                <w:rFonts w:ascii="Calibri" w:eastAsia="Times New Roman" w:hAnsi="Calibri" w:cs="Times New Roman"/>
                <w:bCs/>
                <w:color w:val="000000"/>
                <w:lang w:val="en-US"/>
              </w:rPr>
            </w:pPr>
            <w:hyperlink r:id="rId44" w:history="1">
              <w:r w:rsidR="004709D2" w:rsidRPr="004709D2">
                <w:rPr>
                  <w:rStyle w:val="Hyperlink"/>
                  <w:rFonts w:ascii="Calibri" w:eastAsia="Times New Roman" w:hAnsi="Calibri" w:cs="Times New Roman"/>
                  <w:bCs/>
                  <w:lang w:val="en-US"/>
                </w:rPr>
                <w:t>https://www.wellsfargo.com/mortgage/rates/purchase-assumptions?prod=10</w:t>
              </w:r>
            </w:hyperlink>
            <w:r w:rsidR="004709D2" w:rsidRPr="004709D2">
              <w:rPr>
                <w:rFonts w:ascii="Calibri" w:eastAsia="Times New Roman" w:hAnsi="Calibri" w:cs="Times New Roman"/>
                <w:bCs/>
                <w:color w:val="000000"/>
                <w:lang w:val="en-US"/>
              </w:rPr>
              <w:t xml:space="preserve"> </w:t>
            </w:r>
          </w:p>
          <w:p w:rsidR="004709D2" w:rsidRDefault="004709D2" w:rsidP="006A2872">
            <w:pPr>
              <w:spacing w:after="0" w:line="240" w:lineRule="auto"/>
              <w:rPr>
                <w:rFonts w:ascii="Calibri" w:eastAsia="Times New Roman" w:hAnsi="Calibri" w:cs="Times New Roman"/>
                <w:bCs/>
                <w:color w:val="000000"/>
                <w:lang w:val="en-US"/>
              </w:rPr>
            </w:pPr>
          </w:p>
          <w:p w:rsidR="004709D2" w:rsidRPr="004709D2" w:rsidRDefault="004709D2" w:rsidP="006A2872">
            <w:pPr>
              <w:spacing w:after="0" w:line="240" w:lineRule="auto"/>
              <w:rPr>
                <w:rFonts w:ascii="Calibri" w:eastAsia="Times New Roman" w:hAnsi="Calibri" w:cs="Times New Roman"/>
                <w:bCs/>
                <w:color w:val="000000"/>
                <w:lang w:val="en-US"/>
              </w:rPr>
            </w:pPr>
            <w:r>
              <w:object w:dxaOrig="7470" w:dyaOrig="4335">
                <v:shape id="_x0000_i1033" type="#_x0000_t75" style="width:373.5pt;height:216.75pt" o:ole="">
                  <v:imagedata r:id="rId45" o:title=""/>
                </v:shape>
                <o:OLEObject Type="Embed" ProgID="PBrush" ShapeID="_x0000_i1033" DrawAspect="Content" ObjectID="_1581258707" r:id="rId46"/>
              </w:object>
            </w:r>
          </w:p>
          <w:p w:rsidR="004709D2" w:rsidRPr="004709D2" w:rsidRDefault="004709D2" w:rsidP="006A2872">
            <w:pPr>
              <w:spacing w:after="0" w:line="240" w:lineRule="auto"/>
              <w:rPr>
                <w:rFonts w:ascii="Calibri" w:eastAsia="Times New Roman" w:hAnsi="Calibri" w:cs="Times New Roman"/>
                <w:bCs/>
                <w:color w:val="000000"/>
                <w:lang w:val="en-US"/>
              </w:rPr>
            </w:pPr>
          </w:p>
          <w:p w:rsidR="004709D2" w:rsidRPr="004709D2" w:rsidRDefault="009A00F5" w:rsidP="006A2872">
            <w:pPr>
              <w:spacing w:after="0" w:line="240" w:lineRule="auto"/>
              <w:rPr>
                <w:rFonts w:ascii="Calibri" w:eastAsia="Times New Roman" w:hAnsi="Calibri" w:cs="Times New Roman"/>
                <w:bCs/>
                <w:color w:val="000000"/>
                <w:lang w:val="en-US"/>
              </w:rPr>
            </w:pPr>
            <w:hyperlink r:id="rId47" w:history="1">
              <w:r w:rsidR="004709D2" w:rsidRPr="004709D2">
                <w:rPr>
                  <w:rStyle w:val="Hyperlink"/>
                  <w:rFonts w:ascii="Calibri" w:eastAsia="Times New Roman" w:hAnsi="Calibri" w:cs="Times New Roman"/>
                  <w:bCs/>
                  <w:lang w:val="en-US"/>
                </w:rPr>
                <w:t>https://www.wellsfargo.com/mortgage/rates/purchase-assumptions?prod=7</w:t>
              </w:r>
            </w:hyperlink>
            <w:r w:rsidR="004709D2" w:rsidRPr="004709D2">
              <w:rPr>
                <w:rFonts w:ascii="Calibri" w:eastAsia="Times New Roman" w:hAnsi="Calibri" w:cs="Times New Roman"/>
                <w:bCs/>
                <w:color w:val="000000"/>
                <w:lang w:val="en-US"/>
              </w:rPr>
              <w:t xml:space="preserve"> </w:t>
            </w:r>
          </w:p>
          <w:p w:rsidR="004709D2" w:rsidRDefault="004709D2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</w:p>
          <w:p w:rsidR="0048009B" w:rsidRDefault="004709D2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  <w:r>
              <w:object w:dxaOrig="7860" w:dyaOrig="4200">
                <v:shape id="_x0000_i1034" type="#_x0000_t75" style="width:393pt;height:210pt" o:ole="">
                  <v:imagedata r:id="rId48" o:title=""/>
                </v:shape>
                <o:OLEObject Type="Embed" ProgID="PBrush" ShapeID="_x0000_i1034" DrawAspect="Content" ObjectID="_1581258708" r:id="rId49"/>
              </w:object>
            </w:r>
          </w:p>
          <w:p w:rsidR="00531F3F" w:rsidRDefault="00CE0496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  <w:t xml:space="preserve">Refinance URL </w:t>
            </w:r>
            <w:r w:rsidR="00531F3F"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  <w:t>–</w:t>
            </w:r>
          </w:p>
          <w:p w:rsidR="00660ED1" w:rsidRDefault="00660ED1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</w:p>
          <w:p w:rsidR="00660ED1" w:rsidRDefault="009A00F5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  <w:hyperlink r:id="rId50" w:history="1">
              <w:r w:rsidR="00660ED1" w:rsidRPr="00C46132">
                <w:rPr>
                  <w:rStyle w:val="Hyperlink"/>
                  <w:rFonts w:ascii="Calibri" w:eastAsia="Times New Roman" w:hAnsi="Calibri" w:cs="Times New Roman"/>
                  <w:b/>
                  <w:bCs/>
                  <w:lang w:val="en-US"/>
                </w:rPr>
                <w:t>https://www.wellsfargo.com/mortgage/rates/refinance-assumptions?prod=11</w:t>
              </w:r>
            </w:hyperlink>
            <w:r w:rsidR="00660ED1"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  <w:t xml:space="preserve"> </w:t>
            </w:r>
          </w:p>
          <w:p w:rsidR="008A2953" w:rsidRDefault="008A2953" w:rsidP="006A2872">
            <w:pPr>
              <w:spacing w:after="0" w:line="240" w:lineRule="auto"/>
            </w:pPr>
          </w:p>
          <w:p w:rsidR="00660ED1" w:rsidRDefault="00660ED1" w:rsidP="006A2872">
            <w:pPr>
              <w:spacing w:after="0" w:line="240" w:lineRule="auto"/>
            </w:pPr>
            <w:r>
              <w:object w:dxaOrig="8040" w:dyaOrig="5310">
                <v:shape id="_x0000_i1035" type="#_x0000_t75" style="width:402pt;height:265.5pt" o:ole="">
                  <v:imagedata r:id="rId51" o:title=""/>
                </v:shape>
                <o:OLEObject Type="Embed" ProgID="PBrush" ShapeID="_x0000_i1035" DrawAspect="Content" ObjectID="_1581258709" r:id="rId52"/>
              </w:object>
            </w:r>
          </w:p>
          <w:p w:rsidR="00531F3F" w:rsidRDefault="00531F3F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</w:p>
          <w:p w:rsidR="00385818" w:rsidRDefault="009A00F5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  <w:hyperlink r:id="rId53" w:history="1">
              <w:r w:rsidR="00660ED1" w:rsidRPr="00C46132">
                <w:rPr>
                  <w:rStyle w:val="Hyperlink"/>
                  <w:rFonts w:ascii="Calibri" w:eastAsia="Times New Roman" w:hAnsi="Calibri" w:cs="Times New Roman"/>
                  <w:b/>
                  <w:bCs/>
                  <w:lang w:val="en-US"/>
                </w:rPr>
                <w:t>https://www.wellsfargo.com/mortgage/rates/refinance-assumptions?prod=12</w:t>
              </w:r>
            </w:hyperlink>
          </w:p>
          <w:p w:rsidR="00660ED1" w:rsidRDefault="00660ED1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</w:p>
          <w:p w:rsidR="00660ED1" w:rsidRDefault="00660ED1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  <w:r>
              <w:object w:dxaOrig="8130" w:dyaOrig="5580">
                <v:shape id="_x0000_i1036" type="#_x0000_t75" style="width:406.5pt;height:279pt" o:ole="">
                  <v:imagedata r:id="rId54" o:title=""/>
                </v:shape>
                <o:OLEObject Type="Embed" ProgID="PBrush" ShapeID="_x0000_i1036" DrawAspect="Content" ObjectID="_1581258710" r:id="rId55"/>
              </w:object>
            </w:r>
          </w:p>
          <w:p w:rsidR="00CE0496" w:rsidRDefault="00CE0496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</w:p>
          <w:p w:rsidR="00660ED1" w:rsidRDefault="009A00F5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  <w:hyperlink r:id="rId56" w:history="1">
              <w:r w:rsidR="00660ED1" w:rsidRPr="00C46132">
                <w:rPr>
                  <w:rStyle w:val="Hyperlink"/>
                  <w:rFonts w:ascii="Calibri" w:eastAsia="Times New Roman" w:hAnsi="Calibri" w:cs="Times New Roman"/>
                  <w:b/>
                  <w:bCs/>
                  <w:lang w:val="en-US"/>
                </w:rPr>
                <w:t>https://www.wellsfargo.com/mortgage/rates/refinance-assumptions?prod=13</w:t>
              </w:r>
            </w:hyperlink>
            <w:r w:rsidR="00660ED1"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  <w:t xml:space="preserve"> </w:t>
            </w:r>
          </w:p>
          <w:p w:rsidR="00660ED1" w:rsidRDefault="00660ED1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</w:p>
          <w:p w:rsidR="00660ED1" w:rsidRDefault="00660ED1" w:rsidP="006A2872">
            <w:pPr>
              <w:spacing w:after="0" w:line="240" w:lineRule="auto"/>
            </w:pPr>
            <w:r>
              <w:object w:dxaOrig="8220" w:dyaOrig="5745">
                <v:shape id="_x0000_i1037" type="#_x0000_t75" style="width:411pt;height:287.25pt" o:ole="">
                  <v:imagedata r:id="rId57" o:title=""/>
                </v:shape>
                <o:OLEObject Type="Embed" ProgID="PBrush" ShapeID="_x0000_i1037" DrawAspect="Content" ObjectID="_1581258711" r:id="rId58"/>
              </w:object>
            </w:r>
          </w:p>
          <w:p w:rsidR="00660ED1" w:rsidRDefault="009A00F5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  <w:hyperlink r:id="rId59" w:history="1">
              <w:r w:rsidR="00660ED1" w:rsidRPr="00C46132">
                <w:rPr>
                  <w:rStyle w:val="Hyperlink"/>
                  <w:rFonts w:ascii="Calibri" w:eastAsia="Times New Roman" w:hAnsi="Calibri" w:cs="Times New Roman"/>
                  <w:b/>
                  <w:bCs/>
                  <w:lang w:val="en-US"/>
                </w:rPr>
                <w:t>https://www.wellsfargo.com/mortgage/rates/refinance-assumptions?prod=14</w:t>
              </w:r>
            </w:hyperlink>
            <w:r w:rsidR="00660ED1"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  <w:t xml:space="preserve"> </w:t>
            </w:r>
          </w:p>
          <w:p w:rsidR="00660ED1" w:rsidRDefault="00660ED1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</w:p>
          <w:p w:rsidR="00660ED1" w:rsidRDefault="00660ED1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  <w:r>
              <w:object w:dxaOrig="8055" w:dyaOrig="5505">
                <v:shape id="_x0000_i1038" type="#_x0000_t75" style="width:402.75pt;height:275.25pt" o:ole="">
                  <v:imagedata r:id="rId60" o:title=""/>
                </v:shape>
                <o:OLEObject Type="Embed" ProgID="PBrush" ShapeID="_x0000_i1038" DrawAspect="Content" ObjectID="_1581258712" r:id="rId61"/>
              </w:object>
            </w:r>
          </w:p>
          <w:p w:rsidR="00660ED1" w:rsidRDefault="00660ED1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</w:p>
          <w:p w:rsidR="00660ED1" w:rsidRDefault="00660ED1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</w:p>
          <w:p w:rsidR="00CE0496" w:rsidRDefault="009A00F5" w:rsidP="006A2872">
            <w:pPr>
              <w:spacing w:after="0" w:line="240" w:lineRule="auto"/>
            </w:pPr>
            <w:hyperlink r:id="rId62" w:history="1">
              <w:r w:rsidR="00531F3F" w:rsidRPr="00C46132">
                <w:rPr>
                  <w:rStyle w:val="Hyperlink"/>
                </w:rPr>
                <w:t>https://www.wellsfargo.com/mortgage/rates/refinance-assumptions?prod=15</w:t>
              </w:r>
            </w:hyperlink>
            <w:r w:rsidR="00531F3F">
              <w:t xml:space="preserve"> </w:t>
            </w:r>
          </w:p>
          <w:p w:rsidR="00531F3F" w:rsidRDefault="00531F3F" w:rsidP="006A2872">
            <w:pPr>
              <w:spacing w:after="0" w:line="240" w:lineRule="auto"/>
            </w:pPr>
          </w:p>
          <w:p w:rsidR="00531F3F" w:rsidRDefault="00531F3F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  <w:r>
              <w:object w:dxaOrig="8775" w:dyaOrig="7845">
                <v:shape id="_x0000_i1039" type="#_x0000_t75" style="width:402pt;height:359.25pt" o:ole="">
                  <v:imagedata r:id="rId63" o:title=""/>
                </v:shape>
                <o:OLEObject Type="Embed" ProgID="PBrush" ShapeID="_x0000_i1039" DrawAspect="Content" ObjectID="_1581258713" r:id="rId64"/>
              </w:object>
            </w:r>
          </w:p>
          <w:p w:rsidR="00385818" w:rsidRDefault="00385818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</w:p>
          <w:p w:rsidR="00385818" w:rsidRDefault="009A00F5" w:rsidP="006A2872">
            <w:pPr>
              <w:spacing w:after="0" w:line="240" w:lineRule="auto"/>
            </w:pPr>
            <w:hyperlink r:id="rId65" w:history="1">
              <w:r w:rsidR="00531F3F" w:rsidRPr="00C46132">
                <w:rPr>
                  <w:rStyle w:val="Hyperlink"/>
                </w:rPr>
                <w:t>https://www.wellsfargo.com/mortgage/rates/refinance-assumptions?prod=16</w:t>
              </w:r>
            </w:hyperlink>
            <w:r w:rsidR="00531F3F">
              <w:t xml:space="preserve"> </w:t>
            </w:r>
          </w:p>
          <w:p w:rsidR="00531F3F" w:rsidRDefault="00531F3F" w:rsidP="006A2872">
            <w:pPr>
              <w:spacing w:after="0" w:line="240" w:lineRule="auto"/>
            </w:pPr>
          </w:p>
          <w:p w:rsidR="00531F3F" w:rsidRDefault="00531F3F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  <w:r>
              <w:object w:dxaOrig="8835" w:dyaOrig="8040">
                <v:shape id="_x0000_i1040" type="#_x0000_t75" style="width:366.75pt;height:333.75pt" o:ole="">
                  <v:imagedata r:id="rId66" o:title=""/>
                </v:shape>
                <o:OLEObject Type="Embed" ProgID="PBrush" ShapeID="_x0000_i1040" DrawAspect="Content" ObjectID="_1581258714" r:id="rId67"/>
              </w:object>
            </w:r>
          </w:p>
          <w:p w:rsidR="00385818" w:rsidRDefault="00385818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</w:p>
          <w:p w:rsidR="00CE0496" w:rsidRDefault="009A00F5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  <w:hyperlink r:id="rId68" w:history="1">
              <w:r w:rsidR="002737B3" w:rsidRPr="00C46132">
                <w:rPr>
                  <w:rStyle w:val="Hyperlink"/>
                  <w:rFonts w:ascii="Calibri" w:eastAsia="Times New Roman" w:hAnsi="Calibri" w:cs="Times New Roman"/>
                  <w:b/>
                  <w:bCs/>
                  <w:lang w:val="en-US"/>
                </w:rPr>
                <w:t>https://www.wellsfargo.com/mortgage/rates/refinance-assumptions?prod=17</w:t>
              </w:r>
            </w:hyperlink>
            <w:r w:rsidR="002737B3"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  <w:t xml:space="preserve"> </w:t>
            </w:r>
          </w:p>
          <w:p w:rsidR="002737B3" w:rsidRDefault="002737B3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</w:p>
          <w:p w:rsidR="002737B3" w:rsidRDefault="002737B3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  <w:r>
              <w:object w:dxaOrig="8445" w:dyaOrig="5340">
                <v:shape id="_x0000_i1041" type="#_x0000_t75" style="width:422.25pt;height:267pt" o:ole="">
                  <v:imagedata r:id="rId69" o:title=""/>
                </v:shape>
                <o:OLEObject Type="Embed" ProgID="PBrush" ShapeID="_x0000_i1041" DrawAspect="Content" ObjectID="_1581258715" r:id="rId70"/>
              </w:object>
            </w:r>
          </w:p>
          <w:p w:rsidR="008A2953" w:rsidRPr="00EB5E49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</w:p>
        </w:tc>
        <w:tc>
          <w:tcPr>
            <w:tcW w:w="7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A2953" w:rsidRPr="00EB5E49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</w:tr>
    </w:tbl>
    <w:p w:rsidR="002737B3" w:rsidRDefault="009A00F5" w:rsidP="006A2872">
      <w:hyperlink r:id="rId71" w:history="1">
        <w:r w:rsidR="002737B3" w:rsidRPr="00C46132">
          <w:rPr>
            <w:rStyle w:val="Hyperlink"/>
          </w:rPr>
          <w:t>https://www.wellsfargo.com/mortgage/rates/refinance-assumptions?prod=18</w:t>
        </w:r>
      </w:hyperlink>
      <w:r w:rsidR="002737B3">
        <w:t xml:space="preserve"> </w:t>
      </w:r>
    </w:p>
    <w:p w:rsidR="002737B3" w:rsidRDefault="002737B3" w:rsidP="006A2872">
      <w:r>
        <w:rPr>
          <w:noProof/>
          <w:lang w:eastAsia="en-IN"/>
        </w:rPr>
        <w:drawing>
          <wp:inline distT="0" distB="0" distL="0" distR="0">
            <wp:extent cx="5105400" cy="3457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7B3" w:rsidRDefault="002737B3" w:rsidP="006A2872"/>
    <w:p w:rsidR="002737B3" w:rsidRDefault="009A00F5" w:rsidP="006A2872">
      <w:hyperlink r:id="rId73" w:history="1">
        <w:r w:rsidR="002737B3" w:rsidRPr="00C46132">
          <w:rPr>
            <w:rStyle w:val="Hyperlink"/>
          </w:rPr>
          <w:t>https://www.wellsfargo.com/mortgage/rates/refinance-assumptions?prod=19</w:t>
        </w:r>
      </w:hyperlink>
      <w:r w:rsidR="002737B3">
        <w:t xml:space="preserve"> </w:t>
      </w:r>
    </w:p>
    <w:p w:rsidR="002737B3" w:rsidRDefault="002737B3" w:rsidP="006A2872">
      <w:r>
        <w:rPr>
          <w:noProof/>
          <w:lang w:eastAsia="en-IN"/>
        </w:rPr>
        <w:drawing>
          <wp:inline distT="0" distB="0" distL="0" distR="0">
            <wp:extent cx="5724525" cy="21050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923" w:type="dxa"/>
        <w:tblInd w:w="98" w:type="dxa"/>
        <w:tblLook w:val="04A0" w:firstRow="1" w:lastRow="0" w:firstColumn="1" w:lastColumn="0" w:noHBand="0" w:noVBand="1"/>
      </w:tblPr>
      <w:tblGrid>
        <w:gridCol w:w="770"/>
        <w:gridCol w:w="217"/>
        <w:gridCol w:w="705"/>
        <w:gridCol w:w="248"/>
        <w:gridCol w:w="701"/>
        <w:gridCol w:w="245"/>
        <w:gridCol w:w="632"/>
        <w:gridCol w:w="237"/>
        <w:gridCol w:w="421"/>
        <w:gridCol w:w="422"/>
        <w:gridCol w:w="216"/>
        <w:gridCol w:w="508"/>
        <w:gridCol w:w="216"/>
        <w:gridCol w:w="222"/>
        <w:gridCol w:w="610"/>
        <w:gridCol w:w="982"/>
        <w:gridCol w:w="893"/>
        <w:gridCol w:w="678"/>
      </w:tblGrid>
      <w:tr w:rsidR="008A2953" w:rsidRPr="00737CBF" w:rsidTr="00A56413">
        <w:trPr>
          <w:trHeight w:val="213"/>
        </w:trPr>
        <w:tc>
          <w:tcPr>
            <w:tcW w:w="9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2953" w:rsidRPr="00737CBF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2953" w:rsidRPr="00737CBF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94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A2953" w:rsidRPr="00737CBF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87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A2953" w:rsidRPr="00737CBF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65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A2953" w:rsidRPr="00737CBF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63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A2953" w:rsidRPr="00737CBF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72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A2953" w:rsidRPr="00737CBF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8A2953" w:rsidRPr="00737CBF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2953" w:rsidRPr="00737CBF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9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2953" w:rsidRPr="00737CBF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2953" w:rsidRPr="00737CBF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  <w:tc>
          <w:tcPr>
            <w:tcW w:w="6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8A2953" w:rsidRPr="00737CBF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/>
              </w:rPr>
            </w:pPr>
          </w:p>
        </w:tc>
      </w:tr>
      <w:tr w:rsidR="008A2953" w:rsidRPr="00737CBF" w:rsidTr="00A56413">
        <w:trPr>
          <w:trHeight w:val="213"/>
        </w:trPr>
        <w:tc>
          <w:tcPr>
            <w:tcW w:w="770" w:type="dxa"/>
            <w:tcBorders>
              <w:top w:val="nil"/>
              <w:left w:val="nil"/>
              <w:bottom w:val="nil"/>
              <w:right w:val="nil"/>
            </w:tcBorders>
          </w:tcPr>
          <w:p w:rsidR="008A2953" w:rsidRPr="00737CBF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</w:p>
        </w:tc>
        <w:tc>
          <w:tcPr>
            <w:tcW w:w="117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8A2953" w:rsidRPr="00737CBF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</w:p>
        </w:tc>
        <w:tc>
          <w:tcPr>
            <w:tcW w:w="94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A2953" w:rsidRPr="00737CBF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</w:p>
        </w:tc>
        <w:tc>
          <w:tcPr>
            <w:tcW w:w="86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A2953" w:rsidRPr="00737CBF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</w:p>
        </w:tc>
        <w:tc>
          <w:tcPr>
            <w:tcW w:w="84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A2953" w:rsidRPr="00737CBF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</w:p>
        </w:tc>
        <w:tc>
          <w:tcPr>
            <w:tcW w:w="72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8A2953" w:rsidRPr="00737CBF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</w:p>
        </w:tc>
        <w:tc>
          <w:tcPr>
            <w:tcW w:w="3601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8A2953" w:rsidRPr="00737CBF" w:rsidRDefault="008A2953" w:rsidP="006A287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/>
              </w:rPr>
            </w:pPr>
          </w:p>
        </w:tc>
      </w:tr>
    </w:tbl>
    <w:p w:rsidR="008A2953" w:rsidRDefault="009A00F5" w:rsidP="006A2872">
      <w:pPr>
        <w:rPr>
          <w:b/>
        </w:rPr>
      </w:pPr>
      <w:hyperlink r:id="rId75" w:history="1">
        <w:r w:rsidR="002737B3" w:rsidRPr="00C46132">
          <w:rPr>
            <w:rStyle w:val="Hyperlink"/>
            <w:b/>
          </w:rPr>
          <w:t>https://www.wellsfargo.com/mortgage/rates/refinance-assumptions?prod=20</w:t>
        </w:r>
      </w:hyperlink>
      <w:r w:rsidR="002737B3">
        <w:rPr>
          <w:b/>
        </w:rPr>
        <w:t xml:space="preserve"> </w:t>
      </w:r>
    </w:p>
    <w:p w:rsidR="002737B3" w:rsidRPr="00366EA4" w:rsidRDefault="002737B3" w:rsidP="006A2872">
      <w:pPr>
        <w:rPr>
          <w:b/>
        </w:rPr>
      </w:pPr>
    </w:p>
    <w:p w:rsidR="0033701A" w:rsidRDefault="000F1024" w:rsidP="006A2872">
      <w:r>
        <w:rPr>
          <w:noProof/>
          <w:lang w:eastAsia="en-IN"/>
        </w:rPr>
        <w:lastRenderedPageBreak/>
        <w:drawing>
          <wp:inline distT="0" distB="0" distL="0" distR="0">
            <wp:extent cx="5267325" cy="27241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7B3" w:rsidRPr="008A2953" w:rsidRDefault="002737B3" w:rsidP="006A2872">
      <w:bookmarkStart w:id="0" w:name="_GoBack"/>
      <w:bookmarkEnd w:id="0"/>
    </w:p>
    <w:sectPr w:rsidR="002737B3" w:rsidRPr="008A29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84133C"/>
    <w:multiLevelType w:val="hybridMultilevel"/>
    <w:tmpl w:val="589267FE"/>
    <w:lvl w:ilvl="0" w:tplc="ADA40C4E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5D45AF"/>
    <w:multiLevelType w:val="hybridMultilevel"/>
    <w:tmpl w:val="C2E6A9C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256261"/>
    <w:multiLevelType w:val="hybridMultilevel"/>
    <w:tmpl w:val="D03C18B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DE26AF"/>
    <w:multiLevelType w:val="hybridMultilevel"/>
    <w:tmpl w:val="9B4A0A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B05755"/>
    <w:multiLevelType w:val="hybridMultilevel"/>
    <w:tmpl w:val="B900C5EA"/>
    <w:lvl w:ilvl="0" w:tplc="27D4432E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2953"/>
    <w:rsid w:val="0001122B"/>
    <w:rsid w:val="000F1024"/>
    <w:rsid w:val="001020E1"/>
    <w:rsid w:val="002737B3"/>
    <w:rsid w:val="00277B1E"/>
    <w:rsid w:val="00280522"/>
    <w:rsid w:val="002D64B9"/>
    <w:rsid w:val="002F77FA"/>
    <w:rsid w:val="003259CB"/>
    <w:rsid w:val="003354B6"/>
    <w:rsid w:val="0033701A"/>
    <w:rsid w:val="00357A56"/>
    <w:rsid w:val="003710C4"/>
    <w:rsid w:val="00385818"/>
    <w:rsid w:val="003F095B"/>
    <w:rsid w:val="00412E3E"/>
    <w:rsid w:val="004214D4"/>
    <w:rsid w:val="004709D2"/>
    <w:rsid w:val="0048009B"/>
    <w:rsid w:val="00526CAA"/>
    <w:rsid w:val="0052757A"/>
    <w:rsid w:val="00531F3F"/>
    <w:rsid w:val="005C1D0D"/>
    <w:rsid w:val="00660ED1"/>
    <w:rsid w:val="006A2872"/>
    <w:rsid w:val="006F2204"/>
    <w:rsid w:val="008A2953"/>
    <w:rsid w:val="00935057"/>
    <w:rsid w:val="009A00F5"/>
    <w:rsid w:val="00A47A6B"/>
    <w:rsid w:val="00B15AE8"/>
    <w:rsid w:val="00B44E10"/>
    <w:rsid w:val="00BB10A5"/>
    <w:rsid w:val="00BC6688"/>
    <w:rsid w:val="00C4133C"/>
    <w:rsid w:val="00C456C2"/>
    <w:rsid w:val="00CC0A8A"/>
    <w:rsid w:val="00CE0496"/>
    <w:rsid w:val="00CE34CC"/>
    <w:rsid w:val="00D30B46"/>
    <w:rsid w:val="00E32AD8"/>
    <w:rsid w:val="00F33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F1C9A73-711D-40BC-9BA0-C4ABD0D645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1122B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A2953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8A295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A29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295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wellsfargo.com/checking/everyday/" TargetMode="External"/><Relationship Id="rId18" Type="http://schemas.openxmlformats.org/officeDocument/2006/relationships/hyperlink" Target="https://www.wellsfargo.com/checking/opportunity/" TargetMode="External"/><Relationship Id="rId26" Type="http://schemas.openxmlformats.org/officeDocument/2006/relationships/hyperlink" Target="https://www.wellsfargo.com/mortgage/rates/purchase-assumptions?prod=3" TargetMode="External"/><Relationship Id="rId39" Type="http://schemas.openxmlformats.org/officeDocument/2006/relationships/image" Target="media/image16.png"/><Relationship Id="rId21" Type="http://schemas.openxmlformats.org/officeDocument/2006/relationships/image" Target="media/image10.png"/><Relationship Id="rId34" Type="http://schemas.openxmlformats.org/officeDocument/2006/relationships/oleObject" Target="embeddings/oleObject5.bin"/><Relationship Id="rId42" Type="http://schemas.openxmlformats.org/officeDocument/2006/relationships/image" Target="media/image17.png"/><Relationship Id="rId47" Type="http://schemas.openxmlformats.org/officeDocument/2006/relationships/hyperlink" Target="https://www.wellsfargo.com/mortgage/rates/purchase-assumptions?prod=7" TargetMode="External"/><Relationship Id="rId50" Type="http://schemas.openxmlformats.org/officeDocument/2006/relationships/hyperlink" Target="https://www.wellsfargo.com/mortgage/rates/refinance-assumptions?prod=11" TargetMode="External"/><Relationship Id="rId55" Type="http://schemas.openxmlformats.org/officeDocument/2006/relationships/oleObject" Target="embeddings/oleObject12.bin"/><Relationship Id="rId63" Type="http://schemas.openxmlformats.org/officeDocument/2006/relationships/image" Target="media/image24.png"/><Relationship Id="rId68" Type="http://schemas.openxmlformats.org/officeDocument/2006/relationships/hyperlink" Target="https://www.wellsfargo.com/mortgage/rates/refinance-assumptions?prod=17" TargetMode="External"/><Relationship Id="rId76" Type="http://schemas.openxmlformats.org/officeDocument/2006/relationships/image" Target="media/image29.png"/><Relationship Id="rId7" Type="http://schemas.openxmlformats.org/officeDocument/2006/relationships/hyperlink" Target="https://www.wellsfargo.com/savings-cds/rates/" TargetMode="External"/><Relationship Id="rId71" Type="http://schemas.openxmlformats.org/officeDocument/2006/relationships/hyperlink" Target="https://www.wellsfargo.com/mortgage/rates/refinance-assumptions?prod=18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wellsfargo.com/checking/portfolio/" TargetMode="External"/><Relationship Id="rId29" Type="http://schemas.openxmlformats.org/officeDocument/2006/relationships/hyperlink" Target="https://www.wellsfargo.com/mortgage/rates/purchase-assumptions?prod=4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hyperlink" Target="https://www.wellsfargo.com/mortgage/rates/purchase-assumptions?prod=5" TargetMode="External"/><Relationship Id="rId37" Type="http://schemas.openxmlformats.org/officeDocument/2006/relationships/oleObject" Target="embeddings/oleObject6.bin"/><Relationship Id="rId40" Type="http://schemas.openxmlformats.org/officeDocument/2006/relationships/oleObject" Target="embeddings/oleObject7.bin"/><Relationship Id="rId45" Type="http://schemas.openxmlformats.org/officeDocument/2006/relationships/image" Target="media/image18.png"/><Relationship Id="rId53" Type="http://schemas.openxmlformats.org/officeDocument/2006/relationships/hyperlink" Target="https://www.wellsfargo.com/mortgage/rates/refinance-assumptions?prod=12" TargetMode="External"/><Relationship Id="rId58" Type="http://schemas.openxmlformats.org/officeDocument/2006/relationships/oleObject" Target="embeddings/oleObject13.bin"/><Relationship Id="rId66" Type="http://schemas.openxmlformats.org/officeDocument/2006/relationships/image" Target="media/image25.png"/><Relationship Id="rId74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ww.wellsfargo.com/mortgage/rates/purchase-assumptions?prod=2" TargetMode="External"/><Relationship Id="rId28" Type="http://schemas.openxmlformats.org/officeDocument/2006/relationships/oleObject" Target="embeddings/oleObject3.bin"/><Relationship Id="rId36" Type="http://schemas.openxmlformats.org/officeDocument/2006/relationships/image" Target="media/image15.png"/><Relationship Id="rId49" Type="http://schemas.openxmlformats.org/officeDocument/2006/relationships/oleObject" Target="embeddings/oleObject10.bin"/><Relationship Id="rId57" Type="http://schemas.openxmlformats.org/officeDocument/2006/relationships/image" Target="media/image22.png"/><Relationship Id="rId61" Type="http://schemas.openxmlformats.org/officeDocument/2006/relationships/oleObject" Target="embeddings/oleObject14.bin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oleObject" Target="embeddings/oleObject4.bin"/><Relationship Id="rId44" Type="http://schemas.openxmlformats.org/officeDocument/2006/relationships/hyperlink" Target="https://www.wellsfargo.com/mortgage/rates/purchase-assumptions?prod=10" TargetMode="External"/><Relationship Id="rId52" Type="http://schemas.openxmlformats.org/officeDocument/2006/relationships/oleObject" Target="embeddings/oleObject11.bin"/><Relationship Id="rId60" Type="http://schemas.openxmlformats.org/officeDocument/2006/relationships/image" Target="media/image23.png"/><Relationship Id="rId65" Type="http://schemas.openxmlformats.org/officeDocument/2006/relationships/hyperlink" Target="https://www.wellsfargo.com/mortgage/rates/refinance-assumptions?prod=16" TargetMode="External"/><Relationship Id="rId73" Type="http://schemas.openxmlformats.org/officeDocument/2006/relationships/hyperlink" Target="https://www.wellsfargo.com/mortgage/rates/refinance-assumptions?prod=19" TargetMode="External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oleObject" Target="embeddings/oleObject1.bin"/><Relationship Id="rId27" Type="http://schemas.openxmlformats.org/officeDocument/2006/relationships/image" Target="media/image12.png"/><Relationship Id="rId30" Type="http://schemas.openxmlformats.org/officeDocument/2006/relationships/image" Target="media/image13.png"/><Relationship Id="rId35" Type="http://schemas.openxmlformats.org/officeDocument/2006/relationships/hyperlink" Target="https://www.wellsfargo.com/mortgage/rates/purchase-assumptions?prod=6" TargetMode="External"/><Relationship Id="rId43" Type="http://schemas.openxmlformats.org/officeDocument/2006/relationships/oleObject" Target="embeddings/oleObject8.bin"/><Relationship Id="rId48" Type="http://schemas.openxmlformats.org/officeDocument/2006/relationships/image" Target="media/image19.png"/><Relationship Id="rId56" Type="http://schemas.openxmlformats.org/officeDocument/2006/relationships/hyperlink" Target="https://www.wellsfargo.com/mortgage/rates/refinance-assumptions?prod=13" TargetMode="External"/><Relationship Id="rId64" Type="http://schemas.openxmlformats.org/officeDocument/2006/relationships/oleObject" Target="embeddings/oleObject15.bin"/><Relationship Id="rId69" Type="http://schemas.openxmlformats.org/officeDocument/2006/relationships/image" Target="media/image26.png"/><Relationship Id="rId7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20.png"/><Relationship Id="rId72" Type="http://schemas.openxmlformats.org/officeDocument/2006/relationships/image" Target="media/image27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oleObject" Target="embeddings/oleObject2.bin"/><Relationship Id="rId33" Type="http://schemas.openxmlformats.org/officeDocument/2006/relationships/image" Target="media/image14.png"/><Relationship Id="rId38" Type="http://schemas.openxmlformats.org/officeDocument/2006/relationships/hyperlink" Target="https://www.wellsfargo.com/mortgage/rates/purchase-assumptions?prod=8" TargetMode="External"/><Relationship Id="rId46" Type="http://schemas.openxmlformats.org/officeDocument/2006/relationships/oleObject" Target="embeddings/oleObject9.bin"/><Relationship Id="rId59" Type="http://schemas.openxmlformats.org/officeDocument/2006/relationships/hyperlink" Target="https://www.wellsfargo.com/mortgage/rates/refinance-assumptions?prod=14" TargetMode="External"/><Relationship Id="rId67" Type="http://schemas.openxmlformats.org/officeDocument/2006/relationships/oleObject" Target="embeddings/oleObject16.bin"/><Relationship Id="rId20" Type="http://schemas.openxmlformats.org/officeDocument/2006/relationships/hyperlink" Target="https://www.wellsfargo.com/mortgage/rates/purchase-assumptions?prod=1" TargetMode="External"/><Relationship Id="rId41" Type="http://schemas.openxmlformats.org/officeDocument/2006/relationships/hyperlink" Target="https://www.wellsfargo.com/mortgage/rates/purchase-assumptions?prod=9" TargetMode="External"/><Relationship Id="rId54" Type="http://schemas.openxmlformats.org/officeDocument/2006/relationships/image" Target="media/image21.png"/><Relationship Id="rId62" Type="http://schemas.openxmlformats.org/officeDocument/2006/relationships/hyperlink" Target="https://www.wellsfargo.com/mortgage/rates/refinance-assumptions?prod=15" TargetMode="External"/><Relationship Id="rId70" Type="http://schemas.openxmlformats.org/officeDocument/2006/relationships/oleObject" Target="embeddings/oleObject17.bin"/><Relationship Id="rId75" Type="http://schemas.openxmlformats.org/officeDocument/2006/relationships/hyperlink" Target="https://www.wellsfargo.com/mortgage/rates/refinance-assumptions?prod=20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hackathonScrapping/BANK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987181-C2C8-4E50-AE73-63B7DDF54C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869</Words>
  <Characters>4955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5813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Ullas Kumar</dc:creator>
  <cp:lastModifiedBy>Ramesh tunga</cp:lastModifiedBy>
  <cp:revision>2</cp:revision>
  <dcterms:created xsi:type="dcterms:W3CDTF">2018-02-27T12:15:00Z</dcterms:created>
  <dcterms:modified xsi:type="dcterms:W3CDTF">2018-02-27T12:15:00Z</dcterms:modified>
</cp:coreProperties>
</file>