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569" w:type="dxa"/>
        <w:tblLook w:val="04A0" w:firstRow="1" w:lastRow="0" w:firstColumn="1" w:lastColumn="0" w:noHBand="0" w:noVBand="1"/>
      </w:tblPr>
      <w:tblGrid>
        <w:gridCol w:w="658"/>
        <w:gridCol w:w="9911"/>
      </w:tblGrid>
      <w:tr w:rsidR="00B9226F" w:rsidRPr="00B9226F" w:rsidTr="00B9226F">
        <w:tc>
          <w:tcPr>
            <w:tcW w:w="658" w:type="dxa"/>
          </w:tcPr>
          <w:p w:rsidR="00B9226F" w:rsidRPr="00B9226F" w:rsidRDefault="00B9226F">
            <w:pPr>
              <w:rPr>
                <w:rFonts w:asciiTheme="majorHAnsi" w:hAnsiTheme="majorHAnsi" w:cstheme="majorHAnsi"/>
                <w:sz w:val="22"/>
              </w:rPr>
            </w:pPr>
            <w:r w:rsidRPr="00B9226F">
              <w:rPr>
                <w:rFonts w:asciiTheme="majorHAnsi" w:hAnsiTheme="majorHAnsi" w:cstheme="majorHAnsi"/>
                <w:sz w:val="22"/>
              </w:rPr>
              <w:t>IE</w:t>
            </w:r>
          </w:p>
        </w:tc>
        <w:tc>
          <w:tcPr>
            <w:tcW w:w="9911" w:type="dxa"/>
          </w:tcPr>
          <w:p w:rsidR="00C71EED" w:rsidRDefault="00C71EED" w:rsidP="00B9226F">
            <w:pPr>
              <w:widowControl/>
              <w:rPr>
                <w:rFonts w:asciiTheme="majorHAnsi" w:hAnsiTheme="majorHAnsi" w:cstheme="majorHAnsi" w:hint="eastAsia"/>
                <w:color w:val="000000"/>
                <w:sz w:val="22"/>
              </w:rPr>
            </w:pPr>
            <w:r>
              <w:rPr>
                <w:rFonts w:asciiTheme="majorHAnsi" w:hAnsiTheme="majorHAnsi" w:cstheme="majorHAnsi" w:hint="eastAsia"/>
                <w:color w:val="000000"/>
                <w:sz w:val="22"/>
              </w:rPr>
              <w:t>Indicative Equilibrium Price</w:t>
            </w:r>
          </w:p>
          <w:p w:rsidR="00B9226F" w:rsidRPr="00B9226F" w:rsidRDefault="00B9226F" w:rsidP="00507D35">
            <w:pPr>
              <w:widowControl/>
              <w:rPr>
                <w:rFonts w:asciiTheme="majorHAnsi" w:hAnsiTheme="majorHAnsi" w:cstheme="majorHAnsi" w:hint="eastAsia"/>
                <w:color w:val="000000"/>
                <w:sz w:val="22"/>
              </w:rPr>
            </w:pPr>
            <w:r w:rsidRPr="00B9226F">
              <w:rPr>
                <w:rFonts w:asciiTheme="majorHAnsi" w:hAnsiTheme="majorHAnsi" w:cstheme="majorHAnsi"/>
                <w:color w:val="000000"/>
                <w:sz w:val="22"/>
              </w:rPr>
              <w:t>An IEP is calculated during Pre-opening and Closing Auction sessions. This value will only be calculated if the highest bid p</w:t>
            </w:r>
            <w:bookmarkStart w:id="0" w:name="_GoBack"/>
            <w:bookmarkEnd w:id="0"/>
            <w:r w:rsidRPr="00B9226F">
              <w:rPr>
                <w:rFonts w:asciiTheme="majorHAnsi" w:hAnsiTheme="majorHAnsi" w:cstheme="majorHAnsi"/>
                <w:color w:val="000000"/>
                <w:sz w:val="22"/>
              </w:rPr>
              <w:t>rice of the buy at-auction limit orders is equal to or higher than the lowest ask price of th</w:t>
            </w:r>
            <w:r w:rsidR="00507D35">
              <w:rPr>
                <w:rFonts w:asciiTheme="majorHAnsi" w:hAnsiTheme="majorHAnsi" w:cstheme="majorHAnsi"/>
                <w:color w:val="000000"/>
                <w:sz w:val="22"/>
              </w:rPr>
              <w:t>e sell at-auction limit orders.</w:t>
            </w:r>
            <w:r w:rsidRPr="00B9226F">
              <w:rPr>
                <w:rFonts w:asciiTheme="majorHAnsi" w:hAnsiTheme="majorHAnsi" w:cstheme="majorHAnsi"/>
                <w:color w:val="000000"/>
                <w:sz w:val="22"/>
              </w:rPr>
              <w:t xml:space="preserve"> If the final IEP of a security can be establish</w:t>
            </w:r>
            <w:r>
              <w:rPr>
                <w:rFonts w:asciiTheme="majorHAnsi" w:hAnsiTheme="majorHAnsi" w:cstheme="majorHAnsi"/>
                <w:color w:val="000000"/>
                <w:sz w:val="22"/>
              </w:rPr>
              <w:t xml:space="preserve">ed at the end of the sessions, </w:t>
            </w:r>
            <w:r w:rsidRPr="00B9226F">
              <w:rPr>
                <w:rFonts w:asciiTheme="majorHAnsi" w:hAnsiTheme="majorHAnsi" w:cstheme="majorHAnsi"/>
                <w:color w:val="000000"/>
                <w:sz w:val="22"/>
              </w:rPr>
              <w:t>auction orders for that security will be executed in order type, price and time priority at that final IEP, and such final IEP will become the opening (closing) price of that particular security.</w:t>
            </w:r>
          </w:p>
        </w:tc>
      </w:tr>
      <w:tr w:rsidR="00B9226F" w:rsidRPr="00B9226F" w:rsidTr="00B9226F">
        <w:tc>
          <w:tcPr>
            <w:tcW w:w="658" w:type="dxa"/>
          </w:tcPr>
          <w:p w:rsidR="00B9226F" w:rsidRPr="00B9226F" w:rsidRDefault="00B9226F">
            <w:pPr>
              <w:rPr>
                <w:rFonts w:asciiTheme="majorHAnsi" w:hAnsiTheme="majorHAnsi" w:cstheme="majorHAnsi"/>
                <w:sz w:val="22"/>
              </w:rPr>
            </w:pPr>
            <w:r w:rsidRPr="00B9226F">
              <w:rPr>
                <w:rFonts w:asciiTheme="majorHAnsi" w:hAnsiTheme="majorHAnsi" w:cstheme="majorHAnsi"/>
                <w:sz w:val="22"/>
              </w:rPr>
              <w:t>M</w:t>
            </w:r>
          </w:p>
        </w:tc>
        <w:tc>
          <w:tcPr>
            <w:tcW w:w="9911" w:type="dxa"/>
          </w:tcPr>
          <w:p w:rsidR="00B9226F" w:rsidRPr="00B9226F" w:rsidRDefault="00B9226F" w:rsidP="00B9226F">
            <w:pPr>
              <w:rPr>
                <w:rFonts w:asciiTheme="majorHAnsi" w:hAnsiTheme="majorHAnsi" w:cstheme="majorHAnsi"/>
                <w:sz w:val="22"/>
              </w:rPr>
            </w:pPr>
            <w:r w:rsidRPr="00B9226F">
              <w:rPr>
                <w:rFonts w:asciiTheme="majorHAnsi" w:hAnsiTheme="majorHAnsi" w:cstheme="majorHAnsi"/>
                <w:sz w:val="22"/>
              </w:rPr>
              <w:t xml:space="preserve">Manual Non-Direct Business Transaction: Board lot Trade which is not struck by the trading system and concluded between 2 different </w:t>
            </w:r>
            <w:r>
              <w:rPr>
                <w:rFonts w:asciiTheme="majorHAnsi" w:hAnsiTheme="majorHAnsi" w:cstheme="majorHAnsi"/>
                <w:sz w:val="22"/>
              </w:rPr>
              <w:t xml:space="preserve">Exchange Participants ("EPs"). </w:t>
            </w:r>
            <w:r w:rsidRPr="00B9226F">
              <w:rPr>
                <w:rFonts w:asciiTheme="majorHAnsi" w:hAnsiTheme="majorHAnsi" w:cstheme="majorHAnsi"/>
                <w:sz w:val="22"/>
              </w:rPr>
              <w:t>EPs are required to record the trade in the system according to the Rules of the Exchange. Special Lot Non-Direct Business Transaction: Special lot (shares trades may not in board lot) trade concluded between 2 different EPs.  Transaction is concluded by using the operation specified for odd lot transactions according to the Rules of the Exchange.</w:t>
            </w:r>
          </w:p>
        </w:tc>
      </w:tr>
      <w:tr w:rsidR="00B9226F" w:rsidRPr="00B9226F" w:rsidTr="00B9226F">
        <w:tc>
          <w:tcPr>
            <w:tcW w:w="658" w:type="dxa"/>
          </w:tcPr>
          <w:p w:rsidR="00B9226F" w:rsidRPr="00B9226F" w:rsidRDefault="00B9226F">
            <w:pPr>
              <w:rPr>
                <w:rFonts w:asciiTheme="majorHAnsi" w:hAnsiTheme="majorHAnsi" w:cstheme="majorHAnsi"/>
                <w:sz w:val="22"/>
              </w:rPr>
            </w:pPr>
            <w:r w:rsidRPr="00B9226F">
              <w:rPr>
                <w:rFonts w:asciiTheme="majorHAnsi" w:hAnsiTheme="majorHAnsi" w:cstheme="majorHAnsi"/>
                <w:sz w:val="22"/>
              </w:rPr>
              <w:t>OC</w:t>
            </w:r>
          </w:p>
        </w:tc>
        <w:tc>
          <w:tcPr>
            <w:tcW w:w="9911" w:type="dxa"/>
          </w:tcPr>
          <w:p w:rsidR="00B9226F" w:rsidRPr="00B9226F" w:rsidRDefault="00B9226F" w:rsidP="00B9226F">
            <w:pPr>
              <w:rPr>
                <w:rFonts w:asciiTheme="majorHAnsi" w:hAnsiTheme="majorHAnsi" w:cstheme="majorHAnsi"/>
                <w:sz w:val="22"/>
              </w:rPr>
            </w:pPr>
            <w:r w:rsidRPr="00B9226F">
              <w:rPr>
                <w:rFonts w:asciiTheme="majorHAnsi" w:hAnsiTheme="majorHAnsi" w:cstheme="majorHAnsi"/>
                <w:sz w:val="22"/>
              </w:rPr>
              <w:t>The closing price of a closing auction session (CAS) ineligible security is determined by taking the median of five nominal prices in the last minute of the continuous trading session. The system will take up five snapshots on the nominal prices at 15-second interval starting from 15:59:00.</w:t>
            </w:r>
          </w:p>
          <w:p w:rsidR="00B9226F" w:rsidRPr="00B9226F" w:rsidRDefault="00B9226F" w:rsidP="00B9226F">
            <w:pPr>
              <w:rPr>
                <w:rFonts w:asciiTheme="majorHAnsi" w:hAnsiTheme="majorHAnsi" w:cstheme="majorHAnsi"/>
                <w:sz w:val="22"/>
              </w:rPr>
            </w:pPr>
          </w:p>
          <w:p w:rsidR="00B9226F" w:rsidRPr="00B9226F" w:rsidRDefault="00B9226F" w:rsidP="00B9226F">
            <w:pPr>
              <w:rPr>
                <w:rFonts w:asciiTheme="majorHAnsi" w:hAnsiTheme="majorHAnsi" w:cstheme="majorHAnsi"/>
                <w:sz w:val="22"/>
              </w:rPr>
            </w:pPr>
            <w:r w:rsidRPr="00B9226F">
              <w:rPr>
                <w:rFonts w:asciiTheme="majorHAnsi" w:hAnsiTheme="majorHAnsi" w:cstheme="majorHAnsi"/>
                <w:sz w:val="22"/>
              </w:rPr>
              <w:t>For CAS eligible securities, the closing price would be the final indicative equilibrium price (IEP). If the final IEP Is not available, the reference price, which is the median of five nominal prices in the last minute of the continuous trading session, would be used as the closing price.</w:t>
            </w:r>
          </w:p>
          <w:p w:rsidR="00B9226F" w:rsidRPr="00B9226F" w:rsidRDefault="00B9226F" w:rsidP="00B9226F">
            <w:pPr>
              <w:rPr>
                <w:rFonts w:asciiTheme="majorHAnsi" w:hAnsiTheme="majorHAnsi" w:cstheme="majorHAnsi"/>
                <w:sz w:val="22"/>
              </w:rPr>
            </w:pPr>
          </w:p>
          <w:p w:rsidR="00B9226F" w:rsidRPr="00B9226F" w:rsidRDefault="00B9226F" w:rsidP="00B9226F">
            <w:pPr>
              <w:rPr>
                <w:rFonts w:asciiTheme="majorHAnsi" w:hAnsiTheme="majorHAnsi" w:cstheme="majorHAnsi"/>
                <w:sz w:val="22"/>
              </w:rPr>
            </w:pPr>
            <w:r w:rsidRPr="00B9226F">
              <w:rPr>
                <w:rFonts w:asciiTheme="majorHAnsi" w:hAnsiTheme="majorHAnsi" w:cstheme="majorHAnsi"/>
                <w:sz w:val="22"/>
              </w:rPr>
              <w:t>The closing price will be disseminating between 16:08:00 to 16:10:00 for both CAS eligible and ineligible securities.</w:t>
            </w:r>
          </w:p>
        </w:tc>
      </w:tr>
      <w:tr w:rsidR="00B9226F" w:rsidRPr="00B9226F" w:rsidTr="00B9226F">
        <w:tc>
          <w:tcPr>
            <w:tcW w:w="658" w:type="dxa"/>
          </w:tcPr>
          <w:p w:rsidR="00B9226F" w:rsidRPr="00B9226F" w:rsidRDefault="00B9226F">
            <w:pPr>
              <w:rPr>
                <w:rFonts w:asciiTheme="majorHAnsi" w:hAnsiTheme="majorHAnsi" w:cstheme="majorHAnsi"/>
                <w:sz w:val="22"/>
              </w:rPr>
            </w:pPr>
            <w:r w:rsidRPr="00B9226F">
              <w:rPr>
                <w:rFonts w:asciiTheme="majorHAnsi" w:hAnsiTheme="majorHAnsi" w:cstheme="majorHAnsi"/>
                <w:sz w:val="22"/>
              </w:rPr>
              <w:t>P</w:t>
            </w:r>
          </w:p>
        </w:tc>
        <w:tc>
          <w:tcPr>
            <w:tcW w:w="9911" w:type="dxa"/>
          </w:tcPr>
          <w:p w:rsidR="00B9226F" w:rsidRPr="00B9226F" w:rsidRDefault="00B9226F" w:rsidP="00B9226F">
            <w:pPr>
              <w:widowControl/>
              <w:rPr>
                <w:rFonts w:asciiTheme="majorHAnsi" w:hAnsiTheme="majorHAnsi" w:cstheme="majorHAnsi"/>
                <w:color w:val="000000"/>
                <w:sz w:val="22"/>
              </w:rPr>
            </w:pPr>
            <w:r w:rsidRPr="00B9226F">
              <w:rPr>
                <w:rFonts w:asciiTheme="majorHAnsi" w:hAnsiTheme="majorHAnsi" w:cstheme="majorHAnsi"/>
                <w:color w:val="000000"/>
                <w:sz w:val="22"/>
              </w:rPr>
              <w:t>Trade concluded before the commencement of today's morning session. This includes both direct and non-direct transactions that were concluded but not recorded in the system even before the previous market close.</w:t>
            </w:r>
          </w:p>
        </w:tc>
      </w:tr>
      <w:tr w:rsidR="00B9226F" w:rsidRPr="00B9226F" w:rsidTr="00B9226F">
        <w:tc>
          <w:tcPr>
            <w:tcW w:w="658" w:type="dxa"/>
          </w:tcPr>
          <w:p w:rsidR="00B9226F" w:rsidRPr="00B9226F" w:rsidRDefault="00B9226F" w:rsidP="00B9226F">
            <w:pPr>
              <w:widowControl/>
              <w:rPr>
                <w:rFonts w:asciiTheme="majorHAnsi" w:hAnsiTheme="majorHAnsi" w:cstheme="majorHAnsi"/>
                <w:color w:val="000000"/>
                <w:sz w:val="22"/>
              </w:rPr>
            </w:pPr>
            <w:r w:rsidRPr="00B9226F">
              <w:rPr>
                <w:rFonts w:asciiTheme="majorHAnsi" w:hAnsiTheme="majorHAnsi" w:cstheme="majorHAnsi"/>
                <w:color w:val="000000"/>
                <w:sz w:val="22"/>
              </w:rPr>
              <w:t>X</w:t>
            </w:r>
          </w:p>
        </w:tc>
        <w:tc>
          <w:tcPr>
            <w:tcW w:w="9911" w:type="dxa"/>
          </w:tcPr>
          <w:p w:rsidR="00B9226F" w:rsidRPr="00B9226F" w:rsidRDefault="00B9226F" w:rsidP="00B9226F">
            <w:pPr>
              <w:widowControl/>
              <w:rPr>
                <w:rFonts w:asciiTheme="majorHAnsi" w:hAnsiTheme="majorHAnsi" w:cstheme="majorHAnsi"/>
                <w:color w:val="000000"/>
                <w:sz w:val="22"/>
              </w:rPr>
            </w:pPr>
            <w:r w:rsidRPr="00B9226F">
              <w:rPr>
                <w:rFonts w:asciiTheme="majorHAnsi" w:hAnsiTheme="majorHAnsi" w:cstheme="majorHAnsi"/>
                <w:color w:val="000000"/>
                <w:sz w:val="22"/>
              </w:rPr>
              <w:t xml:space="preserve">Manual Direct Business Transaction: Board lot Trade which is not struck automatically by the trading system and concluded by an EP who acts for both buy and sell side of the trade. EPs are required to record the trade in the system according to the Rules of the Exchange.  Special Lot Direct Business Transaction: Special lot (may not in board lot size) trade </w:t>
            </w:r>
            <w:proofErr w:type="gramStart"/>
            <w:r w:rsidRPr="00B9226F">
              <w:rPr>
                <w:rFonts w:asciiTheme="majorHAnsi" w:hAnsiTheme="majorHAnsi" w:cstheme="majorHAnsi"/>
                <w:color w:val="000000"/>
                <w:sz w:val="22"/>
              </w:rPr>
              <w:t>concluded  by</w:t>
            </w:r>
            <w:proofErr w:type="gramEnd"/>
            <w:r w:rsidRPr="00B9226F">
              <w:rPr>
                <w:rFonts w:asciiTheme="majorHAnsi" w:hAnsiTheme="majorHAnsi" w:cstheme="majorHAnsi"/>
                <w:color w:val="000000"/>
                <w:sz w:val="22"/>
              </w:rPr>
              <w:t xml:space="preserve"> an EP who acts for both buy and sell side of the trade.  Transaction is concluded by using the operation specified for odd lot transactions according to the Rules of the Exchange.</w:t>
            </w:r>
          </w:p>
        </w:tc>
      </w:tr>
      <w:tr w:rsidR="00B9226F" w:rsidRPr="00B9226F" w:rsidTr="00B9226F">
        <w:tc>
          <w:tcPr>
            <w:tcW w:w="658" w:type="dxa"/>
          </w:tcPr>
          <w:p w:rsidR="00B9226F" w:rsidRPr="00B9226F" w:rsidRDefault="00B9226F">
            <w:pPr>
              <w:rPr>
                <w:rFonts w:asciiTheme="majorHAnsi" w:hAnsiTheme="majorHAnsi" w:cstheme="majorHAnsi"/>
                <w:sz w:val="22"/>
              </w:rPr>
            </w:pPr>
            <w:r w:rsidRPr="00B9226F">
              <w:rPr>
                <w:rFonts w:asciiTheme="majorHAnsi" w:hAnsiTheme="majorHAnsi" w:cstheme="majorHAnsi"/>
                <w:sz w:val="22"/>
              </w:rPr>
              <w:t>Y</w:t>
            </w:r>
          </w:p>
        </w:tc>
        <w:tc>
          <w:tcPr>
            <w:tcW w:w="9911" w:type="dxa"/>
          </w:tcPr>
          <w:p w:rsidR="00B9226F" w:rsidRPr="00B9226F" w:rsidRDefault="00B9226F" w:rsidP="00B9226F">
            <w:pPr>
              <w:widowControl/>
              <w:rPr>
                <w:rFonts w:asciiTheme="majorHAnsi" w:hAnsiTheme="majorHAnsi" w:cstheme="majorHAnsi"/>
                <w:color w:val="000000"/>
                <w:sz w:val="22"/>
              </w:rPr>
            </w:pPr>
            <w:proofErr w:type="spellStart"/>
            <w:r w:rsidRPr="00B9226F">
              <w:rPr>
                <w:rFonts w:asciiTheme="majorHAnsi" w:hAnsiTheme="majorHAnsi" w:cstheme="majorHAnsi"/>
                <w:color w:val="000000"/>
                <w:sz w:val="22"/>
              </w:rPr>
              <w:t>Automatch</w:t>
            </w:r>
            <w:proofErr w:type="spellEnd"/>
            <w:r w:rsidRPr="00B9226F">
              <w:rPr>
                <w:rFonts w:asciiTheme="majorHAnsi" w:hAnsiTheme="majorHAnsi" w:cstheme="majorHAnsi"/>
                <w:color w:val="000000"/>
                <w:sz w:val="22"/>
              </w:rPr>
              <w:t xml:space="preserve"> Direct Business Transaction: Trades struck automatically by the trading system with the same EP as both buy and sell side of the trade, during Continuous Trading Session.</w:t>
            </w:r>
          </w:p>
        </w:tc>
      </w:tr>
      <w:tr w:rsidR="00DB6033" w:rsidRPr="00B9226F" w:rsidTr="00B9226F">
        <w:tc>
          <w:tcPr>
            <w:tcW w:w="658" w:type="dxa"/>
          </w:tcPr>
          <w:p w:rsidR="00DB6033" w:rsidRPr="00B9226F" w:rsidRDefault="00DB6033">
            <w:pPr>
              <w:rPr>
                <w:rFonts w:asciiTheme="majorHAnsi" w:hAnsiTheme="majorHAnsi" w:cstheme="majorHAnsi" w:hint="eastAsia"/>
                <w:sz w:val="22"/>
              </w:rPr>
            </w:pPr>
            <w:r>
              <w:rPr>
                <w:rFonts w:asciiTheme="majorHAnsi" w:hAnsiTheme="majorHAnsi" w:cstheme="majorHAnsi" w:hint="eastAsia"/>
                <w:sz w:val="22"/>
              </w:rPr>
              <w:t>D</w:t>
            </w:r>
          </w:p>
        </w:tc>
        <w:tc>
          <w:tcPr>
            <w:tcW w:w="9911" w:type="dxa"/>
          </w:tcPr>
          <w:p w:rsidR="00DB6033" w:rsidRPr="00B9226F" w:rsidRDefault="00DB6033" w:rsidP="00B9226F">
            <w:pPr>
              <w:widowControl/>
              <w:rPr>
                <w:rFonts w:asciiTheme="majorHAnsi" w:hAnsiTheme="majorHAnsi" w:cstheme="majorHAnsi"/>
                <w:color w:val="000000"/>
                <w:sz w:val="22"/>
              </w:rPr>
            </w:pPr>
            <w:r>
              <w:rPr>
                <w:rFonts w:asciiTheme="majorHAnsi" w:hAnsiTheme="majorHAnsi" w:cstheme="majorHAnsi" w:hint="eastAsia"/>
                <w:color w:val="000000"/>
                <w:sz w:val="22"/>
              </w:rPr>
              <w:t>Odd-lot Trade</w:t>
            </w:r>
          </w:p>
        </w:tc>
      </w:tr>
      <w:tr w:rsidR="00DB6033" w:rsidRPr="00B9226F" w:rsidTr="00B9226F">
        <w:tc>
          <w:tcPr>
            <w:tcW w:w="658" w:type="dxa"/>
          </w:tcPr>
          <w:p w:rsidR="00DB6033" w:rsidRDefault="00DB6033">
            <w:pPr>
              <w:rPr>
                <w:rFonts w:asciiTheme="majorHAnsi" w:hAnsiTheme="majorHAnsi" w:cstheme="majorHAnsi" w:hint="eastAsia"/>
                <w:sz w:val="22"/>
              </w:rPr>
            </w:pPr>
            <w:r>
              <w:rPr>
                <w:rFonts w:asciiTheme="majorHAnsi" w:hAnsiTheme="majorHAnsi" w:cstheme="majorHAnsi" w:hint="eastAsia"/>
                <w:sz w:val="22"/>
              </w:rPr>
              <w:t>CA</w:t>
            </w:r>
          </w:p>
        </w:tc>
        <w:tc>
          <w:tcPr>
            <w:tcW w:w="9911" w:type="dxa"/>
          </w:tcPr>
          <w:p w:rsidR="00DB6033" w:rsidRDefault="00DB6033" w:rsidP="00B9226F">
            <w:pPr>
              <w:widowControl/>
              <w:rPr>
                <w:rFonts w:asciiTheme="majorHAnsi" w:hAnsiTheme="majorHAnsi" w:cstheme="majorHAnsi" w:hint="eastAsia"/>
                <w:color w:val="000000"/>
                <w:sz w:val="22"/>
              </w:rPr>
            </w:pPr>
            <w:r>
              <w:rPr>
                <w:rFonts w:asciiTheme="majorHAnsi" w:hAnsiTheme="majorHAnsi" w:cstheme="majorHAnsi" w:hint="eastAsia"/>
                <w:color w:val="000000"/>
                <w:sz w:val="22"/>
              </w:rPr>
              <w:t>Closing Auction Trade</w:t>
            </w:r>
          </w:p>
        </w:tc>
      </w:tr>
      <w:tr w:rsidR="00DB6033" w:rsidRPr="00B9226F" w:rsidTr="00B9226F">
        <w:tc>
          <w:tcPr>
            <w:tcW w:w="658" w:type="dxa"/>
          </w:tcPr>
          <w:p w:rsidR="00DB6033" w:rsidRDefault="00DB6033">
            <w:pPr>
              <w:rPr>
                <w:rFonts w:asciiTheme="majorHAnsi" w:hAnsiTheme="majorHAnsi" w:cstheme="majorHAnsi" w:hint="eastAsia"/>
                <w:sz w:val="22"/>
              </w:rPr>
            </w:pPr>
            <w:r>
              <w:rPr>
                <w:rFonts w:asciiTheme="majorHAnsi" w:hAnsiTheme="majorHAnsi" w:cstheme="majorHAnsi"/>
                <w:sz w:val="22"/>
              </w:rPr>
              <w:t>OT</w:t>
            </w:r>
          </w:p>
        </w:tc>
        <w:tc>
          <w:tcPr>
            <w:tcW w:w="9911" w:type="dxa"/>
          </w:tcPr>
          <w:p w:rsidR="00DB6033" w:rsidRDefault="00DB6033" w:rsidP="00B9226F">
            <w:pPr>
              <w:widowControl/>
              <w:rPr>
                <w:rFonts w:asciiTheme="majorHAnsi" w:hAnsiTheme="majorHAnsi" w:cstheme="majorHAnsi" w:hint="eastAsia"/>
                <w:color w:val="000000"/>
                <w:sz w:val="22"/>
              </w:rPr>
            </w:pPr>
            <w:r>
              <w:rPr>
                <w:rFonts w:asciiTheme="majorHAnsi" w:hAnsiTheme="majorHAnsi" w:cstheme="majorHAnsi"/>
                <w:color w:val="000000"/>
                <w:sz w:val="22"/>
              </w:rPr>
              <w:t>Oversea Trade</w:t>
            </w:r>
          </w:p>
        </w:tc>
      </w:tr>
      <w:tr w:rsidR="00DB6033" w:rsidRPr="00B9226F" w:rsidTr="00B9226F">
        <w:tc>
          <w:tcPr>
            <w:tcW w:w="658" w:type="dxa"/>
          </w:tcPr>
          <w:p w:rsidR="00DB6033" w:rsidRDefault="00DB6033">
            <w:pPr>
              <w:rPr>
                <w:rFonts w:asciiTheme="majorHAnsi" w:hAnsiTheme="majorHAnsi" w:cstheme="majorHAnsi" w:hint="eastAsia"/>
                <w:sz w:val="22"/>
              </w:rPr>
            </w:pPr>
            <w:r>
              <w:rPr>
                <w:rFonts w:asciiTheme="majorHAnsi" w:hAnsiTheme="majorHAnsi" w:cstheme="majorHAnsi"/>
                <w:sz w:val="22"/>
              </w:rPr>
              <w:t>U</w:t>
            </w:r>
          </w:p>
        </w:tc>
        <w:tc>
          <w:tcPr>
            <w:tcW w:w="9911" w:type="dxa"/>
          </w:tcPr>
          <w:p w:rsidR="00DB6033" w:rsidRDefault="00DB6033" w:rsidP="00B9226F">
            <w:pPr>
              <w:widowControl/>
              <w:rPr>
                <w:rFonts w:asciiTheme="majorHAnsi" w:hAnsiTheme="majorHAnsi" w:cstheme="majorHAnsi"/>
                <w:color w:val="000000"/>
                <w:sz w:val="22"/>
              </w:rPr>
            </w:pPr>
            <w:r>
              <w:rPr>
                <w:rFonts w:asciiTheme="majorHAnsi" w:hAnsiTheme="majorHAnsi" w:cstheme="majorHAnsi"/>
                <w:color w:val="000000"/>
                <w:sz w:val="22"/>
              </w:rPr>
              <w:t>Opening Auction Trade</w:t>
            </w:r>
          </w:p>
        </w:tc>
      </w:tr>
      <w:tr w:rsidR="00DB6033" w:rsidRPr="00B9226F" w:rsidTr="00B9226F">
        <w:tc>
          <w:tcPr>
            <w:tcW w:w="658" w:type="dxa"/>
          </w:tcPr>
          <w:p w:rsidR="00DB6033" w:rsidRDefault="00DB6033">
            <w:pPr>
              <w:rPr>
                <w:rFonts w:asciiTheme="majorHAnsi" w:hAnsiTheme="majorHAnsi" w:cstheme="majorHAnsi" w:hint="eastAsia"/>
                <w:sz w:val="22"/>
              </w:rPr>
            </w:pPr>
            <w:r>
              <w:rPr>
                <w:rFonts w:asciiTheme="majorHAnsi" w:hAnsiTheme="majorHAnsi" w:cstheme="majorHAnsi" w:hint="eastAsia"/>
                <w:sz w:val="22"/>
              </w:rPr>
              <w:t>OC</w:t>
            </w:r>
          </w:p>
        </w:tc>
        <w:tc>
          <w:tcPr>
            <w:tcW w:w="9911" w:type="dxa"/>
          </w:tcPr>
          <w:p w:rsidR="00DB6033" w:rsidRDefault="00DB6033" w:rsidP="00DB6033">
            <w:pPr>
              <w:widowControl/>
              <w:rPr>
                <w:rFonts w:asciiTheme="majorHAnsi" w:hAnsiTheme="majorHAnsi" w:cstheme="majorHAnsi" w:hint="eastAsia"/>
                <w:color w:val="000000"/>
                <w:sz w:val="22"/>
              </w:rPr>
            </w:pPr>
            <w:r>
              <w:rPr>
                <w:rFonts w:asciiTheme="majorHAnsi" w:hAnsiTheme="majorHAnsi" w:cstheme="majorHAnsi" w:hint="eastAsia"/>
                <w:color w:val="000000"/>
                <w:sz w:val="22"/>
              </w:rPr>
              <w:t>Official Closing Time</w:t>
            </w:r>
          </w:p>
          <w:p w:rsidR="00DB6033" w:rsidRDefault="00DB6033" w:rsidP="00DB6033">
            <w:pPr>
              <w:widowControl/>
              <w:rPr>
                <w:rFonts w:asciiTheme="majorHAnsi" w:hAnsiTheme="majorHAnsi" w:cstheme="majorHAnsi"/>
                <w:color w:val="000000"/>
                <w:sz w:val="22"/>
              </w:rPr>
            </w:pPr>
          </w:p>
          <w:p w:rsidR="00DB6033" w:rsidRPr="00DB6033" w:rsidRDefault="00DB6033" w:rsidP="00DB6033">
            <w:pPr>
              <w:widowControl/>
              <w:rPr>
                <w:rFonts w:asciiTheme="majorHAnsi" w:hAnsiTheme="majorHAnsi" w:cstheme="majorHAnsi"/>
                <w:color w:val="000000"/>
                <w:sz w:val="22"/>
              </w:rPr>
            </w:pPr>
            <w:r w:rsidRPr="00DB6033">
              <w:rPr>
                <w:rFonts w:asciiTheme="majorHAnsi" w:hAnsiTheme="majorHAnsi" w:cstheme="majorHAnsi"/>
                <w:color w:val="000000"/>
                <w:sz w:val="22"/>
              </w:rPr>
              <w:t>The closing price of a closing auction session (CAS) ineligible security is determined by taking the median of five nominal prices in the last minute of the continuous trading session. The system will take up five snapshots on the nominal prices at 15-second interval starting from 15:59:00.</w:t>
            </w:r>
          </w:p>
          <w:p w:rsidR="00DB6033" w:rsidRPr="00DB6033" w:rsidRDefault="00DB6033" w:rsidP="00DB6033">
            <w:pPr>
              <w:widowControl/>
              <w:rPr>
                <w:rFonts w:asciiTheme="majorHAnsi" w:hAnsiTheme="majorHAnsi" w:cstheme="majorHAnsi"/>
                <w:color w:val="000000"/>
                <w:sz w:val="22"/>
              </w:rPr>
            </w:pPr>
          </w:p>
          <w:p w:rsidR="00DB6033" w:rsidRPr="00DB6033" w:rsidRDefault="00DB6033" w:rsidP="00DB6033">
            <w:pPr>
              <w:widowControl/>
              <w:rPr>
                <w:rFonts w:asciiTheme="majorHAnsi" w:hAnsiTheme="majorHAnsi" w:cstheme="majorHAnsi"/>
                <w:color w:val="000000"/>
                <w:sz w:val="22"/>
              </w:rPr>
            </w:pPr>
            <w:r w:rsidRPr="00DB6033">
              <w:rPr>
                <w:rFonts w:asciiTheme="majorHAnsi" w:hAnsiTheme="majorHAnsi" w:cstheme="majorHAnsi"/>
                <w:color w:val="000000"/>
                <w:sz w:val="22"/>
              </w:rPr>
              <w:lastRenderedPageBreak/>
              <w:t>For CAS eligible securities, the closing price would be the final indicative equilibrium price (IEP). If the final IEP Is not available, the reference price, which is the median of five nominal prices in the last minute of the continuous trading session, would be used as the closing price.</w:t>
            </w:r>
          </w:p>
          <w:p w:rsidR="00DB6033" w:rsidRPr="00DB6033" w:rsidRDefault="00DB6033" w:rsidP="00DB6033">
            <w:pPr>
              <w:widowControl/>
              <w:rPr>
                <w:rFonts w:asciiTheme="majorHAnsi" w:hAnsiTheme="majorHAnsi" w:cstheme="majorHAnsi"/>
                <w:color w:val="000000"/>
                <w:sz w:val="22"/>
              </w:rPr>
            </w:pPr>
          </w:p>
          <w:p w:rsidR="00DB6033" w:rsidRDefault="00DB6033" w:rsidP="00DB6033">
            <w:pPr>
              <w:widowControl/>
              <w:rPr>
                <w:rFonts w:asciiTheme="majorHAnsi" w:hAnsiTheme="majorHAnsi" w:cstheme="majorHAnsi"/>
                <w:color w:val="000000"/>
                <w:sz w:val="22"/>
              </w:rPr>
            </w:pPr>
            <w:r w:rsidRPr="00DB6033">
              <w:rPr>
                <w:rFonts w:asciiTheme="majorHAnsi" w:hAnsiTheme="majorHAnsi" w:cstheme="majorHAnsi"/>
                <w:color w:val="000000"/>
                <w:sz w:val="22"/>
              </w:rPr>
              <w:t>The closing price will be disseminating between 16:08:00 to 16:10:00 for both CAS eligible and ineligible securities</w:t>
            </w:r>
          </w:p>
        </w:tc>
      </w:tr>
    </w:tbl>
    <w:p w:rsidR="00B9226F" w:rsidRPr="00B9226F" w:rsidRDefault="00B9226F">
      <w:pPr>
        <w:rPr>
          <w:rFonts w:asciiTheme="majorHAnsi" w:hAnsiTheme="majorHAnsi" w:cstheme="majorHAnsi"/>
          <w:sz w:val="22"/>
        </w:rPr>
      </w:pPr>
    </w:p>
    <w:sectPr w:rsidR="00B9226F" w:rsidRPr="00B9226F" w:rsidSect="00B9226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6F"/>
    <w:rsid w:val="001D7B80"/>
    <w:rsid w:val="00507D35"/>
    <w:rsid w:val="00B9226F"/>
    <w:rsid w:val="00C71EED"/>
    <w:rsid w:val="00DB6033"/>
    <w:rsid w:val="00E83F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8B9A7-6192-4020-920D-1AF5D6D7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22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26608">
      <w:bodyDiv w:val="1"/>
      <w:marLeft w:val="0"/>
      <w:marRight w:val="0"/>
      <w:marTop w:val="0"/>
      <w:marBottom w:val="0"/>
      <w:divBdr>
        <w:top w:val="none" w:sz="0" w:space="0" w:color="auto"/>
        <w:left w:val="none" w:sz="0" w:space="0" w:color="auto"/>
        <w:bottom w:val="none" w:sz="0" w:space="0" w:color="auto"/>
        <w:right w:val="none" w:sz="0" w:space="0" w:color="auto"/>
      </w:divBdr>
    </w:div>
    <w:div w:id="600455356">
      <w:bodyDiv w:val="1"/>
      <w:marLeft w:val="0"/>
      <w:marRight w:val="0"/>
      <w:marTop w:val="0"/>
      <w:marBottom w:val="0"/>
      <w:divBdr>
        <w:top w:val="none" w:sz="0" w:space="0" w:color="auto"/>
        <w:left w:val="none" w:sz="0" w:space="0" w:color="auto"/>
        <w:bottom w:val="none" w:sz="0" w:space="0" w:color="auto"/>
        <w:right w:val="none" w:sz="0" w:space="0" w:color="auto"/>
      </w:divBdr>
    </w:div>
    <w:div w:id="1058479789">
      <w:bodyDiv w:val="1"/>
      <w:marLeft w:val="0"/>
      <w:marRight w:val="0"/>
      <w:marTop w:val="0"/>
      <w:marBottom w:val="0"/>
      <w:divBdr>
        <w:top w:val="none" w:sz="0" w:space="0" w:color="auto"/>
        <w:left w:val="none" w:sz="0" w:space="0" w:color="auto"/>
        <w:bottom w:val="none" w:sz="0" w:space="0" w:color="auto"/>
        <w:right w:val="none" w:sz="0" w:space="0" w:color="auto"/>
      </w:divBdr>
    </w:div>
    <w:div w:id="1433818107">
      <w:bodyDiv w:val="1"/>
      <w:marLeft w:val="0"/>
      <w:marRight w:val="0"/>
      <w:marTop w:val="0"/>
      <w:marBottom w:val="0"/>
      <w:divBdr>
        <w:top w:val="none" w:sz="0" w:space="0" w:color="auto"/>
        <w:left w:val="none" w:sz="0" w:space="0" w:color="auto"/>
        <w:bottom w:val="none" w:sz="0" w:space="0" w:color="auto"/>
        <w:right w:val="none" w:sz="0" w:space="0" w:color="auto"/>
      </w:divBdr>
    </w:div>
    <w:div w:id="1687093397">
      <w:bodyDiv w:val="1"/>
      <w:marLeft w:val="0"/>
      <w:marRight w:val="0"/>
      <w:marTop w:val="0"/>
      <w:marBottom w:val="0"/>
      <w:divBdr>
        <w:top w:val="none" w:sz="0" w:space="0" w:color="auto"/>
        <w:left w:val="none" w:sz="0" w:space="0" w:color="auto"/>
        <w:bottom w:val="none" w:sz="0" w:space="0" w:color="auto"/>
        <w:right w:val="none" w:sz="0" w:space="0" w:color="auto"/>
      </w:divBdr>
    </w:div>
    <w:div w:id="1810514970">
      <w:bodyDiv w:val="1"/>
      <w:marLeft w:val="0"/>
      <w:marRight w:val="0"/>
      <w:marTop w:val="0"/>
      <w:marBottom w:val="0"/>
      <w:divBdr>
        <w:top w:val="none" w:sz="0" w:space="0" w:color="auto"/>
        <w:left w:val="none" w:sz="0" w:space="0" w:color="auto"/>
        <w:bottom w:val="none" w:sz="0" w:space="0" w:color="auto"/>
        <w:right w:val="none" w:sz="0" w:space="0" w:color="auto"/>
      </w:divBdr>
    </w:div>
    <w:div w:id="1840458173">
      <w:bodyDiv w:val="1"/>
      <w:marLeft w:val="0"/>
      <w:marRight w:val="0"/>
      <w:marTop w:val="0"/>
      <w:marBottom w:val="0"/>
      <w:divBdr>
        <w:top w:val="none" w:sz="0" w:space="0" w:color="auto"/>
        <w:left w:val="none" w:sz="0" w:space="0" w:color="auto"/>
        <w:bottom w:val="none" w:sz="0" w:space="0" w:color="auto"/>
        <w:right w:val="none" w:sz="0" w:space="0" w:color="auto"/>
      </w:divBdr>
    </w:div>
    <w:div w:id="213313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409E8-5DC3-4C2E-BD70-AE13910A9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1514</TotalTime>
  <Pages>1</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Poon</dc:creator>
  <cp:keywords/>
  <dc:description/>
  <cp:lastModifiedBy>Anthony Poon</cp:lastModifiedBy>
  <cp:revision>4</cp:revision>
  <dcterms:created xsi:type="dcterms:W3CDTF">2018-07-25T08:06:00Z</dcterms:created>
  <dcterms:modified xsi:type="dcterms:W3CDTF">2018-07-26T10:01:00Z</dcterms:modified>
</cp:coreProperties>
</file>