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3B20CE" w14:textId="77777777" w:rsidR="009552EF" w:rsidRDefault="007C3231">
      <w:pPr>
        <w:pStyle w:val="Heading2"/>
        <w:ind w:firstLine="720"/>
        <w:jc w:val="center"/>
        <w:rPr>
          <w:rFonts w:ascii="Times New Roman" w:eastAsia="Times New Roman" w:hAnsi="Times New Roman" w:cs="Times New Roman"/>
          <w:b/>
          <w:bCs/>
          <w:caps/>
        </w:rPr>
      </w:pPr>
      <w:r>
        <w:rPr>
          <w:rFonts w:ascii="Times New Roman" w:hAnsi="Times New Roman"/>
          <w:b/>
          <w:bCs/>
          <w:caps/>
        </w:rPr>
        <w:t>Vincent Poon, CFA</w:t>
      </w:r>
    </w:p>
    <w:p w14:paraId="601C24B8" w14:textId="59257B64" w:rsidR="004F7488" w:rsidRDefault="004F7488" w:rsidP="004F7488">
      <w:pPr>
        <w:jc w:val="center"/>
        <w:rPr>
          <w:sz w:val="20"/>
          <w:szCs w:val="20"/>
        </w:rPr>
      </w:pPr>
      <w:r>
        <w:rPr>
          <w:sz w:val="20"/>
          <w:szCs w:val="20"/>
        </w:rPr>
        <w:t>11 Platt St</w:t>
      </w:r>
      <w:r w:rsidR="000B733E">
        <w:rPr>
          <w:sz w:val="20"/>
          <w:szCs w:val="20"/>
        </w:rPr>
        <w:t>reet</w:t>
      </w:r>
      <w:r>
        <w:rPr>
          <w:sz w:val="20"/>
          <w:szCs w:val="20"/>
        </w:rPr>
        <w:t xml:space="preserve"> </w:t>
      </w:r>
      <w:r>
        <w:rPr>
          <w:rFonts w:ascii="Arial Unicode MS" w:hAnsi="Arial Unicode MS"/>
          <w:sz w:val="20"/>
          <w:szCs w:val="20"/>
        </w:rPr>
        <w:t>•</w:t>
      </w:r>
      <w:r>
        <w:rPr>
          <w:sz w:val="20"/>
          <w:szCs w:val="20"/>
        </w:rPr>
        <w:t xml:space="preserve"> London, NW1</w:t>
      </w:r>
      <w:r w:rsidR="000B733E">
        <w:rPr>
          <w:sz w:val="20"/>
          <w:szCs w:val="20"/>
        </w:rPr>
        <w:t xml:space="preserve"> </w:t>
      </w:r>
      <w:r>
        <w:rPr>
          <w:sz w:val="20"/>
          <w:szCs w:val="20"/>
        </w:rPr>
        <w:t>1RR</w:t>
      </w:r>
      <w:r w:rsidR="000B733E">
        <w:rPr>
          <w:sz w:val="20"/>
          <w:szCs w:val="20"/>
        </w:rPr>
        <w:t>,</w:t>
      </w:r>
      <w:r w:rsidR="000B733E" w:rsidRPr="000B733E">
        <w:rPr>
          <w:sz w:val="20"/>
          <w:szCs w:val="20"/>
        </w:rPr>
        <w:t xml:space="preserve"> </w:t>
      </w:r>
      <w:r w:rsidR="000B733E">
        <w:rPr>
          <w:sz w:val="20"/>
          <w:szCs w:val="20"/>
        </w:rPr>
        <w:t>United Kingdom</w:t>
      </w:r>
    </w:p>
    <w:p w14:paraId="32B985A1" w14:textId="77777777" w:rsidR="004F7488" w:rsidRDefault="004F7488" w:rsidP="004F7488">
      <w:pPr>
        <w:pBdr>
          <w:bottom w:val="single" w:sz="6" w:space="0" w:color="000000"/>
        </w:pBd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(0)7984350879 </w:t>
      </w:r>
      <w:r>
        <w:rPr>
          <w:rFonts w:ascii="Arial Unicode MS" w:hAnsi="Arial Unicode MS"/>
          <w:sz w:val="20"/>
          <w:szCs w:val="20"/>
        </w:rPr>
        <w:t xml:space="preserve">• </w:t>
      </w:r>
      <w:r>
        <w:rPr>
          <w:sz w:val="20"/>
          <w:szCs w:val="20"/>
        </w:rPr>
        <w:t xml:space="preserve">917.693.3010 </w:t>
      </w:r>
      <w:r>
        <w:rPr>
          <w:rFonts w:ascii="Arial Unicode MS" w:hAnsi="Arial Unicode MS"/>
          <w:sz w:val="20"/>
          <w:szCs w:val="20"/>
        </w:rPr>
        <w:t>•</w:t>
      </w:r>
      <w:r>
        <w:rPr>
          <w:sz w:val="20"/>
          <w:szCs w:val="20"/>
        </w:rPr>
        <w:t xml:space="preserve"> vincentpoon10@gmail.com</w:t>
      </w:r>
    </w:p>
    <w:p w14:paraId="788D0C1F" w14:textId="77777777" w:rsidR="009552EF" w:rsidRDefault="009552EF">
      <w:pPr>
        <w:rPr>
          <w:sz w:val="16"/>
          <w:szCs w:val="16"/>
        </w:rPr>
      </w:pPr>
    </w:p>
    <w:tbl>
      <w:tblPr>
        <w:tblW w:w="10530" w:type="dxa"/>
        <w:tblInd w:w="-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30"/>
        <w:gridCol w:w="9000"/>
      </w:tblGrid>
      <w:tr w:rsidR="00A62CA6" w14:paraId="34E83C45" w14:textId="77777777" w:rsidTr="00B57F5D">
        <w:trPr>
          <w:trHeight w:val="155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FF5D" w14:textId="77777777" w:rsidR="009552EF" w:rsidRDefault="007C3231">
            <w:r>
              <w:rPr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8799" w14:textId="2E576AE2" w:rsidR="009552EF" w:rsidRDefault="007C3231">
            <w:pPr>
              <w:pStyle w:val="BodyTex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University of California, Berkeley</w:t>
            </w:r>
            <w:r>
              <w:rPr>
                <w:sz w:val="20"/>
                <w:szCs w:val="20"/>
              </w:rPr>
              <w:t xml:space="preserve">, Berkeley, California                                                              </w:t>
            </w:r>
            <w:r w:rsidR="00304241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2009 - 2011</w:t>
            </w:r>
          </w:p>
          <w:p w14:paraId="4511D93D" w14:textId="77777777" w:rsidR="009552EF" w:rsidRDefault="007C3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Ph.D. coursework at Haas School of Business (withdrew)</w:t>
            </w:r>
          </w:p>
          <w:p w14:paraId="58C7DF23" w14:textId="77777777" w:rsidR="009552EF" w:rsidRDefault="009552EF">
            <w:pPr>
              <w:pStyle w:val="BodyText"/>
              <w:rPr>
                <w:b/>
                <w:bCs/>
                <w:sz w:val="12"/>
                <w:szCs w:val="12"/>
              </w:rPr>
            </w:pPr>
          </w:p>
          <w:p w14:paraId="06C823BA" w14:textId="6AAC3BD0" w:rsidR="009552EF" w:rsidRDefault="007C3231">
            <w:pPr>
              <w:pStyle w:val="BodyTex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Cornell University</w:t>
            </w:r>
            <w:r>
              <w:rPr>
                <w:sz w:val="20"/>
                <w:szCs w:val="20"/>
              </w:rPr>
              <w:t xml:space="preserve">, Ithaca, New York                                                                                               </w:t>
            </w:r>
            <w:r w:rsidR="0030424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</w:t>
            </w:r>
            <w:r>
              <w:rPr>
                <w:i/>
                <w:iCs/>
                <w:sz w:val="20"/>
                <w:szCs w:val="20"/>
              </w:rPr>
              <w:t>2006</w:t>
            </w:r>
          </w:p>
          <w:p w14:paraId="470F3A29" w14:textId="77777777" w:rsidR="009552EF" w:rsidRDefault="007C323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 of Engineering in Financial Engineering</w:t>
            </w:r>
          </w:p>
          <w:p w14:paraId="2E371B73" w14:textId="77777777" w:rsidR="009552EF" w:rsidRDefault="009552EF">
            <w:pPr>
              <w:pStyle w:val="BodyText"/>
              <w:rPr>
                <w:sz w:val="12"/>
                <w:szCs w:val="12"/>
              </w:rPr>
            </w:pPr>
          </w:p>
          <w:p w14:paraId="1324DB7A" w14:textId="6C7F80FD" w:rsidR="009552EF" w:rsidRDefault="007C3231">
            <w:pPr>
              <w:pStyle w:val="BodyTex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Cornell University</w:t>
            </w:r>
            <w:r>
              <w:rPr>
                <w:sz w:val="20"/>
                <w:szCs w:val="20"/>
              </w:rPr>
              <w:t xml:space="preserve">, Ithaca, New York                                                                                                 </w:t>
            </w:r>
            <w:r w:rsidR="0030424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</w:t>
            </w:r>
            <w:r>
              <w:rPr>
                <w:i/>
                <w:iCs/>
                <w:sz w:val="20"/>
                <w:szCs w:val="20"/>
              </w:rPr>
              <w:t>2005</w:t>
            </w:r>
          </w:p>
          <w:p w14:paraId="0804A2DA" w14:textId="77777777" w:rsidR="009552EF" w:rsidRDefault="007C3231">
            <w:pPr>
              <w:pStyle w:val="BodyText"/>
            </w:pPr>
            <w:r>
              <w:rPr>
                <w:sz w:val="20"/>
                <w:szCs w:val="20"/>
              </w:rPr>
              <w:t>Bachelor of Science in Electrical and Computer Engineering</w:t>
            </w:r>
          </w:p>
        </w:tc>
      </w:tr>
      <w:tr w:rsidR="00A62CA6" w14:paraId="09D73F98" w14:textId="77777777" w:rsidTr="004F7488">
        <w:trPr>
          <w:trHeight w:val="811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CE9F3" w14:textId="77777777" w:rsidR="009552EF" w:rsidRDefault="007C3231">
            <w:r>
              <w:rPr>
                <w:b/>
                <w:bCs/>
                <w:sz w:val="20"/>
                <w:szCs w:val="20"/>
              </w:rPr>
              <w:t>RELEVANT EXPERIENCE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B6F8C" w14:textId="72844F5C" w:rsidR="001A7A05" w:rsidRDefault="001A7A05" w:rsidP="001A7A05">
            <w:pPr>
              <w:jc w:val="both"/>
              <w:rPr>
                <w:rFonts w:eastAsia="Cambria" w:cs="Cambria"/>
                <w:i/>
                <w:iCs/>
                <w:sz w:val="20"/>
                <w:szCs w:val="20"/>
              </w:rPr>
            </w:pPr>
            <w:r w:rsidRPr="00D43F63">
              <w:rPr>
                <w:rFonts w:eastAsia="Cambria" w:cs="Cambria"/>
                <w:b/>
                <w:bCs/>
                <w:sz w:val="20"/>
                <w:szCs w:val="20"/>
              </w:rPr>
              <w:t>SANTANDER ASSET MANAGEMENT</w:t>
            </w:r>
            <w:r>
              <w:rPr>
                <w:rFonts w:eastAsia="Cambria" w:cs="Cambria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eastAsia="Cambria" w:cs="Cambria"/>
                <w:sz w:val="20"/>
                <w:szCs w:val="20"/>
              </w:rPr>
              <w:t>London</w:t>
            </w:r>
            <w:r w:rsidRPr="00D43F63">
              <w:rPr>
                <w:rFonts w:eastAsia="Cambria" w:cs="Cambria"/>
                <w:sz w:val="20"/>
                <w:szCs w:val="20"/>
              </w:rPr>
              <w:t>, UK</w:t>
            </w:r>
            <w:r>
              <w:rPr>
                <w:rFonts w:eastAsia="Cambria" w:cs="Cambria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                                      </w:t>
            </w:r>
            <w:r>
              <w:rPr>
                <w:rFonts w:eastAsia="Cambria" w:cs="Cambria"/>
                <w:sz w:val="20"/>
                <w:szCs w:val="20"/>
              </w:rPr>
              <w:t xml:space="preserve">           </w:t>
            </w:r>
            <w:r w:rsidR="00304241">
              <w:rPr>
                <w:rFonts w:eastAsia="Cambria" w:cs="Cambria"/>
                <w:sz w:val="20"/>
                <w:szCs w:val="20"/>
              </w:rPr>
              <w:t xml:space="preserve">  </w:t>
            </w:r>
            <w:r>
              <w:rPr>
                <w:rFonts w:eastAsia="Cambria" w:cs="Cambria"/>
                <w:sz w:val="20"/>
                <w:szCs w:val="20"/>
              </w:rPr>
              <w:t xml:space="preserve">   </w:t>
            </w:r>
            <w:r>
              <w:rPr>
                <w:rFonts w:eastAsia="Cambria" w:cs="Cambria"/>
                <w:i/>
                <w:iCs/>
                <w:sz w:val="20"/>
                <w:szCs w:val="20"/>
              </w:rPr>
              <w:t>2019</w:t>
            </w:r>
            <w:r>
              <w:rPr>
                <w:rFonts w:eastAsia="Cambria" w:cs="Cambria"/>
                <w:i/>
                <w:iCs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eastAsia="Cambria" w:cs="Cambria"/>
                <w:i/>
                <w:iCs/>
                <w:sz w:val="20"/>
                <w:szCs w:val="20"/>
              </w:rPr>
              <w:t>–</w:t>
            </w:r>
            <w:r>
              <w:rPr>
                <w:rFonts w:eastAsia="Cambria" w:cs="Cambria"/>
                <w:i/>
                <w:iCs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eastAsia="Cambria" w:cs="Cambria"/>
                <w:i/>
                <w:iCs/>
                <w:sz w:val="20"/>
                <w:szCs w:val="20"/>
              </w:rPr>
              <w:t>current</w:t>
            </w:r>
          </w:p>
          <w:p w14:paraId="43431FAE" w14:textId="77777777" w:rsidR="001A7A05" w:rsidRDefault="001A7A05" w:rsidP="001A7A05">
            <w:pPr>
              <w:jc w:val="both"/>
              <w:rPr>
                <w:rFonts w:eastAsia="Cambria" w:cs="Cambria"/>
                <w:b/>
                <w:bCs/>
                <w:sz w:val="20"/>
                <w:szCs w:val="20"/>
              </w:rPr>
            </w:pPr>
            <w:r w:rsidRPr="00D43F63">
              <w:rPr>
                <w:rFonts w:eastAsia="Cambria" w:cs="Cambria"/>
                <w:b/>
                <w:bCs/>
                <w:sz w:val="20"/>
                <w:szCs w:val="20"/>
              </w:rPr>
              <w:t>Head of Quantitative Solutions</w:t>
            </w:r>
          </w:p>
          <w:p w14:paraId="399D3A8B" w14:textId="4C832BA9" w:rsidR="008D036E" w:rsidRDefault="008464C4" w:rsidP="008D036E">
            <w:pPr>
              <w:jc w:val="both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Lead and</w:t>
            </w:r>
            <w:r w:rsidR="00DE3B77">
              <w:rPr>
                <w:sz w:val="20"/>
                <w:szCs w:val="20"/>
              </w:rPr>
              <w:t xml:space="preserve"> support the transformation of the Global Multi-Asset S</w:t>
            </w:r>
            <w:r w:rsidR="008D036E">
              <w:rPr>
                <w:sz w:val="20"/>
                <w:szCs w:val="20"/>
              </w:rPr>
              <w:t xml:space="preserve">olutions </w:t>
            </w:r>
            <w:r w:rsidR="00DE3B77">
              <w:rPr>
                <w:sz w:val="20"/>
                <w:szCs w:val="20"/>
              </w:rPr>
              <w:t xml:space="preserve">group from </w:t>
            </w:r>
            <w:r w:rsidR="00681E27">
              <w:rPr>
                <w:sz w:val="20"/>
                <w:szCs w:val="20"/>
              </w:rPr>
              <w:t xml:space="preserve">a </w:t>
            </w:r>
            <w:r w:rsidR="00DE3B77">
              <w:rPr>
                <w:sz w:val="20"/>
                <w:szCs w:val="20"/>
              </w:rPr>
              <w:t xml:space="preserve">discretionary to quantitative investment process </w:t>
            </w:r>
            <w:r w:rsidR="008D036E">
              <w:rPr>
                <w:sz w:val="20"/>
                <w:szCs w:val="20"/>
              </w:rPr>
              <w:t>for tactical asset allocation and other quantitative products</w:t>
            </w:r>
            <w:r w:rsidR="00DE3B77">
              <w:rPr>
                <w:sz w:val="20"/>
                <w:szCs w:val="20"/>
              </w:rPr>
              <w:t xml:space="preserve">. Implement innovative quantitative techniques to solve existing problems. </w:t>
            </w:r>
          </w:p>
          <w:p w14:paraId="7012D294" w14:textId="77777777" w:rsidR="00DE3B77" w:rsidRDefault="00DE3B77" w:rsidP="008D036E">
            <w:pPr>
              <w:jc w:val="both"/>
              <w:rPr>
                <w:i/>
                <w:sz w:val="20"/>
                <w:szCs w:val="20"/>
              </w:rPr>
            </w:pPr>
          </w:p>
          <w:p w14:paraId="02EC2D94" w14:textId="77777777" w:rsidR="008D036E" w:rsidRPr="00AD1EEF" w:rsidRDefault="008D036E" w:rsidP="008D036E">
            <w:pPr>
              <w:jc w:val="both"/>
              <w:rPr>
                <w:i/>
                <w:sz w:val="20"/>
                <w:szCs w:val="20"/>
              </w:rPr>
            </w:pPr>
            <w:r w:rsidRPr="00AD1EEF">
              <w:rPr>
                <w:i/>
                <w:sz w:val="20"/>
                <w:szCs w:val="20"/>
              </w:rPr>
              <w:t>Major Achievements:</w:t>
            </w:r>
          </w:p>
          <w:p w14:paraId="4040D207" w14:textId="40028D24" w:rsidR="008464C4" w:rsidRPr="008464C4" w:rsidRDefault="008464C4" w:rsidP="008464C4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0"/>
                <w:szCs w:val="20"/>
              </w:rPr>
            </w:pPr>
            <w:r w:rsidRPr="008464C4">
              <w:rPr>
                <w:sz w:val="20"/>
                <w:szCs w:val="20"/>
              </w:rPr>
              <w:t xml:space="preserve">Enable integration of disparate quantitative teams by defining common goals, establishing a communication structure for knowledge sharing, standardizing analytic processes and tools, and </w:t>
            </w:r>
            <w:r>
              <w:rPr>
                <w:sz w:val="20"/>
                <w:szCs w:val="20"/>
              </w:rPr>
              <w:t>developing quantitative capabilities</w:t>
            </w:r>
          </w:p>
          <w:p w14:paraId="3FFC9D1E" w14:textId="2CC88533" w:rsidR="001A7A05" w:rsidRDefault="00CE32F2" w:rsidP="001A7A05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sz w:val="20"/>
                <w:szCs w:val="20"/>
              </w:rPr>
              <w:t>Built c</w:t>
            </w:r>
            <w:r w:rsidR="001A7A05">
              <w:rPr>
                <w:sz w:val="20"/>
                <w:szCs w:val="20"/>
              </w:rPr>
              <w:t xml:space="preserve">loud-based research and production </w:t>
            </w:r>
            <w:r>
              <w:rPr>
                <w:sz w:val="20"/>
                <w:szCs w:val="20"/>
              </w:rPr>
              <w:t>platform, including data management functions, used by global quantitative team</w:t>
            </w:r>
          </w:p>
          <w:p w14:paraId="29880562" w14:textId="2325F216" w:rsidR="00DE3B77" w:rsidRPr="007F1947" w:rsidRDefault="001A7A05" w:rsidP="007F1947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  <w:szCs w:val="20"/>
              </w:rPr>
            </w:pPr>
            <w:r w:rsidRPr="00163E4D">
              <w:rPr>
                <w:sz w:val="20"/>
                <w:szCs w:val="20"/>
              </w:rPr>
              <w:t>Developed custom python package for research and production</w:t>
            </w:r>
            <w:r w:rsidR="00CE32F2">
              <w:rPr>
                <w:sz w:val="20"/>
                <w:szCs w:val="20"/>
              </w:rPr>
              <w:t xml:space="preserve"> </w:t>
            </w:r>
            <w:r w:rsidR="008464C4">
              <w:rPr>
                <w:sz w:val="20"/>
                <w:szCs w:val="20"/>
              </w:rPr>
              <w:t>to increase work efficiency and consistency</w:t>
            </w:r>
            <w:bookmarkStart w:id="0" w:name="_GoBack"/>
            <w:bookmarkEnd w:id="0"/>
            <w:r w:rsidR="00DE3B77">
              <w:rPr>
                <w:sz w:val="20"/>
                <w:szCs w:val="20"/>
              </w:rPr>
              <w:t xml:space="preserve">. </w:t>
            </w:r>
            <w:r w:rsidRPr="00DE3B77">
              <w:rPr>
                <w:sz w:val="20"/>
                <w:szCs w:val="20"/>
              </w:rPr>
              <w:t xml:space="preserve">Incorporated novel techniques such as </w:t>
            </w:r>
            <w:proofErr w:type="spellStart"/>
            <w:r w:rsidRPr="00DE3B77">
              <w:rPr>
                <w:sz w:val="20"/>
                <w:szCs w:val="20"/>
              </w:rPr>
              <w:t>XGBoost</w:t>
            </w:r>
            <w:proofErr w:type="spellEnd"/>
            <w:r w:rsidRPr="00DE3B77">
              <w:rPr>
                <w:sz w:val="20"/>
                <w:szCs w:val="20"/>
              </w:rPr>
              <w:t xml:space="preserve">, hierarchical risk parity and </w:t>
            </w:r>
            <w:proofErr w:type="spellStart"/>
            <w:r w:rsidRPr="00DE3B77">
              <w:rPr>
                <w:sz w:val="20"/>
                <w:szCs w:val="20"/>
              </w:rPr>
              <w:t>nowcasting</w:t>
            </w:r>
            <w:proofErr w:type="spellEnd"/>
          </w:p>
          <w:p w14:paraId="2D7BC9F0" w14:textId="77777777" w:rsidR="001A7A05" w:rsidRPr="00304241" w:rsidRDefault="001A7A05">
            <w:pPr>
              <w:jc w:val="both"/>
              <w:rPr>
                <w:rFonts w:eastAsia="Cambria" w:cs="Cambria"/>
                <w:b/>
                <w:bCs/>
                <w:sz w:val="16"/>
                <w:szCs w:val="16"/>
              </w:rPr>
            </w:pPr>
          </w:p>
          <w:p w14:paraId="2387E2AD" w14:textId="49326B9E" w:rsidR="009552EF" w:rsidRDefault="007C3231">
            <w:pPr>
              <w:jc w:val="both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Cambria" w:cs="Cambria"/>
                <w:b/>
                <w:bCs/>
                <w:sz w:val="20"/>
                <w:szCs w:val="20"/>
              </w:rPr>
              <w:t xml:space="preserve">EY ARTIFICIAL INTELLIGENCE LAB, </w:t>
            </w:r>
            <w:r>
              <w:rPr>
                <w:rFonts w:eastAsia="Cambria" w:cs="Cambria"/>
                <w:sz w:val="20"/>
                <w:szCs w:val="20"/>
              </w:rPr>
              <w:t xml:space="preserve">Palo Alto, California                               </w:t>
            </w:r>
            <w:r w:rsidR="001A7A05">
              <w:rPr>
                <w:rFonts w:eastAsia="Cambria" w:cs="Cambria"/>
                <w:sz w:val="20"/>
                <w:szCs w:val="20"/>
              </w:rPr>
              <w:t xml:space="preserve">      </w:t>
            </w:r>
            <w:r w:rsidR="00304241">
              <w:rPr>
                <w:rFonts w:eastAsia="Cambria" w:cs="Cambria"/>
                <w:sz w:val="20"/>
                <w:szCs w:val="20"/>
              </w:rPr>
              <w:t xml:space="preserve">              </w:t>
            </w:r>
            <w:r>
              <w:rPr>
                <w:rFonts w:eastAsia="Cambria" w:cs="Cambria"/>
                <w:i/>
                <w:iCs/>
                <w:sz w:val="20"/>
                <w:szCs w:val="20"/>
              </w:rPr>
              <w:t xml:space="preserve">2017 </w:t>
            </w:r>
            <w:r w:rsidR="001A7A05">
              <w:rPr>
                <w:rFonts w:eastAsia="Cambria" w:cs="Cambria"/>
                <w:i/>
                <w:iCs/>
                <w:sz w:val="20"/>
                <w:szCs w:val="20"/>
              </w:rPr>
              <w:t>– 2019</w:t>
            </w:r>
          </w:p>
          <w:p w14:paraId="2F0FC0B2" w14:textId="77777777" w:rsidR="009552EF" w:rsidRDefault="007C3231">
            <w:pPr>
              <w:jc w:val="both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Cambria" w:cs="Cambria"/>
                <w:b/>
                <w:bCs/>
                <w:sz w:val="20"/>
                <w:szCs w:val="20"/>
              </w:rPr>
              <w:t>Artificial Intelligence (AI) Scientist</w:t>
            </w:r>
          </w:p>
          <w:p w14:paraId="260B47C0" w14:textId="357A24FC" w:rsidR="009552EF" w:rsidRDefault="007C3231" w:rsidP="00AD1E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</w:t>
            </w:r>
            <w:r w:rsidR="008D036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, design</w:t>
            </w:r>
            <w:r w:rsidR="008D036E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develop</w:t>
            </w:r>
            <w:r w:rsidR="008D036E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client-focused Natural Language Processing (NLP) solutions leveraging</w:t>
            </w:r>
            <w:r w:rsidR="008151CE">
              <w:rPr>
                <w:sz w:val="20"/>
                <w:szCs w:val="20"/>
              </w:rPr>
              <w:t xml:space="preserve"> M</w:t>
            </w:r>
            <w:r w:rsidRPr="008151CE">
              <w:rPr>
                <w:sz w:val="20"/>
                <w:szCs w:val="20"/>
              </w:rPr>
              <w:t>achine Learning</w:t>
            </w:r>
            <w:r w:rsidR="00AD1EEF">
              <w:rPr>
                <w:sz w:val="20"/>
                <w:szCs w:val="20"/>
              </w:rPr>
              <w:t xml:space="preserve"> (ML)</w:t>
            </w:r>
            <w:r w:rsidRPr="008151CE">
              <w:rPr>
                <w:sz w:val="20"/>
                <w:szCs w:val="20"/>
              </w:rPr>
              <w:t xml:space="preserve"> for understanding and interpreting business documents used in assurance, tax, and transactions.</w:t>
            </w:r>
          </w:p>
          <w:p w14:paraId="0223BC94" w14:textId="77777777" w:rsidR="004F7488" w:rsidRPr="004F7488" w:rsidRDefault="004F7488" w:rsidP="00AD1EEF">
            <w:pPr>
              <w:jc w:val="both"/>
              <w:rPr>
                <w:sz w:val="12"/>
                <w:szCs w:val="12"/>
              </w:rPr>
            </w:pPr>
          </w:p>
          <w:p w14:paraId="5CC95C24" w14:textId="33E0C7D7" w:rsidR="00AD1EEF" w:rsidRPr="00AD1EEF" w:rsidRDefault="00AD1EEF" w:rsidP="00AD1EEF">
            <w:pPr>
              <w:jc w:val="both"/>
              <w:rPr>
                <w:i/>
                <w:sz w:val="20"/>
                <w:szCs w:val="20"/>
              </w:rPr>
            </w:pPr>
            <w:r w:rsidRPr="00AD1EEF">
              <w:rPr>
                <w:i/>
                <w:sz w:val="20"/>
                <w:szCs w:val="20"/>
              </w:rPr>
              <w:t>Major Achievements:</w:t>
            </w:r>
          </w:p>
          <w:p w14:paraId="63ACC0EC" w14:textId="77777777" w:rsidR="004F7488" w:rsidRDefault="00AD1EEF" w:rsidP="001E73DE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pacing w:val="-3"/>
                <w:sz w:val="20"/>
                <w:szCs w:val="20"/>
              </w:rPr>
            </w:pPr>
            <w:r w:rsidRPr="004F7488">
              <w:rPr>
                <w:spacing w:val="-3"/>
                <w:sz w:val="20"/>
                <w:szCs w:val="20"/>
              </w:rPr>
              <w:t>Collaborated with internal domain experts, product managers, and front-end software developers to build enterprise grade information extraction software that sped up an audit workflow by 5x.  </w:t>
            </w:r>
          </w:p>
          <w:p w14:paraId="082257F7" w14:textId="77777777" w:rsidR="004F7488" w:rsidRDefault="00AD1EEF" w:rsidP="001E73DE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pacing w:val="-3"/>
                <w:sz w:val="20"/>
                <w:szCs w:val="20"/>
              </w:rPr>
            </w:pPr>
            <w:r w:rsidRPr="004F7488">
              <w:rPr>
                <w:spacing w:val="-3"/>
                <w:sz w:val="20"/>
                <w:szCs w:val="20"/>
              </w:rPr>
              <w:t xml:space="preserve">Developed a novel multi-class ranking model using </w:t>
            </w:r>
            <w:proofErr w:type="spellStart"/>
            <w:r w:rsidRPr="004F7488">
              <w:rPr>
                <w:spacing w:val="-3"/>
                <w:sz w:val="20"/>
                <w:szCs w:val="20"/>
              </w:rPr>
              <w:t>siamese</w:t>
            </w:r>
            <w:proofErr w:type="spellEnd"/>
            <w:r w:rsidRPr="004F7488">
              <w:rPr>
                <w:spacing w:val="-3"/>
                <w:sz w:val="20"/>
                <w:szCs w:val="20"/>
              </w:rPr>
              <w:t xml:space="preserve"> neural network enabling rapid training and improved accuracy. </w:t>
            </w:r>
            <w:r w:rsidRPr="001E73DE">
              <w:rPr>
                <w:spacing w:val="-3"/>
                <w:sz w:val="20"/>
                <w:szCs w:val="20"/>
              </w:rPr>
              <w:t> </w:t>
            </w:r>
          </w:p>
          <w:p w14:paraId="3B520854" w14:textId="28954924" w:rsidR="00AD1EEF" w:rsidRPr="004F7488" w:rsidRDefault="00AD1EEF" w:rsidP="001E73DE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pacing w:val="-3"/>
                <w:sz w:val="20"/>
                <w:szCs w:val="20"/>
              </w:rPr>
            </w:pPr>
            <w:r w:rsidRPr="004F7488">
              <w:rPr>
                <w:spacing w:val="-3"/>
                <w:sz w:val="20"/>
                <w:szCs w:val="20"/>
              </w:rPr>
              <w:t xml:space="preserve">Implemented online learning and mixture of experts into core product allowing end users to improve results with usage and to define new fields with minimal data. </w:t>
            </w:r>
            <w:r w:rsidRPr="001E73DE">
              <w:rPr>
                <w:spacing w:val="-3"/>
                <w:sz w:val="20"/>
                <w:szCs w:val="20"/>
              </w:rPr>
              <w:t> </w:t>
            </w:r>
          </w:p>
          <w:p w14:paraId="12480D68" w14:textId="77777777" w:rsidR="00690D39" w:rsidRPr="00304241" w:rsidRDefault="00690D39">
            <w:pPr>
              <w:rPr>
                <w:sz w:val="16"/>
                <w:szCs w:val="16"/>
              </w:rPr>
            </w:pPr>
          </w:p>
          <w:p w14:paraId="7136FA50" w14:textId="3AB83E14" w:rsidR="00690D39" w:rsidRDefault="00690D39" w:rsidP="00690D3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FELLOWSHIP.AI, </w:t>
            </w:r>
            <w:r>
              <w:rPr>
                <w:sz w:val="20"/>
                <w:szCs w:val="20"/>
              </w:rPr>
              <w:t xml:space="preserve">San Francisco, California                                                                                                     </w:t>
            </w:r>
            <w:r w:rsidR="00304241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2017</w:t>
            </w:r>
          </w:p>
          <w:p w14:paraId="652DBD5B" w14:textId="77777777" w:rsidR="00690D39" w:rsidRDefault="00690D39" w:rsidP="00690D39">
            <w:pPr>
              <w:numPr>
                <w:ilvl w:val="0"/>
                <w:numId w:val="1"/>
              </w:numPr>
              <w:jc w:val="both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 xml:space="preserve">Developed a Reinforcement Learning model for trading, specifically using a policy gradient agent and a Multi Layer Perceptron (MLP) implemented with </w:t>
            </w:r>
            <w:proofErr w:type="spellStart"/>
            <w:r>
              <w:rPr>
                <w:spacing w:val="-3"/>
                <w:sz w:val="20"/>
                <w:szCs w:val="20"/>
              </w:rPr>
              <w:t>TensorFlow</w:t>
            </w:r>
            <w:proofErr w:type="spellEnd"/>
            <w:r>
              <w:rPr>
                <w:spacing w:val="-3"/>
                <w:sz w:val="20"/>
                <w:szCs w:val="20"/>
              </w:rPr>
              <w:t>.</w:t>
            </w:r>
          </w:p>
          <w:p w14:paraId="63820256" w14:textId="77777777" w:rsidR="00B52346" w:rsidRDefault="00690D39" w:rsidP="00690D39">
            <w:pPr>
              <w:numPr>
                <w:ilvl w:val="0"/>
                <w:numId w:val="1"/>
              </w:numPr>
              <w:jc w:val="both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Set up a novel hierarchical feudal network with directives from a higher level managing agent passed to a lower level worker agent that executes the trades; the architecture utilizes separate neural networks for the two agents.</w:t>
            </w:r>
          </w:p>
          <w:p w14:paraId="1CD0A166" w14:textId="0DA089E4" w:rsidR="00690D39" w:rsidRPr="00B52346" w:rsidRDefault="00690D39" w:rsidP="00690D39">
            <w:pPr>
              <w:numPr>
                <w:ilvl w:val="0"/>
                <w:numId w:val="1"/>
              </w:numPr>
              <w:jc w:val="both"/>
              <w:rPr>
                <w:spacing w:val="-3"/>
                <w:sz w:val="20"/>
                <w:szCs w:val="20"/>
              </w:rPr>
            </w:pPr>
            <w:r w:rsidRPr="00B52346">
              <w:rPr>
                <w:spacing w:val="-3"/>
                <w:sz w:val="20"/>
                <w:szCs w:val="20"/>
              </w:rPr>
              <w:t>Contributed to video anomaly detection product utilizing deep learning, tracking, and acceleration methods that enable the analysis of multiple video streams.</w:t>
            </w:r>
          </w:p>
          <w:p w14:paraId="0ACC8778" w14:textId="77777777" w:rsidR="00690D39" w:rsidRPr="00690D39" w:rsidRDefault="00690D39" w:rsidP="00690D39">
            <w:pPr>
              <w:jc w:val="both"/>
              <w:rPr>
                <w:spacing w:val="-3"/>
                <w:sz w:val="16"/>
                <w:szCs w:val="16"/>
              </w:rPr>
            </w:pPr>
          </w:p>
          <w:p w14:paraId="6375D006" w14:textId="2712FA4F" w:rsidR="00690D39" w:rsidRDefault="00690D39" w:rsidP="00690D3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COLUMBIA THREADNEEDLE</w:t>
            </w:r>
            <w:r>
              <w:rPr>
                <w:sz w:val="20"/>
                <w:szCs w:val="20"/>
              </w:rPr>
              <w:t xml:space="preserve">, New York, New York                                                               </w:t>
            </w:r>
            <w:r>
              <w:rPr>
                <w:i/>
                <w:iCs/>
                <w:sz w:val="20"/>
                <w:szCs w:val="20"/>
              </w:rPr>
              <w:t xml:space="preserve">2011 </w:t>
            </w:r>
            <w:r w:rsidR="001A7A05">
              <w:rPr>
                <w:i/>
                <w:iCs/>
                <w:sz w:val="20"/>
                <w:szCs w:val="20"/>
              </w:rPr>
              <w:t>–</w:t>
            </w:r>
            <w:r>
              <w:rPr>
                <w:i/>
                <w:iCs/>
                <w:sz w:val="20"/>
                <w:szCs w:val="20"/>
              </w:rPr>
              <w:t xml:space="preserve"> 2017</w:t>
            </w:r>
          </w:p>
          <w:p w14:paraId="39BA5052" w14:textId="77777777" w:rsidR="00690D39" w:rsidRDefault="00690D39" w:rsidP="00690D3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Senior Quantitative Analyst</w:t>
            </w:r>
          </w:p>
          <w:p w14:paraId="3BA820F9" w14:textId="14FA7C8B" w:rsidR="00690D39" w:rsidRDefault="00690D39" w:rsidP="00690D3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several systematic, quantitative investment strategies by generating signals and monitoring risks.  Perform</w:t>
            </w:r>
            <w:r w:rsidR="00AD1EEF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original research</w:t>
            </w:r>
            <w:r w:rsidR="00AD1EEF">
              <w:rPr>
                <w:sz w:val="20"/>
                <w:szCs w:val="20"/>
              </w:rPr>
              <w:t xml:space="preserve"> on quantitative models that dro</w:t>
            </w:r>
            <w:r>
              <w:rPr>
                <w:sz w:val="20"/>
                <w:szCs w:val="20"/>
              </w:rPr>
              <w:t>ve the construction of portfolios ultimately traded in production. Regularly evaluate</w:t>
            </w:r>
            <w:r w:rsidR="00AD1EE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model performance and conduct</w:t>
            </w:r>
            <w:r w:rsidR="00AD1EEF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appropriate modifications. Streamline</w:t>
            </w:r>
            <w:r w:rsidR="00AD1EE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trading workflow and increase</w:t>
            </w:r>
            <w:r w:rsidR="00AD1EE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efficiency by automating processes. Develop</w:t>
            </w:r>
            <w:r w:rsidR="00AD1EEF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disseminate</w:t>
            </w:r>
            <w:r w:rsidR="00AD1EE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internal presentations to communicate investment views and fund performance.</w:t>
            </w:r>
          </w:p>
          <w:p w14:paraId="3C05B95D" w14:textId="77777777" w:rsidR="00690D39" w:rsidRDefault="00690D39" w:rsidP="00690D39">
            <w:pPr>
              <w:jc w:val="both"/>
              <w:rPr>
                <w:sz w:val="12"/>
                <w:szCs w:val="12"/>
              </w:rPr>
            </w:pPr>
          </w:p>
          <w:p w14:paraId="42A4F482" w14:textId="77777777" w:rsidR="00690D39" w:rsidRDefault="00690D39" w:rsidP="00690D39">
            <w:pPr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Major Achievements: </w:t>
            </w:r>
          </w:p>
          <w:p w14:paraId="4D450341" w14:textId="77777777" w:rsidR="00690D39" w:rsidRDefault="00690D39" w:rsidP="00690D39">
            <w:pPr>
              <w:numPr>
                <w:ilvl w:val="0"/>
                <w:numId w:val="3"/>
              </w:numPr>
              <w:jc w:val="both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Researched, built, and managed algorithmic long/short VIX futures strategy.</w:t>
            </w:r>
          </w:p>
          <w:p w14:paraId="6B9AC142" w14:textId="77777777" w:rsidR="00690D39" w:rsidRDefault="00690D39" w:rsidP="00690D39">
            <w:pPr>
              <w:numPr>
                <w:ilvl w:val="0"/>
                <w:numId w:val="3"/>
              </w:numPr>
              <w:jc w:val="both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Expanded, tested, and integrated alpha sources into quantitative global macro strategy, including methodology and framework improvement for existing models.</w:t>
            </w:r>
          </w:p>
          <w:p w14:paraId="2AF4E95A" w14:textId="5EC28144" w:rsidR="00690D39" w:rsidRDefault="00690D39" w:rsidP="00690D39">
            <w:pPr>
              <w:numPr>
                <w:ilvl w:val="0"/>
                <w:numId w:val="3"/>
              </w:numPr>
              <w:jc w:val="both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lastRenderedPageBreak/>
              <w:t xml:space="preserve">Designed and </w:t>
            </w:r>
            <w:proofErr w:type="spellStart"/>
            <w:r>
              <w:rPr>
                <w:spacing w:val="-3"/>
                <w:sz w:val="20"/>
                <w:szCs w:val="20"/>
              </w:rPr>
              <w:t>backtested</w:t>
            </w:r>
            <w:proofErr w:type="spellEnd"/>
            <w:r>
              <w:rPr>
                <w:spacing w:val="-3"/>
                <w:sz w:val="20"/>
                <w:szCs w:val="20"/>
              </w:rPr>
              <w:t xml:space="preserve"> the derivative strategy for managed volatility fund i</w:t>
            </w:r>
            <w:r w:rsidR="00AD1EEF">
              <w:rPr>
                <w:spacing w:val="-3"/>
                <w:sz w:val="20"/>
                <w:szCs w:val="20"/>
              </w:rPr>
              <w:t>n a highly collaborative launch.</w:t>
            </w:r>
          </w:p>
          <w:p w14:paraId="3DEEC6A2" w14:textId="66E5EAB0" w:rsidR="00690D39" w:rsidRDefault="00690D39" w:rsidP="00690D39">
            <w:pPr>
              <w:numPr>
                <w:ilvl w:val="0"/>
                <w:numId w:val="3"/>
              </w:numPr>
              <w:jc w:val="both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Incorporated machine learning techniques such as cluster analysis and boosting into trading strategies</w:t>
            </w:r>
            <w:r w:rsidR="00AD1EEF">
              <w:rPr>
                <w:spacing w:val="-3"/>
                <w:sz w:val="20"/>
                <w:szCs w:val="20"/>
              </w:rPr>
              <w:t>.</w:t>
            </w:r>
          </w:p>
          <w:p w14:paraId="0C46FAEA" w14:textId="77777777" w:rsidR="00690D39" w:rsidRPr="00690D39" w:rsidRDefault="00690D39" w:rsidP="00690D39">
            <w:pPr>
              <w:ind w:left="144"/>
              <w:jc w:val="both"/>
              <w:rPr>
                <w:spacing w:val="-3"/>
                <w:sz w:val="16"/>
                <w:szCs w:val="16"/>
              </w:rPr>
            </w:pPr>
          </w:p>
          <w:p w14:paraId="1A14901E" w14:textId="161A90CC" w:rsidR="00690D39" w:rsidRDefault="00690D39" w:rsidP="00690D3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DUFF AND PHELPS</w:t>
            </w:r>
            <w:r>
              <w:rPr>
                <w:sz w:val="20"/>
                <w:szCs w:val="20"/>
              </w:rPr>
              <w:t>, San Francisco, California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</w:t>
            </w:r>
            <w:r w:rsidR="001A7A05">
              <w:rPr>
                <w:i/>
                <w:iCs/>
                <w:sz w:val="20"/>
                <w:szCs w:val="20"/>
              </w:rPr>
              <w:t xml:space="preserve">2006 – </w:t>
            </w:r>
            <w:r>
              <w:rPr>
                <w:i/>
                <w:iCs/>
                <w:sz w:val="20"/>
                <w:szCs w:val="20"/>
              </w:rPr>
              <w:t>2009</w:t>
            </w:r>
          </w:p>
          <w:p w14:paraId="21E98FB7" w14:textId="77777777" w:rsidR="00690D39" w:rsidRDefault="00690D39" w:rsidP="00690D3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Senior Associate</w:t>
            </w:r>
          </w:p>
          <w:p w14:paraId="183B1788" w14:textId="1D694BBD" w:rsidR="00690D39" w:rsidRDefault="00690D39" w:rsidP="00690D39">
            <w:pPr>
              <w:jc w:val="both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Built asset pricing models for a broad range of securities, including equity as well as fixed-income derivatives. Prepared client reports, providing all of the details gathered in the process, and addressed all inquiries related to the result and the quantitative process.</w:t>
            </w:r>
          </w:p>
          <w:p w14:paraId="2E026ACA" w14:textId="77777777" w:rsidR="00690D39" w:rsidRDefault="00690D39" w:rsidP="00690D39">
            <w:pPr>
              <w:jc w:val="both"/>
              <w:rPr>
                <w:b/>
                <w:bCs/>
                <w:sz w:val="12"/>
                <w:szCs w:val="12"/>
              </w:rPr>
            </w:pPr>
          </w:p>
          <w:p w14:paraId="2DC78B92" w14:textId="77777777" w:rsidR="00690D39" w:rsidRDefault="00690D39" w:rsidP="00690D39">
            <w:pPr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Major Achievements: </w:t>
            </w:r>
          </w:p>
          <w:p w14:paraId="5B421EC1" w14:textId="77777777" w:rsidR="00690D39" w:rsidRDefault="00690D39" w:rsidP="00690D39">
            <w:pPr>
              <w:numPr>
                <w:ilvl w:val="0"/>
                <w:numId w:val="4"/>
              </w:numPr>
              <w:jc w:val="both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Proactively executed model development that facilitated credit derivative and structured product pricing.</w:t>
            </w:r>
          </w:p>
          <w:p w14:paraId="7239BB97" w14:textId="77777777" w:rsidR="00690D39" w:rsidRDefault="00690D39" w:rsidP="00690D39">
            <w:pPr>
              <w:numPr>
                <w:ilvl w:val="0"/>
                <w:numId w:val="4"/>
              </w:numPr>
              <w:jc w:val="both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Produced complex debt, equity, and OTC securities valuations, utilizing Merton model, binominal trees and Monte Carlo simulation.</w:t>
            </w:r>
          </w:p>
          <w:p w14:paraId="2BDE8AD0" w14:textId="77777777" w:rsidR="00690D39" w:rsidRDefault="00690D39" w:rsidP="00690D39">
            <w:pPr>
              <w:numPr>
                <w:ilvl w:val="0"/>
                <w:numId w:val="4"/>
              </w:numPr>
              <w:jc w:val="both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Conducted analysis of embedded features of convertible bonds and preferred stocks.</w:t>
            </w:r>
          </w:p>
          <w:p w14:paraId="36E1A72D" w14:textId="78FB1607" w:rsidR="00690D39" w:rsidRPr="00AD1EEF" w:rsidRDefault="00690D39" w:rsidP="00690D39">
            <w:pPr>
              <w:numPr>
                <w:ilvl w:val="0"/>
                <w:numId w:val="4"/>
              </w:numPr>
              <w:jc w:val="both"/>
              <w:rPr>
                <w:spacing w:val="-3"/>
                <w:sz w:val="20"/>
                <w:szCs w:val="20"/>
              </w:rPr>
            </w:pPr>
            <w:r w:rsidRPr="00AD1EEF">
              <w:rPr>
                <w:spacing w:val="-3"/>
                <w:sz w:val="20"/>
                <w:szCs w:val="20"/>
              </w:rPr>
              <w:t>Structured a security in alignment with ownership goals while minimizing the financial reporting impact in collaboration with the CFO.</w:t>
            </w:r>
          </w:p>
        </w:tc>
      </w:tr>
      <w:tr w:rsidR="00A62CA6" w14:paraId="04F2172D" w14:textId="77777777" w:rsidTr="001A7A05">
        <w:trPr>
          <w:trHeight w:val="62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6052" w14:textId="77777777" w:rsidR="00690D39" w:rsidRDefault="00690D39" w:rsidP="00E8586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TECHNICAL</w:t>
            </w:r>
          </w:p>
          <w:p w14:paraId="600EE2CF" w14:textId="77777777" w:rsidR="00690D39" w:rsidRDefault="00690D39" w:rsidP="00E8586D">
            <w:r>
              <w:rPr>
                <w:b/>
                <w:bCs/>
                <w:sz w:val="20"/>
                <w:szCs w:val="20"/>
              </w:rPr>
              <w:t>SKILLS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01CE" w14:textId="6616203A" w:rsidR="00690D39" w:rsidRDefault="00690D39" w:rsidP="00E8586D">
            <w:r>
              <w:rPr>
                <w:sz w:val="20"/>
                <w:szCs w:val="20"/>
              </w:rPr>
              <w:t>Python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AD1EEF">
              <w:rPr>
                <w:sz w:val="20"/>
                <w:szCs w:val="20"/>
              </w:rPr>
              <w:t xml:space="preserve">• </w:t>
            </w:r>
            <w:r>
              <w:rPr>
                <w:sz w:val="20"/>
                <w:szCs w:val="20"/>
              </w:rPr>
              <w:t xml:space="preserve">NoSQL • </w:t>
            </w:r>
            <w:proofErr w:type="spellStart"/>
            <w:r>
              <w:rPr>
                <w:sz w:val="20"/>
                <w:szCs w:val="20"/>
              </w:rPr>
              <w:t>Matlab</w:t>
            </w:r>
            <w:proofErr w:type="spellEnd"/>
            <w:r>
              <w:rPr>
                <w:sz w:val="20"/>
                <w:szCs w:val="20"/>
              </w:rPr>
              <w:t xml:space="preserve"> • Excel • VBA • AWS • Bloomberg • SAS • INTEX • C/C++ • Java • FINCAD</w:t>
            </w:r>
            <w:r w:rsidR="00AD1EEF">
              <w:rPr>
                <w:sz w:val="20"/>
                <w:szCs w:val="20"/>
              </w:rPr>
              <w:t xml:space="preserve"> • </w:t>
            </w:r>
            <w:proofErr w:type="spellStart"/>
            <w:r w:rsidR="00AD1EEF">
              <w:rPr>
                <w:sz w:val="20"/>
                <w:szCs w:val="20"/>
              </w:rPr>
              <w:t>LaTeX</w:t>
            </w:r>
            <w:proofErr w:type="spellEnd"/>
            <w:r w:rsidR="00AD1EEF">
              <w:rPr>
                <w:sz w:val="20"/>
                <w:szCs w:val="20"/>
              </w:rPr>
              <w:t xml:space="preserve"> • </w:t>
            </w:r>
            <w:proofErr w:type="spellStart"/>
            <w:r w:rsidR="00AD1EEF">
              <w:rPr>
                <w:sz w:val="20"/>
                <w:szCs w:val="20"/>
              </w:rPr>
              <w:t>Gi</w:t>
            </w:r>
            <w:r w:rsidR="001A7A05">
              <w:rPr>
                <w:sz w:val="20"/>
                <w:szCs w:val="20"/>
              </w:rPr>
              <w:t>t</w:t>
            </w:r>
            <w:proofErr w:type="spellEnd"/>
          </w:p>
        </w:tc>
      </w:tr>
      <w:tr w:rsidR="001A7A05" w14:paraId="5AED504C" w14:textId="77777777" w:rsidTr="001A7A05">
        <w:trPr>
          <w:trHeight w:val="62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68E1" w14:textId="64FC1231" w:rsidR="001A7A05" w:rsidRDefault="001A7A05" w:rsidP="00E8586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PATENT</w:t>
            </w:r>
            <w:r w:rsidR="008D036E">
              <w:rPr>
                <w:b/>
                <w:bCs/>
                <w:sz w:val="20"/>
                <w:szCs w:val="20"/>
              </w:rPr>
              <w:t xml:space="preserve"> APPLICATION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F377E" w14:textId="3A876309" w:rsidR="00517D8C" w:rsidRPr="00DD65B1" w:rsidRDefault="001A7A05" w:rsidP="00DD65B1">
            <w:pPr>
              <w:rPr>
                <w:rFonts w:eastAsia="Times New Roman" w:cs="Times New Roman"/>
                <w:color w:val="000000" w:themeColor="text1"/>
                <w:sz w:val="20"/>
                <w:szCs w:val="20"/>
                <w:bdr w:val="none" w:sz="0" w:space="0" w:color="auto"/>
                <w:shd w:val="clear" w:color="auto" w:fill="FFFFFF"/>
              </w:rPr>
            </w:pPr>
            <w:r w:rsidRPr="00940217">
              <w:rPr>
                <w:rFonts w:eastAsia="Times New Roman" w:cs="Times New Roman"/>
                <w:color w:val="000000" w:themeColor="text1"/>
                <w:sz w:val="20"/>
                <w:szCs w:val="20"/>
                <w:bdr w:val="none" w:sz="0" w:space="0" w:color="auto"/>
                <w:shd w:val="clear" w:color="auto" w:fill="FFFFFF"/>
              </w:rPr>
              <w:t>U</w:t>
            </w:r>
            <w:r w:rsidR="00DD65B1">
              <w:rPr>
                <w:rFonts w:eastAsia="Times New Roman" w:cs="Times New Roman"/>
                <w:color w:val="000000" w:themeColor="text1"/>
                <w:sz w:val="20"/>
                <w:szCs w:val="20"/>
                <w:bdr w:val="none" w:sz="0" w:space="0" w:color="auto"/>
                <w:shd w:val="clear" w:color="auto" w:fill="FFFFFF"/>
              </w:rPr>
              <w:t>.</w:t>
            </w:r>
            <w:r w:rsidRPr="00940217">
              <w:rPr>
                <w:rFonts w:eastAsia="Times New Roman" w:cs="Times New Roman"/>
                <w:color w:val="000000" w:themeColor="text1"/>
                <w:sz w:val="20"/>
                <w:szCs w:val="20"/>
                <w:bdr w:val="none" w:sz="0" w:space="0" w:color="auto"/>
                <w:shd w:val="clear" w:color="auto" w:fill="FFFFFF"/>
              </w:rPr>
              <w:t>S</w:t>
            </w:r>
            <w:r w:rsidR="00DD65B1">
              <w:rPr>
                <w:rFonts w:eastAsia="Times New Roman" w:cs="Times New Roman"/>
                <w:color w:val="000000" w:themeColor="text1"/>
                <w:sz w:val="20"/>
                <w:szCs w:val="20"/>
                <w:bdr w:val="none" w:sz="0" w:space="0" w:color="auto"/>
                <w:shd w:val="clear" w:color="auto" w:fill="FFFFFF"/>
              </w:rPr>
              <w:t>.</w:t>
            </w:r>
            <w:r w:rsidRPr="00940217">
              <w:rPr>
                <w:rFonts w:eastAsia="Times New Roman" w:cs="Times New Roman"/>
                <w:color w:val="000000" w:themeColor="text1"/>
                <w:sz w:val="20"/>
                <w:szCs w:val="20"/>
                <w:bdr w:val="none" w:sz="0" w:space="0" w:color="auto"/>
                <w:shd w:val="clear" w:color="auto" w:fill="FFFFFF"/>
              </w:rPr>
              <w:t xml:space="preserve"> Patent </w:t>
            </w:r>
            <w:r w:rsidR="00DD65B1" w:rsidRPr="00DD65B1">
              <w:rPr>
                <w:rFonts w:eastAsia="Times New Roman" w:cs="Times New Roman"/>
                <w:color w:val="000000" w:themeColor="text1"/>
                <w:sz w:val="20"/>
                <w:szCs w:val="20"/>
                <w:bdr w:val="none" w:sz="0" w:space="0" w:color="auto"/>
                <w:shd w:val="clear" w:color="auto" w:fill="FFFFFF"/>
              </w:rPr>
              <w:t xml:space="preserve">10614345 “Machine learning based extraction of partition objects from electronic documents,” Apr 7, 2020  </w:t>
            </w:r>
          </w:p>
          <w:p w14:paraId="28F85BFA" w14:textId="01F616A4" w:rsidR="001A7A05" w:rsidRPr="001A7A05" w:rsidRDefault="001A7A05" w:rsidP="001A7A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bdr w:val="none" w:sz="0" w:space="0" w:color="auto"/>
              </w:rPr>
            </w:pPr>
          </w:p>
        </w:tc>
      </w:tr>
      <w:tr w:rsidR="001A7A05" w14:paraId="51580CA4" w14:textId="77777777" w:rsidTr="001A7A05">
        <w:trPr>
          <w:trHeight w:val="62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AE856" w14:textId="165B0642" w:rsidR="001A7A05" w:rsidRDefault="001A7A05" w:rsidP="00E8586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OTHER ACTIVITIES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FF007" w14:textId="3D0BD1E4" w:rsidR="001A7A05" w:rsidRDefault="001A7A05" w:rsidP="00E85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Teaching</w:t>
            </w:r>
          </w:p>
        </w:tc>
      </w:tr>
    </w:tbl>
    <w:p w14:paraId="566FDCEF" w14:textId="77777777" w:rsidR="009552EF" w:rsidRDefault="009552EF" w:rsidP="001A7A05">
      <w:pPr>
        <w:widowControl w:val="0"/>
      </w:pPr>
    </w:p>
    <w:sectPr w:rsidR="009552EF">
      <w:pgSz w:w="12240" w:h="15840"/>
      <w:pgMar w:top="936" w:right="900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EDE75" w14:textId="77777777" w:rsidR="00784FCD" w:rsidRDefault="00784FCD">
      <w:r>
        <w:separator/>
      </w:r>
    </w:p>
  </w:endnote>
  <w:endnote w:type="continuationSeparator" w:id="0">
    <w:p w14:paraId="4D122BDB" w14:textId="77777777" w:rsidR="00784FCD" w:rsidRDefault="0078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Black">
    <w:panose1 w:val="020B0A04020102020204"/>
    <w:charset w:val="00"/>
    <w:family w:val="roman"/>
    <w:pitch w:val="default"/>
  </w:font>
  <w:font w:name="Cambria">
    <w:panose1 w:val="02040503050406030204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247C7" w14:textId="77777777" w:rsidR="00784FCD" w:rsidRDefault="00784FCD">
      <w:r>
        <w:separator/>
      </w:r>
    </w:p>
  </w:footnote>
  <w:footnote w:type="continuationSeparator" w:id="0">
    <w:p w14:paraId="40A3A58A" w14:textId="77777777" w:rsidR="00784FCD" w:rsidRDefault="00784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7D4A97"/>
    <w:multiLevelType w:val="hybridMultilevel"/>
    <w:tmpl w:val="92D47C94"/>
    <w:lvl w:ilvl="0" w:tplc="D2CC7750">
      <w:start w:val="1"/>
      <w:numFmt w:val="bullet"/>
      <w:lvlText w:val="▪"/>
      <w:lvlJc w:val="left"/>
      <w:pPr>
        <w:ind w:left="144" w:hanging="1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D2A469C4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34265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98150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A2CD1E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0C47C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24CBD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6201D8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BE97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7E555A2"/>
    <w:multiLevelType w:val="hybridMultilevel"/>
    <w:tmpl w:val="FC0E28BE"/>
    <w:lvl w:ilvl="0" w:tplc="803C1E5A">
      <w:start w:val="1"/>
      <w:numFmt w:val="bullet"/>
      <w:lvlText w:val="▪"/>
      <w:lvlJc w:val="left"/>
      <w:pPr>
        <w:ind w:left="144" w:hanging="1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DA4C59CC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ECE8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6205E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3C09BA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9411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D2022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E003EE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56E7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B953366"/>
    <w:multiLevelType w:val="hybridMultilevel"/>
    <w:tmpl w:val="1FEC0A56"/>
    <w:lvl w:ilvl="0" w:tplc="D3642ACE">
      <w:start w:val="1"/>
      <w:numFmt w:val="bullet"/>
      <w:lvlText w:val="▪"/>
      <w:lvlJc w:val="left"/>
      <w:pPr>
        <w:ind w:left="144" w:hanging="1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 w:tplc="80A4A64E">
      <w:start w:val="1"/>
      <w:numFmt w:val="bullet"/>
      <w:lvlText w:val="o"/>
      <w:lvlJc w:val="left"/>
      <w:pPr>
        <w:ind w:left="1380" w:hanging="30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7C04D6">
      <w:start w:val="1"/>
      <w:numFmt w:val="bullet"/>
      <w:lvlText w:val="▪"/>
      <w:lvlJc w:val="left"/>
      <w:pPr>
        <w:ind w:left="21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5A72A2">
      <w:start w:val="1"/>
      <w:numFmt w:val="bullet"/>
      <w:lvlText w:val="•"/>
      <w:lvlJc w:val="left"/>
      <w:pPr>
        <w:ind w:left="28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1C1B92">
      <w:start w:val="1"/>
      <w:numFmt w:val="bullet"/>
      <w:lvlText w:val="o"/>
      <w:lvlJc w:val="left"/>
      <w:pPr>
        <w:ind w:left="3540" w:hanging="30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8EAF38">
      <w:start w:val="1"/>
      <w:numFmt w:val="bullet"/>
      <w:lvlText w:val="▪"/>
      <w:lvlJc w:val="left"/>
      <w:pPr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62834">
      <w:start w:val="1"/>
      <w:numFmt w:val="bullet"/>
      <w:lvlText w:val="•"/>
      <w:lvlJc w:val="left"/>
      <w:pPr>
        <w:ind w:left="49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B2AF44">
      <w:start w:val="1"/>
      <w:numFmt w:val="bullet"/>
      <w:lvlText w:val="o"/>
      <w:lvlJc w:val="left"/>
      <w:pPr>
        <w:ind w:left="5700" w:hanging="30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F44F14">
      <w:start w:val="1"/>
      <w:numFmt w:val="bullet"/>
      <w:lvlText w:val="▪"/>
      <w:lvlJc w:val="left"/>
      <w:pPr>
        <w:ind w:left="64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E3B45C7"/>
    <w:multiLevelType w:val="hybridMultilevel"/>
    <w:tmpl w:val="4D40FB06"/>
    <w:lvl w:ilvl="0" w:tplc="A86EF236">
      <w:start w:val="1"/>
      <w:numFmt w:val="bullet"/>
      <w:lvlText w:val="▪"/>
      <w:lvlJc w:val="left"/>
      <w:pPr>
        <w:ind w:left="144" w:hanging="1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9C0C04F6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7A95C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EEFF9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445B8A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8E4F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82C07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48856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E4A0C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D742143"/>
    <w:multiLevelType w:val="hybridMultilevel"/>
    <w:tmpl w:val="90DCED68"/>
    <w:lvl w:ilvl="0" w:tplc="73F0415A">
      <w:start w:val="1"/>
      <w:numFmt w:val="bullet"/>
      <w:lvlText w:val="▪"/>
      <w:lvlJc w:val="left"/>
      <w:pPr>
        <w:ind w:left="144" w:hanging="1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 w:tplc="70BA3166">
      <w:start w:val="1"/>
      <w:numFmt w:val="bullet"/>
      <w:lvlText w:val="o"/>
      <w:lvlJc w:val="left"/>
      <w:pPr>
        <w:ind w:left="1380" w:hanging="30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1279CE">
      <w:start w:val="1"/>
      <w:numFmt w:val="bullet"/>
      <w:lvlText w:val="▪"/>
      <w:lvlJc w:val="left"/>
      <w:pPr>
        <w:ind w:left="21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16F98E">
      <w:start w:val="1"/>
      <w:numFmt w:val="bullet"/>
      <w:lvlText w:val="•"/>
      <w:lvlJc w:val="left"/>
      <w:pPr>
        <w:ind w:left="28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646356">
      <w:start w:val="1"/>
      <w:numFmt w:val="bullet"/>
      <w:lvlText w:val="o"/>
      <w:lvlJc w:val="left"/>
      <w:pPr>
        <w:ind w:left="3540" w:hanging="30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50ED88">
      <w:start w:val="1"/>
      <w:numFmt w:val="bullet"/>
      <w:lvlText w:val="▪"/>
      <w:lvlJc w:val="left"/>
      <w:pPr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F4E998">
      <w:start w:val="1"/>
      <w:numFmt w:val="bullet"/>
      <w:lvlText w:val="•"/>
      <w:lvlJc w:val="left"/>
      <w:pPr>
        <w:ind w:left="49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B23028">
      <w:start w:val="1"/>
      <w:numFmt w:val="bullet"/>
      <w:lvlText w:val="o"/>
      <w:lvlJc w:val="left"/>
      <w:pPr>
        <w:ind w:left="5700" w:hanging="30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665384">
      <w:start w:val="1"/>
      <w:numFmt w:val="bullet"/>
      <w:lvlText w:val="▪"/>
      <w:lvlJc w:val="left"/>
      <w:pPr>
        <w:ind w:left="64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1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EF"/>
    <w:rsid w:val="000B733E"/>
    <w:rsid w:val="001A7A05"/>
    <w:rsid w:val="001E73DE"/>
    <w:rsid w:val="00304241"/>
    <w:rsid w:val="004F7488"/>
    <w:rsid w:val="00517D8C"/>
    <w:rsid w:val="00681E27"/>
    <w:rsid w:val="00690D39"/>
    <w:rsid w:val="00784FCD"/>
    <w:rsid w:val="007C3231"/>
    <w:rsid w:val="007E04F4"/>
    <w:rsid w:val="007F1947"/>
    <w:rsid w:val="008151CE"/>
    <w:rsid w:val="008464C4"/>
    <w:rsid w:val="00867665"/>
    <w:rsid w:val="008D036E"/>
    <w:rsid w:val="009552EF"/>
    <w:rsid w:val="00A62CA6"/>
    <w:rsid w:val="00AD1EEF"/>
    <w:rsid w:val="00B52346"/>
    <w:rsid w:val="00B57F5D"/>
    <w:rsid w:val="00C355B2"/>
    <w:rsid w:val="00CE32F2"/>
    <w:rsid w:val="00D720BA"/>
    <w:rsid w:val="00DB4F6F"/>
    <w:rsid w:val="00DD65B1"/>
    <w:rsid w:val="00DE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58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D1EEF"/>
    <w:rPr>
      <w:rFonts w:cs="Arial Unicode MS"/>
      <w:color w:val="000000"/>
      <w:sz w:val="24"/>
      <w:szCs w:val="24"/>
      <w:u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C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Normal"/>
    <w:pPr>
      <w:keepNext/>
      <w:outlineLvl w:val="1"/>
    </w:pPr>
    <w:rPr>
      <w:rFonts w:ascii="Arial Black" w:hAnsi="Arial Black" w:cs="Arial Unicode MS"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BodyText">
    <w:name w:val="Body Text"/>
    <w:rPr>
      <w:rFonts w:cs="Arial Unicode MS"/>
      <w:color w:val="000000"/>
      <w:sz w:val="24"/>
      <w:szCs w:val="24"/>
      <w:u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A62CA6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</w:rPr>
  </w:style>
  <w:style w:type="paragraph" w:styleId="ListParagraph">
    <w:name w:val="List Paragraph"/>
    <w:basedOn w:val="Normal"/>
    <w:uiPriority w:val="34"/>
    <w:qFormat/>
    <w:rsid w:val="00846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0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835</Words>
  <Characters>4760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2021-02-16T16:17:00Z</dcterms:created>
  <dcterms:modified xsi:type="dcterms:W3CDTF">2021-02-17T15:29:00Z</dcterms:modified>
</cp:coreProperties>
</file>