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60"/>
      </w:pPr>
      <w:r>
        <w:rPr>
          <w:rFonts w:ascii="Calibri" w:hAnsi="Calibri"/>
          <w:b/>
          <w:color w:val="2E74B5"/>
          <w:sz w:val="20"/>
        </w:rPr>
        <w:t>WATTRACKER  /  CLOUD OPERATIONS</w:t>
      </w:r>
    </w:p>
    <w:p>
      <w:pPr>
        <w:spacing w:before="200" w:after="200"/>
      </w:pPr>
      <w:r>
        <w:rPr>
          <w:rFonts w:ascii="Calibri" w:hAnsi="Calibri"/>
          <w:b/>
          <w:color w:val="0B2545"/>
          <w:sz w:val="56"/>
        </w:rPr>
        <w:t>Azure Cloud Sync</w:t>
        <w:br/>
        <w:t>Secure Deployment Runbook</w:t>
      </w:r>
    </w:p>
    <w:p>
      <w:pPr>
        <w:spacing w:after="360"/>
      </w:pPr>
      <w:r>
        <w:rPr>
          <w:rFonts w:ascii="Calibri" w:hAnsi="Calibri"/>
          <w:color w:val="5B677A"/>
          <w:sz w:val="28"/>
        </w:rPr>
        <w:t>A staged, least-privilege procedure for authenticated writes, isolated tenants, and bounded Azure cost.</w:t>
      </w:r>
    </w:p>
    <w:p>
      <w:pPr>
        <w:spacing w:before="120" w:after="160"/>
        <w:ind w:left="173" w:right="115"/>
        <w:shd w:fill="FDECEC" w:val="clear"/>
        <w:pBdr>
          <w:left w:val="single" w:sz="24" w:space="8" w:color="9B1C1C"/>
        </w:pBdr>
      </w:pPr>
      <w:r>
        <w:rPr>
          <w:rFonts w:ascii="Calibri" w:hAnsi="Calibri"/>
          <w:b/>
          <w:color w:val="9B1C1C"/>
          <w:sz w:val="21"/>
        </w:rPr>
        <w:t xml:space="preserve">STOP CONDITION  </w:t>
      </w:r>
      <w:r>
        <w:rPr>
          <w:rFonts w:ascii="Calibri" w:hAnsi="Calibri"/>
          <w:color w:val="0B2545"/>
          <w:sz w:val="21"/>
        </w:rPr>
        <w:t>Do not deploy production or invite a local installation until the budget alerts, authenticated shutdown hooks, APIM tier check, private storage checks, and abuse tests in this guide are complete.</w:t>
      </w:r>
    </w:p>
    <w:tbl>
      <w:tblPr>
        <w:jc w:val="left"/>
        <w:tblLook w:firstColumn="1" w:firstRow="1" w:lastColumn="0" w:lastRow="0" w:noHBand="0" w:noVBand="1" w:val="04A0"/>
        <w:tblW w:w="9360" w:type="dxa"/>
        <w:tblInd w:w="120" w:type="dxa"/>
        <w:tblLayout w:type="fixed"/>
      </w:tblPr>
      <w:tblGrid>
        <w:gridCol w:w="3000"/>
        <w:gridCol w:w="6360"/>
      </w:tblGrid>
      <w:tr>
        <w:trPr>
          <w:tblHeader w:val="true"/>
        </w:trPr>
        <w:tc>
          <w:tcPr>
            <w:tcW w:type="dxa" w:w="300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Use this guide for</w:t>
            </w:r>
          </w:p>
        </w:tc>
        <w:tc>
          <w:tcPr>
            <w:tcW w:type="dxa" w:w="636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Do not use it for</w:t>
            </w:r>
          </w:p>
        </w:tc>
      </w:tr>
      <w:tr>
        <w:tc>
          <w:tcPr>
            <w:tcW w:type="dxa" w:w="3000"/>
            <w:vAlign w:val="center"/>
            <w:tcMar>
              <w:top w:w="80" w:type="dxa"/>
              <w:start w:w="120" w:type="dxa"/>
              <w:bottom w:w="80" w:type="dxa"/>
              <w:end w:w="120" w:type="dxa"/>
            </w:tcMar>
          </w:tcPr>
          <w:p>
            <w:pPr>
              <w:spacing w:before="0" w:after="60" w:line="259" w:lineRule="auto"/>
            </w:pPr>
            <w:r>
              <w:rPr>
                <w:rFonts w:ascii="Calibri" w:hAnsi="Calibri"/>
                <w:b w:val="0"/>
                <w:color w:val="0B2545"/>
                <w:sz w:val="19"/>
              </w:rPr>
              <w:t>A disposable non-production Azure deployment first, followed by a controlled production rollout.</w:t>
            </w:r>
          </w:p>
        </w:tc>
        <w:tc>
          <w:tcPr>
            <w:tcW w:type="dxa" w:w="6360"/>
            <w:vAlign w:val="center"/>
            <w:tcMar>
              <w:top w:w="80" w:type="dxa"/>
              <w:start w:w="120" w:type="dxa"/>
              <w:bottom w:w="80" w:type="dxa"/>
              <w:end w:w="120" w:type="dxa"/>
            </w:tcMar>
          </w:tcPr>
          <w:p>
            <w:pPr>
              <w:spacing w:before="0" w:after="60" w:line="259" w:lineRule="auto"/>
            </w:pPr>
            <w:r>
              <w:rPr>
                <w:rFonts w:ascii="Calibri" w:hAnsi="Calibri"/>
                <w:b w:val="0"/>
                <w:color w:val="0B2545"/>
                <w:sz w:val="19"/>
              </w:rPr>
              <w:t>A promise of an absolute zero-dollar ceiling; public internet services always leave residual request and shutdown-delay risk.</w:t>
            </w:r>
          </w:p>
        </w:tc>
      </w:tr>
      <w:tr>
        <w:tc>
          <w:tcPr>
            <w:tcW w:type="dxa" w:w="3000"/>
            <w:vAlign w:val="center"/>
            <w:tcMar>
              <w:top w:w="80" w:type="dxa"/>
              <w:start w:w="120" w:type="dxa"/>
              <w:bottom w:w="80" w:type="dxa"/>
              <w:end w:w="120" w:type="dxa"/>
            </w:tcMar>
          </w:tcPr>
          <w:p>
            <w:pPr>
              <w:spacing w:before="0" w:after="60" w:line="259" w:lineRule="auto"/>
            </w:pPr>
            <w:r>
              <w:rPr>
                <w:rFonts w:ascii="Calibri" w:hAnsi="Calibri"/>
                <w:b w:val="0"/>
                <w:color w:val="0B2545"/>
                <w:sz w:val="19"/>
              </w:rPr>
              <w:t>The repository's Bicep and cloud-sync contract in `infra/azure/` and `docs/cloud-sync.md`.</w:t>
            </w:r>
          </w:p>
        </w:tc>
        <w:tc>
          <w:tcPr>
            <w:tcW w:type="dxa" w:w="6360"/>
            <w:vAlign w:val="center"/>
            <w:tcMar>
              <w:top w:w="80" w:type="dxa"/>
              <w:start w:w="120" w:type="dxa"/>
              <w:bottom w:w="80" w:type="dxa"/>
              <w:end w:w="120" w:type="dxa"/>
            </w:tcMar>
          </w:tcPr>
          <w:p>
            <w:pPr>
              <w:spacing w:before="0" w:after="60" w:line="259" w:lineRule="auto"/>
            </w:pPr>
            <w:r>
              <w:rPr>
                <w:rFonts w:ascii="Calibri" w:hAnsi="Calibri"/>
                <w:b w:val="0"/>
                <w:color w:val="0B2545"/>
                <w:sz w:val="19"/>
              </w:rPr>
              <w:t>Putting real secrets, certificate private keys, storage keys, or user data in the repository or in chat.</w:t>
            </w:r>
          </w:p>
        </w:tc>
      </w:tr>
    </w:tbl>
    <w:p>
      <w:pPr>
        <w:pStyle w:val="SmallNote"/>
        <w:spacing w:before="320"/>
      </w:pPr>
      <w:r>
        <w:rPr>
          <w:rFonts w:ascii="Calibri" w:hAnsi="Calibri"/>
          <w:color w:val="5B677A"/>
          <w:sz w:val="18"/>
        </w:rPr>
        <w:t>Version 1.0  •  13 August 2026  •  Operator copy</w:t>
      </w:r>
    </w:p>
    <w:p>
      <w:r>
        <w:br w:type="page"/>
      </w:r>
    </w:p>
    <w:p>
      <w:pPr>
        <w:pStyle w:val="Heading1"/>
      </w:pPr>
      <w:r>
        <w:t>1. Decide which validation you actually need</w:t>
      </w:r>
    </w:p>
    <w:p>
      <w:pPr/>
      <w:r>
        <w:rPr>
          <w:rFonts w:ascii="Calibri" w:hAnsi="Calibri"/>
          <w:color w:val="0B2545"/>
          <w:sz w:val="22"/>
        </w:rPr>
        <w:t>There are three different activities. Only the first is local and free of Azure resource provisioning.</w:t>
      </w:r>
    </w:p>
    <w:tbl>
      <w:tblPr>
        <w:jc w:val="left"/>
        <w:tblLook w:firstColumn="1" w:firstRow="1" w:lastColumn="0" w:lastRow="0" w:noHBand="0" w:noVBand="1" w:val="04A0"/>
        <w:tblW w:w="9360" w:type="dxa"/>
        <w:tblInd w:w="120" w:type="dxa"/>
        <w:tblLayout w:type="fixed"/>
      </w:tblPr>
      <w:tblGrid>
        <w:gridCol w:w="2100"/>
        <w:gridCol w:w="2500"/>
        <w:gridCol w:w="4760"/>
      </w:tblGrid>
      <w:tr>
        <w:trPr>
          <w:tblHeader w:val="true"/>
        </w:trPr>
        <w:tc>
          <w:tcPr>
            <w:tcW w:type="dxa" w:w="210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Activity</w:t>
            </w:r>
          </w:p>
        </w:tc>
        <w:tc>
          <w:tcPr>
            <w:tcW w:type="dxa" w:w="250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Needs subscription / resource group?</w:t>
            </w:r>
          </w:p>
        </w:tc>
        <w:tc>
          <w:tcPr>
            <w:tcW w:type="dxa" w:w="476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What it proves</w:t>
            </w:r>
          </w:p>
        </w:tc>
      </w:tr>
      <w:tr>
        <w:tc>
          <w:tcPr>
            <w:tcW w:type="dxa" w:w="2100"/>
            <w:vAlign w:val="center"/>
            <w:tcMar>
              <w:top w:w="80" w:type="dxa"/>
              <w:start w:w="120" w:type="dxa"/>
              <w:bottom w:w="80" w:type="dxa"/>
              <w:end w:w="120" w:type="dxa"/>
            </w:tcMar>
          </w:tcPr>
          <w:p>
            <w:pPr>
              <w:spacing w:before="0" w:after="60" w:line="259" w:lineRule="auto"/>
            </w:pPr>
            <w:r>
              <w:rPr>
                <w:rFonts w:ascii="Calibri" w:hAnsi="Calibri"/>
                <w:b w:val="0"/>
                <w:color w:val="0B2545"/>
                <w:sz w:val="19"/>
              </w:rPr>
              <w:t>Local Bicep build</w:t>
            </w:r>
          </w:p>
        </w:tc>
        <w:tc>
          <w:tcPr>
            <w:tcW w:type="dxa" w:w="2500"/>
            <w:vAlign w:val="center"/>
            <w:tcMar>
              <w:top w:w="80" w:type="dxa"/>
              <w:start w:w="120" w:type="dxa"/>
              <w:bottom w:w="80" w:type="dxa"/>
              <w:end w:w="120" w:type="dxa"/>
            </w:tcMar>
          </w:tcPr>
          <w:p>
            <w:pPr>
              <w:spacing w:before="0" w:after="60" w:line="259" w:lineRule="auto"/>
            </w:pPr>
            <w:r>
              <w:rPr>
                <w:rFonts w:ascii="Calibri" w:hAnsi="Calibri"/>
                <w:b w:val="0"/>
                <w:color w:val="0B2545"/>
                <w:sz w:val="19"/>
              </w:rPr>
              <w:t>No</w:t>
            </w:r>
          </w:p>
        </w:tc>
        <w:tc>
          <w:tcPr>
            <w:tcW w:type="dxa" w:w="4760"/>
            <w:vAlign w:val="center"/>
            <w:tcMar>
              <w:top w:w="80" w:type="dxa"/>
              <w:start w:w="120" w:type="dxa"/>
              <w:bottom w:w="80" w:type="dxa"/>
              <w:end w:w="120" w:type="dxa"/>
            </w:tcMar>
          </w:tcPr>
          <w:p>
            <w:pPr>
              <w:spacing w:before="0" w:after="60" w:line="259" w:lineRule="auto"/>
            </w:pPr>
            <w:r>
              <w:rPr>
                <w:rFonts w:ascii="Calibri" w:hAnsi="Calibri"/>
                <w:b w:val="0"/>
                <w:color w:val="0B2545"/>
                <w:sz w:val="19"/>
              </w:rPr>
              <w:t>The Bicep file parses and compiles with the installed CLI.</w:t>
            </w:r>
          </w:p>
        </w:tc>
      </w:tr>
      <w:tr>
        <w:tc>
          <w:tcPr>
            <w:tcW w:type="dxa" w:w="2100"/>
            <w:vAlign w:val="center"/>
            <w:tcMar>
              <w:top w:w="80" w:type="dxa"/>
              <w:start w:w="120" w:type="dxa"/>
              <w:bottom w:w="80" w:type="dxa"/>
              <w:end w:w="120" w:type="dxa"/>
            </w:tcMar>
          </w:tcPr>
          <w:p>
            <w:pPr>
              <w:spacing w:before="0" w:after="60" w:line="259" w:lineRule="auto"/>
            </w:pPr>
            <w:r>
              <w:rPr>
                <w:rFonts w:ascii="Calibri" w:hAnsi="Calibri"/>
                <w:b w:val="0"/>
                <w:color w:val="0B2545"/>
                <w:sz w:val="19"/>
              </w:rPr>
              <w:t>Azure deployment validate / what-if</w:t>
            </w:r>
          </w:p>
        </w:tc>
        <w:tc>
          <w:tcPr>
            <w:tcW w:type="dxa" w:w="2500"/>
            <w:vAlign w:val="center"/>
            <w:tcMar>
              <w:top w:w="80" w:type="dxa"/>
              <w:start w:w="120" w:type="dxa"/>
              <w:bottom w:w="80" w:type="dxa"/>
              <w:end w:w="120" w:type="dxa"/>
            </w:tcMar>
          </w:tcPr>
          <w:p>
            <w:pPr>
              <w:spacing w:before="0" w:after="60" w:line="259" w:lineRule="auto"/>
            </w:pPr>
            <w:r>
              <w:rPr>
                <w:rFonts w:ascii="Calibri" w:hAnsi="Calibri"/>
                <w:b w:val="0"/>
                <w:color w:val="0B2545"/>
                <w:sz w:val="19"/>
              </w:rPr>
              <w:t>Yes</w:t>
            </w:r>
          </w:p>
        </w:tc>
        <w:tc>
          <w:tcPr>
            <w:tcW w:type="dxa" w:w="4760"/>
            <w:vAlign w:val="center"/>
            <w:tcMar>
              <w:top w:w="80" w:type="dxa"/>
              <w:start w:w="120" w:type="dxa"/>
              <w:bottom w:w="80" w:type="dxa"/>
              <w:end w:w="120" w:type="dxa"/>
            </w:tcMar>
          </w:tcPr>
          <w:p>
            <w:pPr>
              <w:spacing w:before="0" w:after="60" w:line="259" w:lineRule="auto"/>
            </w:pPr>
            <w:r>
              <w:rPr>
                <w:rFonts w:ascii="Calibri" w:hAnsi="Calibri"/>
                <w:b w:val="0"/>
                <w:color w:val="0B2545"/>
                <w:sz w:val="19"/>
              </w:rPr>
              <w:t>Azure evaluates the template, scope, provider types, policy support, permissions, and tenant-specific values. It does not create the resources when using validate/what-if.</w:t>
            </w:r>
          </w:p>
        </w:tc>
      </w:tr>
      <w:tr>
        <w:tc>
          <w:tcPr>
            <w:tcW w:type="dxa" w:w="2100"/>
            <w:vAlign w:val="center"/>
            <w:tcMar>
              <w:top w:w="80" w:type="dxa"/>
              <w:start w:w="120" w:type="dxa"/>
              <w:bottom w:w="80" w:type="dxa"/>
              <w:end w:w="120" w:type="dxa"/>
            </w:tcMar>
          </w:tcPr>
          <w:p>
            <w:pPr>
              <w:spacing w:before="0" w:after="60" w:line="259" w:lineRule="auto"/>
            </w:pPr>
            <w:r>
              <w:rPr>
                <w:rFonts w:ascii="Calibri" w:hAnsi="Calibri"/>
                <w:b w:val="0"/>
                <w:color w:val="0B2545"/>
                <w:sz w:val="19"/>
              </w:rPr>
              <w:t>Deployment</w:t>
            </w:r>
          </w:p>
        </w:tc>
        <w:tc>
          <w:tcPr>
            <w:tcW w:type="dxa" w:w="2500"/>
            <w:vAlign w:val="center"/>
            <w:tcMar>
              <w:top w:w="80" w:type="dxa"/>
              <w:start w:w="120" w:type="dxa"/>
              <w:bottom w:w="80" w:type="dxa"/>
              <w:end w:w="120" w:type="dxa"/>
            </w:tcMar>
          </w:tcPr>
          <w:p>
            <w:pPr>
              <w:spacing w:before="0" w:after="60" w:line="259" w:lineRule="auto"/>
            </w:pPr>
            <w:r>
              <w:rPr>
                <w:rFonts w:ascii="Calibri" w:hAnsi="Calibri"/>
                <w:b w:val="0"/>
                <w:color w:val="0B2545"/>
                <w:sz w:val="19"/>
              </w:rPr>
              <w:t>Yes</w:t>
            </w:r>
          </w:p>
        </w:tc>
        <w:tc>
          <w:tcPr>
            <w:tcW w:type="dxa" w:w="4760"/>
            <w:vAlign w:val="center"/>
            <w:tcMar>
              <w:top w:w="80" w:type="dxa"/>
              <w:start w:w="120" w:type="dxa"/>
              <w:bottom w:w="80" w:type="dxa"/>
              <w:end w:w="120" w:type="dxa"/>
            </w:tcMar>
          </w:tcPr>
          <w:p>
            <w:pPr>
              <w:spacing w:before="0" w:after="60" w:line="259" w:lineRule="auto"/>
            </w:pPr>
            <w:r>
              <w:rPr>
                <w:rFonts w:ascii="Calibri" w:hAnsi="Calibri"/>
                <w:b w:val="0"/>
                <w:color w:val="0B2545"/>
                <w:sz w:val="19"/>
              </w:rPr>
              <w:t>Azure creates billable infrastructure. Use the staged gates below.</w:t>
            </w:r>
          </w:p>
        </w:tc>
      </w:tr>
    </w:tbl>
    <w:p>
      <w:pPr>
        <w:spacing w:before="120" w:after="160"/>
        <w:ind w:left="173" w:right="115"/>
        <w:shd w:fill="FFF4D6" w:val="clear"/>
        <w:pBdr>
          <w:left w:val="single" w:sz="24" w:space="8" w:color="7A5A00"/>
        </w:pBdr>
      </w:pPr>
      <w:r>
        <w:rPr>
          <w:rFonts w:ascii="Calibri" w:hAnsi="Calibri"/>
          <w:b/>
          <w:color w:val="7A5A00"/>
          <w:sz w:val="21"/>
        </w:rPr>
        <w:t xml:space="preserve">IMPORTANT TEMPLATE CHECK  </w:t>
      </w:r>
      <w:r>
        <w:rPr>
          <w:rFonts w:ascii="Calibri" w:hAnsi="Calibri"/>
          <w:color w:val="0B2545"/>
          <w:sz w:val="21"/>
        </w:rPr>
        <w:t>The current Bicep selects API Management Consumption but also contains rate-limit-by-key and quota-by-key policies. Microsoft documents those key-based policies as unavailable in Consumption. Treat this as a deployment blocker: either select a supported APIM tier or replace those policies with supported per-subscription controls plus the application's own quotas, then re-run Azure validation.</w:t>
      </w:r>
    </w:p>
    <w:p>
      <w:pPr/>
      <w:r>
        <w:rPr>
          <w:rFonts w:ascii="Calibri" w:hAnsi="Calibri"/>
          <w:color w:val="0B2545"/>
          <w:sz w:val="22"/>
        </w:rPr>
        <w:t>A local Bicep build will not reliably catch every service-tier policy limitation. Do not interpret a successful local build as proof that APIM will accept the configured policies.</w:t>
      </w:r>
    </w:p>
    <w:p>
      <w:pPr>
        <w:pStyle w:val="Heading1"/>
      </w:pPr>
      <w:r>
        <w:t>2. Create a safe Azure boundary</w:t>
      </w:r>
    </w:p>
    <w:p>
      <w:pPr>
        <w:pStyle w:val="ListNumber"/>
      </w:pPr>
      <w:r>
        <w:rPr>
          <w:rFonts w:ascii="Calibri" w:hAnsi="Calibri"/>
          <w:color w:val="0B2545"/>
          <w:sz w:val="22"/>
        </w:rPr>
        <w:t>Use a dedicated non-production subscription if possible. If that is not available, use a dedicated resource group with a dedicated budget, tags, and no unrelated workloads.</w:t>
      </w:r>
    </w:p>
    <w:p>
      <w:pPr>
        <w:pStyle w:val="ListNumber"/>
      </w:pPr>
      <w:r>
        <w:rPr>
          <w:rFonts w:ascii="Calibri" w:hAnsi="Calibri"/>
          <w:color w:val="0B2545"/>
          <w:sz w:val="22"/>
        </w:rPr>
        <w:t>Use an operator identity with MFA. Do not deploy from a personal owner account as the normal workflow. Use a separate break-glass owner account stored offline and a least-privilege deployment identity for daily work.</w:t>
      </w:r>
    </w:p>
    <w:p>
      <w:pPr>
        <w:pStyle w:val="ListNumber"/>
      </w:pPr>
      <w:r>
        <w:rPr>
          <w:rFonts w:ascii="Calibri" w:hAnsi="Calibri"/>
          <w:color w:val="0B2545"/>
          <w:sz w:val="22"/>
        </w:rPr>
        <w:t>Choose one region only after checking current prices for APIM, Container Apps, private endpoints, private DNS, Storage, monitoring, bandwidth, and Static Web Apps. Record the estimate before creating resources.</w:t>
      </w:r>
    </w:p>
    <w:p>
      <w:pPr>
        <w:pStyle w:val="ListNumber"/>
      </w:pPr>
      <w:r>
        <w:rPr>
          <w:rFonts w:ascii="Calibri" w:hAnsi="Calibri"/>
          <w:color w:val="0B2545"/>
          <w:sz w:val="22"/>
        </w:rPr>
        <w:t>Create the resource group with ownership and environment tags. Keep the command's values non-secret:</w:t>
      </w:r>
    </w:p>
    <w:p>
      <w:pPr>
        <w:pStyle w:val="CodeBlock"/>
        <w:spacing w:before="60" w:after="160"/>
        <w:ind w:left="173" w:right="72"/>
        <w:shd w:fill="F7F8FA" w:val="clear"/>
        <w:pBdr>
          <w:left w:val="single" w:sz="12" w:space="8" w:color="9AA8B8"/>
        </w:pBdr>
      </w:pPr>
      <w:r>
        <w:rPr>
          <w:rFonts w:ascii="Courier New" w:hAnsi="Courier New"/>
          <w:color w:val="111827"/>
          <w:sz w:val="17"/>
        </w:rPr>
        <w:t>az login --tenant &lt;TENANT_ID&gt;</w:t>
        <w:br/>
        <w:t>az account set --subscription &lt;SUBSCRIPTION_ID&gt;</w:t>
        <w:br/>
        <w:t>az account show --query '{subscription:id,tenant:tenantId,user:user.name}' -o table</w:t>
        <w:br/>
        <w:t>az group create \</w:t>
        <w:br/>
        <w:t xml:space="preserve">  --name &lt;RESOURCE_GROUP&gt; \</w:t>
        <w:br/>
        <w:t xml:space="preserve">  --location &lt;REGION&gt; \</w:t>
        <w:br/>
        <w:t xml:space="preserve">  --tags application=wattracker environment=nonprod owner=&lt;OWNER&gt; costCenter=&lt;COST_CENTER&gt;</w:t>
      </w:r>
    </w:p>
    <w:p>
      <w:pPr>
        <w:pStyle w:val="ListNumber"/>
      </w:pPr>
      <w:r>
        <w:rPr>
          <w:rFonts w:ascii="Calibri" w:hAnsi="Calibri"/>
          <w:color w:val="0B2545"/>
          <w:sz w:val="22"/>
        </w:rPr>
        <w:t>Confirm the resource-group scope and subscription before every deployment. If the subscription or group is wrong, stop; do not rely on a typo-resistant script after the fact.</w:t>
      </w:r>
    </w:p>
    <w:p>
      <w:pPr>
        <w:pStyle w:val="Heading1"/>
      </w:pPr>
      <w:r>
        <w:t>3. Put cost brakes in place before provisioning</w:t>
      </w:r>
    </w:p>
    <w:p>
      <w:pPr>
        <w:spacing w:before="120" w:after="160"/>
        <w:ind w:left="173" w:right="115"/>
        <w:shd w:fill="FFF4D6" w:val="clear"/>
        <w:pBdr>
          <w:left w:val="single" w:sz="24" w:space="8" w:color="7A5A00"/>
        </w:pBdr>
      </w:pPr>
      <w:r>
        <w:rPr>
          <w:rFonts w:ascii="Calibri" w:hAnsi="Calibri"/>
          <w:b/>
          <w:color w:val="7A5A00"/>
          <w:sz w:val="21"/>
        </w:rPr>
        <w:t xml:space="preserve">BUDGET REALITY  </w:t>
      </w:r>
      <w:r>
        <w:rPr>
          <w:rFonts w:ascii="Calibri" w:hAnsi="Calibri"/>
          <w:color w:val="0B2545"/>
          <w:sz w:val="21"/>
        </w:rPr>
        <w:t>Azure budgets notify you; they do not stop consumption. Cost data and alerts can lag. Use budgets as a signal and the APIM/application shutdown controls as the brake.</w:t>
      </w:r>
    </w:p>
    <w:p>
      <w:pPr/>
      <w:r>
        <w:rPr>
          <w:rFonts w:ascii="Calibri" w:hAnsi="Calibri"/>
          <w:color w:val="0B2545"/>
          <w:sz w:val="22"/>
        </w:rPr>
        <w:t>In the Azure portal, create a subscription budget and a resource-group budget before deployment:</w:t>
      </w:r>
    </w:p>
    <w:p>
      <w:pPr>
        <w:pStyle w:val="ListBullet"/>
      </w:pPr>
      <w:r>
        <w:rPr>
          <w:rFonts w:ascii="Calibri" w:hAnsi="Calibri"/>
          <w:color w:val="0B2545"/>
          <w:sz w:val="22"/>
        </w:rPr>
        <w:t>Cost Management + Billing → Budgets → Add.</w:t>
      </w:r>
    </w:p>
    <w:p>
      <w:pPr>
        <w:pStyle w:val="ListBullet"/>
      </w:pPr>
      <w:r>
        <w:rPr>
          <w:rFonts w:ascii="Calibri" w:hAnsi="Calibri"/>
          <w:color w:val="0B2545"/>
          <w:sz w:val="22"/>
        </w:rPr>
        <w:t>Set an amount based on the regional estimate, not on a guess. Use email recipients you actively monitor.</w:t>
      </w:r>
    </w:p>
    <w:p>
      <w:pPr>
        <w:pStyle w:val="ListBullet"/>
      </w:pPr>
      <w:r>
        <w:rPr>
          <w:rFonts w:ascii="Calibri" w:hAnsi="Calibri"/>
          <w:color w:val="0B2545"/>
          <w:sz w:val="22"/>
        </w:rPr>
        <w:t>Create alerts at 50%, 80%, and 100% of actual spend. Add forecasted-spend alerts if available.</w:t>
      </w:r>
    </w:p>
    <w:p>
      <w:pPr>
        <w:pStyle w:val="ListBullet"/>
      </w:pPr>
      <w:r>
        <w:rPr>
          <w:rFonts w:ascii="Calibri" w:hAnsi="Calibri"/>
          <w:color w:val="0B2545"/>
          <w:sz w:val="22"/>
        </w:rPr>
        <w:t>Create an Azure Monitor Action Group for the two shutdown paths. Keep the webhook endpoints private, HTTPS-only, authenticated, idempotent, and limited to this installation's control plane.</w:t>
      </w:r>
    </w:p>
    <w:p>
      <w:pPr>
        <w:pStyle w:val="ListBullet"/>
      </w:pPr>
      <w:r>
        <w:rPr>
          <w:rFonts w:ascii="Calibri" w:hAnsi="Calibri"/>
          <w:color w:val="0B2545"/>
          <w:sz w:val="22"/>
        </w:rPr>
        <w:t>At 80%, the action must set the APIM named value `writes-enabled` to false or otherwise stop write forwarding. Reads may remain available only if the operator confirms the remaining cost risk.</w:t>
      </w:r>
    </w:p>
    <w:p>
      <w:pPr>
        <w:pStyle w:val="ListBullet"/>
      </w:pPr>
      <w:r>
        <w:rPr>
          <w:rFonts w:ascii="Calibri" w:hAnsi="Calibri"/>
          <w:color w:val="0B2545"/>
          <w:sz w:val="22"/>
        </w:rPr>
        <w:t>At 100%, the action must set `public-api-enabled` to false so APIM returns 503 before backend access. Also page the operator to consider disabling the public APIM gateway until the incident is understood.</w:t>
      </w:r>
    </w:p>
    <w:p>
      <w:pPr>
        <w:spacing w:before="120" w:after="160"/>
        <w:ind w:left="173" w:right="115"/>
        <w:shd w:fill="FDECEC" w:val="clear"/>
        <w:pBdr>
          <w:left w:val="single" w:sz="24" w:space="8" w:color="9B1C1C"/>
        </w:pBdr>
      </w:pPr>
      <w:r>
        <w:rPr>
          <w:rFonts w:ascii="Calibri" w:hAnsi="Calibri"/>
          <w:b/>
          <w:color w:val="9B1C1C"/>
          <w:sz w:val="21"/>
        </w:rPr>
        <w:t xml:space="preserve">DO NOT DEPLOY YET  </w:t>
      </w:r>
      <w:r>
        <w:rPr>
          <w:rFonts w:ascii="Calibri" w:hAnsi="Calibri"/>
          <w:color w:val="0B2545"/>
          <w:sz w:val="21"/>
        </w:rPr>
        <w:t>The Bicep parameters `writeShutdownWebhookUri` and `publicShutdownWebhookUri` only point Azure alerts at handlers. They are not the handlers themselves. Build, authenticate, and exercise those handlers in a disposable environment before production.</w:t>
      </w:r>
    </w:p>
    <w:p>
      <w:pPr/>
      <w:r>
        <w:rPr>
          <w:rFonts w:ascii="Calibri" w:hAnsi="Calibri"/>
          <w:color w:val="0B2545"/>
          <w:sz w:val="22"/>
        </w:rPr>
        <w:t>Add operational alerts for APIM 4xx/5xx spikes, authentication failures, sync conflicts, request size rejections, storage growth, Container App restarts, and repeated enrollment failures. Keep request bodies, tokens, certificate private keys, and storage URLs out of logs.</w:t>
      </w:r>
    </w:p>
    <w:p>
      <w:r>
        <w:br w:type="page"/>
      </w:r>
    </w:p>
    <w:p>
      <w:pPr>
        <w:pStyle w:val="Heading1"/>
      </w:pPr>
      <w:r>
        <w:t>4. Install tools and compile without Azure</w:t>
      </w:r>
    </w:p>
    <w:p>
      <w:pPr/>
      <w:r>
        <w:rPr>
          <w:rFonts w:ascii="Calibri" w:hAnsi="Calibri"/>
          <w:color w:val="0B2545"/>
          <w:sz w:val="22"/>
        </w:rPr>
        <w:t>On macOS, install Azure CLI and its Bicep integration. This step does not need a subscription or resource group:</w:t>
      </w:r>
    </w:p>
    <w:p>
      <w:pPr>
        <w:pStyle w:val="CodeBlock"/>
        <w:spacing w:before="60" w:after="160"/>
        <w:ind w:left="173" w:right="72"/>
        <w:shd w:fill="F7F8FA" w:val="clear"/>
        <w:pBdr>
          <w:left w:val="single" w:sz="12" w:space="8" w:color="9AA8B8"/>
        </w:pBdr>
      </w:pPr>
      <w:r>
        <w:rPr>
          <w:rFonts w:ascii="Courier New" w:hAnsi="Courier New"/>
          <w:color w:val="111827"/>
          <w:sz w:val="17"/>
        </w:rPr>
        <w:t>brew update</w:t>
        <w:br/>
        <w:t>brew install azure-cli</w:t>
        <w:br/>
        <w:t>az bicep install</w:t>
        <w:br/>
        <w:t>az version</w:t>
        <w:br/>
        <w:t>az bicep version</w:t>
        <w:br/>
        <w:br/>
        <w:t>cd /Users/ryutarom/repos/wattracker-agent2</w:t>
        <w:br/>
        <w:t>az bicep build \</w:t>
        <w:br/>
        <w:t xml:space="preserve">  --file infra/azure/main.bicep \</w:t>
        <w:br/>
        <w:t xml:space="preserve">  --outfile /tmp/wattracker-main.json</w:t>
      </w:r>
    </w:p>
    <w:p>
      <w:pPr>
        <w:pStyle w:val="Checklist"/>
        <w:ind w:left="144"/>
      </w:pPr>
      <w:r>
        <w:rPr>
          <w:rFonts w:ascii="Calibri" w:hAnsi="Calibri"/>
          <w:b/>
          <w:color w:val="2E74B5"/>
          <w:sz w:val="21"/>
        </w:rPr>
        <w:t xml:space="preserve">☐  </w:t>
      </w:r>
      <w:r>
        <w:rPr>
          <w:rFonts w:ascii="Calibri" w:hAnsi="Calibri"/>
          <w:color w:val="0B2545"/>
          <w:sz w:val="21"/>
        </w:rPr>
        <w:t>The build exits successfully and the generated JSON is only a temporary local artifact.</w:t>
      </w:r>
    </w:p>
    <w:p>
      <w:pPr>
        <w:pStyle w:val="Checklist"/>
        <w:ind w:left="144"/>
      </w:pPr>
      <w:r>
        <w:rPr>
          <w:rFonts w:ascii="Calibri" w:hAnsi="Calibri"/>
          <w:b/>
          <w:color w:val="2E74B5"/>
          <w:sz w:val="21"/>
        </w:rPr>
        <w:t xml:space="preserve">☐  </w:t>
      </w:r>
      <w:r>
        <w:rPr>
          <w:rFonts w:ascii="Calibri" w:hAnsi="Calibri"/>
          <w:color w:val="0B2545"/>
          <w:sz w:val="21"/>
        </w:rPr>
        <w:t>No secret value was placed in the command, shell history, repository, or generated JSON that will be committed.</w:t>
      </w:r>
    </w:p>
    <w:p>
      <w:pPr/>
      <w:r>
        <w:rPr>
          <w:rFonts w:ascii="Calibri" w:hAnsi="Calibri"/>
          <w:color w:val="0B2545"/>
          <w:sz w:val="22"/>
        </w:rPr>
        <w:t>If this local build is the only goal, stop here. The rest of the guide is for a real Azure-side preflight and staged deployment.</w:t>
      </w:r>
    </w:p>
    <w:p>
      <w:pPr>
        <w:pStyle w:val="Heading1"/>
      </w:pPr>
      <w:r>
        <w:t>5. Prepare tenant-specific inputs without leaking secrets</w:t>
      </w:r>
    </w:p>
    <w:p>
      <w:pPr/>
      <w:r>
        <w:rPr>
          <w:rFonts w:ascii="Calibri" w:hAnsi="Calibri"/>
          <w:color w:val="0B2545"/>
          <w:sz w:val="22"/>
        </w:rPr>
        <w:t>The Bicep file deliberately has no safe production defaults for identity, certificates, images, origins, or secrets. Prepare these inputs outside the repository, ideally through a secrets manager or a protected CI/CD environment.</w:t>
      </w:r>
    </w:p>
    <w:tbl>
      <w:tblPr>
        <w:jc w:val="left"/>
        <w:tblLook w:firstColumn="1" w:firstRow="1" w:lastColumn="0" w:lastRow="0" w:noHBand="0" w:noVBand="1" w:val="04A0"/>
        <w:tblW w:w="9360" w:type="dxa"/>
        <w:tblInd w:w="120" w:type="dxa"/>
        <w:tblLayout w:type="fixed"/>
      </w:tblPr>
      <w:tblGrid>
        <w:gridCol w:w="2100"/>
        <w:gridCol w:w="7260"/>
      </w:tblGrid>
      <w:tr>
        <w:trPr>
          <w:tblHeader w:val="true"/>
        </w:trPr>
        <w:tc>
          <w:tcPr>
            <w:tcW w:type="dxa" w:w="210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Input group</w:t>
            </w:r>
          </w:p>
        </w:tc>
        <w:tc>
          <w:tcPr>
            <w:tcW w:type="dxa" w:w="726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Required values / rule</w:t>
            </w:r>
          </w:p>
        </w:tc>
      </w:tr>
      <w:tr>
        <w:tc>
          <w:tcPr>
            <w:tcW w:type="dxa" w:w="2100"/>
            <w:vAlign w:val="center"/>
            <w:tcMar>
              <w:top w:w="80" w:type="dxa"/>
              <w:start w:w="120" w:type="dxa"/>
              <w:bottom w:w="80" w:type="dxa"/>
              <w:end w:w="120" w:type="dxa"/>
            </w:tcMar>
          </w:tcPr>
          <w:p>
            <w:pPr>
              <w:spacing w:before="0" w:after="60" w:line="259" w:lineRule="auto"/>
            </w:pPr>
            <w:r>
              <w:rPr>
                <w:rFonts w:ascii="Calibri" w:hAnsi="Calibri"/>
                <w:b w:val="0"/>
                <w:color w:val="0B2545"/>
                <w:sz w:val="19"/>
              </w:rPr>
              <w:t>Subscription and naming</w:t>
            </w:r>
          </w:p>
        </w:tc>
        <w:tc>
          <w:tcPr>
            <w:tcW w:type="dxa" w:w="7260"/>
            <w:vAlign w:val="center"/>
            <w:tcMar>
              <w:top w:w="80" w:type="dxa"/>
              <w:start w:w="120" w:type="dxa"/>
              <w:bottom w:w="80" w:type="dxa"/>
              <w:end w:w="120" w:type="dxa"/>
            </w:tcMar>
          </w:tcPr>
          <w:p>
            <w:pPr>
              <w:spacing w:before="0" w:after="60" w:line="259" w:lineRule="auto"/>
            </w:pPr>
            <w:r>
              <w:rPr>
                <w:rFonts w:ascii="Calibri" w:hAnsi="Calibri"/>
                <w:b w:val="0"/>
                <w:color w:val="0B2545"/>
                <w:sz w:val="19"/>
              </w:rPr>
              <w:t>Subscription ID, resource group, region, globally unique lowercase storage name.</w:t>
            </w:r>
          </w:p>
        </w:tc>
      </w:tr>
      <w:tr>
        <w:tc>
          <w:tcPr>
            <w:tcW w:type="dxa" w:w="2100"/>
            <w:vAlign w:val="center"/>
            <w:tcMar>
              <w:top w:w="80" w:type="dxa"/>
              <w:start w:w="120" w:type="dxa"/>
              <w:bottom w:w="80" w:type="dxa"/>
              <w:end w:w="120" w:type="dxa"/>
            </w:tcMar>
          </w:tcPr>
          <w:p>
            <w:pPr>
              <w:spacing w:before="0" w:after="60" w:line="259" w:lineRule="auto"/>
            </w:pPr>
            <w:r>
              <w:rPr>
                <w:rFonts w:ascii="Calibri" w:hAnsi="Calibri"/>
                <w:b w:val="0"/>
                <w:color w:val="0B2545"/>
                <w:sz w:val="19"/>
              </w:rPr>
              <w:t>Entra</w:t>
            </w:r>
          </w:p>
        </w:tc>
        <w:tc>
          <w:tcPr>
            <w:tcW w:type="dxa" w:w="7260"/>
            <w:vAlign w:val="center"/>
            <w:tcMar>
              <w:top w:w="80" w:type="dxa"/>
              <w:start w:w="120" w:type="dxa"/>
              <w:bottom w:w="80" w:type="dxa"/>
              <w:end w:w="120" w:type="dxa"/>
            </w:tcMar>
          </w:tcPr>
          <w:p>
            <w:pPr>
              <w:spacing w:before="0" w:after="60" w:line="259" w:lineRule="auto"/>
            </w:pPr>
            <w:r>
              <w:rPr>
                <w:rFonts w:ascii="Calibri" w:hAnsi="Calibri"/>
                <w:b w:val="0"/>
                <w:color w:val="0B2545"/>
                <w:sz w:val="19"/>
              </w:rPr>
              <w:t>Single approved tenant ID and API audience/client ID. Use exact redirect/origin configuration; do not make the reader app multi-tenant by accident.</w:t>
            </w:r>
          </w:p>
        </w:tc>
      </w:tr>
      <w:tr>
        <w:tc>
          <w:tcPr>
            <w:tcW w:type="dxa" w:w="2100"/>
            <w:vAlign w:val="center"/>
            <w:tcMar>
              <w:top w:w="80" w:type="dxa"/>
              <w:start w:w="120" w:type="dxa"/>
              <w:bottom w:w="80" w:type="dxa"/>
              <w:end w:w="120" w:type="dxa"/>
            </w:tcMar>
          </w:tcPr>
          <w:p>
            <w:pPr>
              <w:spacing w:before="0" w:after="60" w:line="259" w:lineRule="auto"/>
            </w:pPr>
            <w:r>
              <w:rPr>
                <w:rFonts w:ascii="Calibri" w:hAnsi="Calibri"/>
                <w:b w:val="0"/>
                <w:color w:val="0B2545"/>
                <w:sz w:val="19"/>
              </w:rPr>
              <w:t>APIM certificate</w:t>
            </w:r>
          </w:p>
        </w:tc>
        <w:tc>
          <w:tcPr>
            <w:tcW w:type="dxa" w:w="7260"/>
            <w:vAlign w:val="center"/>
            <w:tcMar>
              <w:top w:w="80" w:type="dxa"/>
              <w:start w:w="120" w:type="dxa"/>
              <w:bottom w:w="80" w:type="dxa"/>
              <w:end w:w="120" w:type="dxa"/>
            </w:tcMar>
          </w:tcPr>
          <w:p>
            <w:pPr>
              <w:spacing w:before="0" w:after="60" w:line="259" w:lineRule="auto"/>
            </w:pPr>
            <w:r>
              <w:rPr>
                <w:rFonts w:ascii="Calibri" w:hAnsi="Calibri"/>
                <w:b w:val="0"/>
                <w:color w:val="0B2545"/>
                <w:sz w:val="19"/>
              </w:rPr>
              <w:t>Existing Key Vault name and resource group, versioned certificate secret URI, APIM hostname, and the separate APIM-to-Container-App certificate ID.</w:t>
            </w:r>
          </w:p>
        </w:tc>
      </w:tr>
      <w:tr>
        <w:tc>
          <w:tcPr>
            <w:tcW w:type="dxa" w:w="2100"/>
            <w:vAlign w:val="center"/>
            <w:tcMar>
              <w:top w:w="80" w:type="dxa"/>
              <w:start w:w="120" w:type="dxa"/>
              <w:bottom w:w="80" w:type="dxa"/>
              <w:end w:w="120" w:type="dxa"/>
            </w:tcMar>
          </w:tcPr>
          <w:p>
            <w:pPr>
              <w:spacing w:before="0" w:after="60" w:line="259" w:lineRule="auto"/>
            </w:pPr>
            <w:r>
              <w:rPr>
                <w:rFonts w:ascii="Calibri" w:hAnsi="Calibri"/>
                <w:b w:val="0"/>
                <w:color w:val="0B2545"/>
                <w:sz w:val="19"/>
              </w:rPr>
              <w:t>Control plane</w:t>
            </w:r>
          </w:p>
        </w:tc>
        <w:tc>
          <w:tcPr>
            <w:tcW w:type="dxa" w:w="7260"/>
            <w:vAlign w:val="center"/>
            <w:tcMar>
              <w:top w:w="80" w:type="dxa"/>
              <w:start w:w="120" w:type="dxa"/>
              <w:bottom w:w="80" w:type="dxa"/>
              <w:end w:w="120" w:type="dxa"/>
            </w:tcMar>
          </w:tcPr>
          <w:p>
            <w:pPr>
              <w:spacing w:before="0" w:after="60" w:line="259" w:lineRule="auto"/>
            </w:pPr>
            <w:r>
              <w:rPr>
                <w:rFonts w:ascii="Calibri" w:hAnsi="Calibri"/>
                <w:b w:val="0"/>
                <w:color w:val="0B2545"/>
                <w:sz w:val="19"/>
              </w:rPr>
              <w:t>Two authenticated HTTPS shutdown webhook URIs, billing email, publisher email, and the exact PWA origin. No wildcard CORS.</w:t>
            </w:r>
          </w:p>
        </w:tc>
      </w:tr>
      <w:tr>
        <w:tc>
          <w:tcPr>
            <w:tcW w:type="dxa" w:w="2100"/>
            <w:vAlign w:val="center"/>
            <w:tcMar>
              <w:top w:w="80" w:type="dxa"/>
              <w:start w:w="120" w:type="dxa"/>
              <w:bottom w:w="80" w:type="dxa"/>
              <w:end w:w="120" w:type="dxa"/>
            </w:tcMar>
          </w:tcPr>
          <w:p>
            <w:pPr>
              <w:spacing w:before="0" w:after="60" w:line="259" w:lineRule="auto"/>
            </w:pPr>
            <w:r>
              <w:rPr>
                <w:rFonts w:ascii="Calibri" w:hAnsi="Calibri"/>
                <w:b w:val="0"/>
                <w:color w:val="0B2545"/>
                <w:sz w:val="19"/>
              </w:rPr>
              <w:t>Images</w:t>
            </w:r>
          </w:p>
        </w:tc>
        <w:tc>
          <w:tcPr>
            <w:tcW w:type="dxa" w:w="7260"/>
            <w:vAlign w:val="center"/>
            <w:tcMar>
              <w:top w:w="80" w:type="dxa"/>
              <w:start w:w="120" w:type="dxa"/>
              <w:bottom w:w="80" w:type="dxa"/>
              <w:end w:w="120" w:type="dxa"/>
            </w:tcMar>
          </w:tcPr>
          <w:p>
            <w:pPr>
              <w:spacing w:before="0" w:after="60" w:line="259" w:lineRule="auto"/>
            </w:pPr>
            <w:r>
              <w:rPr>
                <w:rFonts w:ascii="Calibri" w:hAnsi="Calibri"/>
                <w:b w:val="0"/>
                <w:color w:val="0B2545"/>
                <w:sz w:val="19"/>
              </w:rPr>
              <w:t>Signed, pinned read and sync images whose entrypoint is `python -m wattracker.cloud.runtime`. Do not deploy `latest`.</w:t>
            </w:r>
          </w:p>
        </w:tc>
      </w:tr>
      <w:tr>
        <w:tc>
          <w:tcPr>
            <w:tcW w:type="dxa" w:w="2100"/>
            <w:vAlign w:val="center"/>
            <w:tcMar>
              <w:top w:w="80" w:type="dxa"/>
              <w:start w:w="120" w:type="dxa"/>
              <w:bottom w:w="80" w:type="dxa"/>
              <w:end w:w="120" w:type="dxa"/>
            </w:tcMar>
          </w:tcPr>
          <w:p>
            <w:pPr>
              <w:spacing w:before="0" w:after="60" w:line="259" w:lineRule="auto"/>
            </w:pPr>
            <w:r>
              <w:rPr>
                <w:rFonts w:ascii="Calibri" w:hAnsi="Calibri"/>
                <w:b w:val="0"/>
                <w:color w:val="0B2545"/>
                <w:sz w:val="19"/>
              </w:rPr>
              <w:t>Secrets</w:t>
            </w:r>
          </w:p>
        </w:tc>
        <w:tc>
          <w:tcPr>
            <w:tcW w:type="dxa" w:w="7260"/>
            <w:vAlign w:val="center"/>
            <w:tcMar>
              <w:top w:w="80" w:type="dxa"/>
              <w:start w:w="120" w:type="dxa"/>
              <w:bottom w:w="80" w:type="dxa"/>
              <w:end w:w="120" w:type="dxa"/>
            </w:tcMar>
          </w:tcPr>
          <w:p>
            <w:pPr>
              <w:spacing w:before="0" w:after="60" w:line="259" w:lineRule="auto"/>
            </w:pPr>
            <w:r>
              <w:rPr>
                <w:rFonts w:ascii="Calibri" w:hAnsi="Calibri"/>
                <w:b w:val="0"/>
                <w:color w:val="0B2545"/>
                <w:sz w:val="19"/>
              </w:rPr>
              <w:t>Random 256-bit cloud server secret, operator token, and APIM proof secret. Generate once, store in a password manager/secret store, and rotate under a documented procedure.</w:t>
            </w:r>
          </w:p>
        </w:tc>
      </w:tr>
      <w:tr>
        <w:tc>
          <w:tcPr>
            <w:tcW w:type="dxa" w:w="2100"/>
            <w:vAlign w:val="center"/>
            <w:tcMar>
              <w:top w:w="80" w:type="dxa"/>
              <w:start w:w="120" w:type="dxa"/>
              <w:bottom w:w="80" w:type="dxa"/>
              <w:end w:w="120" w:type="dxa"/>
            </w:tcMar>
          </w:tcPr>
          <w:p>
            <w:pPr>
              <w:spacing w:before="0" w:after="60" w:line="259" w:lineRule="auto"/>
            </w:pPr>
            <w:r>
              <w:rPr>
                <w:rFonts w:ascii="Calibri" w:hAnsi="Calibri"/>
                <w:b w:val="0"/>
                <w:color w:val="0B2545"/>
                <w:sz w:val="19"/>
              </w:rPr>
              <w:t>Role definitions</w:t>
            </w:r>
          </w:p>
        </w:tc>
        <w:tc>
          <w:tcPr>
            <w:tcW w:type="dxa" w:w="7260"/>
            <w:vAlign w:val="center"/>
            <w:tcMar>
              <w:top w:w="80" w:type="dxa"/>
              <w:start w:w="120" w:type="dxa"/>
              <w:bottom w:w="80" w:type="dxa"/>
              <w:end w:w="120" w:type="dxa"/>
            </w:tcMar>
          </w:tcPr>
          <w:p>
            <w:pPr>
              <w:spacing w:before="0" w:after="60" w:line="259" w:lineRule="auto"/>
            </w:pPr>
            <w:r>
              <w:rPr>
                <w:rFonts w:ascii="Calibri" w:hAnsi="Calibri"/>
                <w:b w:val="0"/>
                <w:color w:val="0B2545"/>
                <w:sz w:val="19"/>
              </w:rPr>
              <w:t>Tenant/subscription-specific built-in role definition IDs passed to Bicep. Verify them before deployment; do not broaden them to Owner.</w:t>
            </w:r>
          </w:p>
        </w:tc>
      </w:tr>
    </w:tbl>
    <w:p>
      <w:pPr>
        <w:pStyle w:val="CodeBlock"/>
        <w:spacing w:before="60" w:after="160"/>
        <w:ind w:left="173" w:right="72"/>
        <w:shd w:fill="F7F8FA" w:val="clear"/>
        <w:pBdr>
          <w:left w:val="single" w:sz="12" w:space="8" w:color="9AA8B8"/>
        </w:pBdr>
      </w:pPr>
      <w:r>
        <w:rPr>
          <w:rFonts w:ascii="Courier New" w:hAnsi="Courier New"/>
          <w:color w:val="111827"/>
          <w:sz w:val="17"/>
        </w:rPr>
        <w:t># Generate values locally; do not paste them into chat or commit them.</w:t>
        <w:br/>
        <w:t>openssl rand -base64 32   # cloudServerSecret</w:t>
        <w:br/>
        <w:t>openssl rand -base64 32   # operatorToken</w:t>
        <w:br/>
        <w:t>openssl rand -base64 32   # apimProofSecret</w:t>
      </w:r>
    </w:p>
    <w:p>
      <w:pPr>
        <w:spacing w:before="120" w:after="160"/>
        <w:ind w:left="173" w:right="115"/>
        <w:shd w:fill="FDECEC" w:val="clear"/>
        <w:pBdr>
          <w:left w:val="single" w:sz="24" w:space="8" w:color="9B1C1C"/>
        </w:pBdr>
      </w:pPr>
      <w:r>
        <w:rPr>
          <w:rFonts w:ascii="Calibri" w:hAnsi="Calibri"/>
          <w:b/>
          <w:color w:val="9B1C1C"/>
          <w:sz w:val="21"/>
        </w:rPr>
        <w:t xml:space="preserve">SECRET HANDLING  </w:t>
      </w:r>
      <w:r>
        <w:rPr>
          <w:rFonts w:ascii="Calibri" w:hAnsi="Calibri"/>
          <w:color w:val="0B2545"/>
          <w:sz w:val="21"/>
        </w:rPr>
        <w:t>Keep the parameter file outside the Git worktree with filesystem permissions restricted to the operator. Prefer Key Vault/CI secret injection. Never use storage account keys, SAS tokens, database credentials, or Azure credentials in the desktop app, PWA, iOS app, or repository.</w:t>
      </w:r>
    </w:p>
    <w:p>
      <w:pPr>
        <w:pStyle w:val="Heading1"/>
      </w:pPr>
      <w:r>
        <w:t>6. Validate against Azure before creating anything</w:t>
      </w:r>
    </w:p>
    <w:p>
      <w:pPr/>
      <w:r>
        <w:rPr>
          <w:rFonts w:ascii="Calibri" w:hAnsi="Calibri"/>
          <w:color w:val="0B2545"/>
          <w:sz w:val="22"/>
        </w:rPr>
        <w:t>Create a tenant-specific parameter file outside the repository. It must contain all required Bicep parameters, including the secure values, but it must not be checked into Git. Then run a server-side preflight:</w:t>
      </w:r>
    </w:p>
    <w:p>
      <w:pPr>
        <w:pStyle w:val="CodeBlock"/>
        <w:spacing w:before="60" w:after="160"/>
        <w:ind w:left="173" w:right="72"/>
        <w:shd w:fill="F7F8FA" w:val="clear"/>
        <w:pBdr>
          <w:left w:val="single" w:sz="12" w:space="8" w:color="9AA8B8"/>
        </w:pBdr>
      </w:pPr>
      <w:r>
        <w:rPr>
          <w:rFonts w:ascii="Courier New" w:hAnsi="Courier New"/>
          <w:color w:val="111827"/>
          <w:sz w:val="17"/>
        </w:rPr>
        <w:t>az deployment group validate \</w:t>
        <w:br/>
        <w:t xml:space="preserve">  --resource-group &lt;RESOURCE_GROUP&gt; \</w:t>
        <w:br/>
        <w:t xml:space="preserve">  --name wattracker-preflight \</w:t>
        <w:br/>
        <w:t xml:space="preserve">  --template-file infra/azure/main.bicep \</w:t>
        <w:br/>
        <w:t xml:space="preserve">  --parameters @&lt;SECURE_PARAMETER_FILE&gt;.json</w:t>
      </w:r>
    </w:p>
    <w:p>
      <w:pPr/>
      <w:r>
        <w:rPr>
          <w:rFonts w:ascii="Calibri" w:hAnsi="Calibri"/>
          <w:color w:val="0B2545"/>
          <w:sz w:val="22"/>
        </w:rPr>
        <w:t>If validation passes, preview the planned changes. Treat any unexpected resource, policy, role assignment, public endpoint, or region as a stop condition:</w:t>
      </w:r>
    </w:p>
    <w:p>
      <w:pPr>
        <w:pStyle w:val="CodeBlock"/>
        <w:spacing w:before="60" w:after="160"/>
        <w:ind w:left="173" w:right="72"/>
        <w:shd w:fill="F7F8FA" w:val="clear"/>
        <w:pBdr>
          <w:left w:val="single" w:sz="12" w:space="8" w:color="9AA8B8"/>
        </w:pBdr>
      </w:pPr>
      <w:r>
        <w:rPr>
          <w:rFonts w:ascii="Courier New" w:hAnsi="Courier New"/>
          <w:color w:val="111827"/>
          <w:sz w:val="17"/>
        </w:rPr>
        <w:t>az deployment group what-if \</w:t>
        <w:br/>
        <w:t xml:space="preserve">  --resource-group &lt;RESOURCE_GROUP&gt; \</w:t>
        <w:br/>
        <w:t xml:space="preserve">  --name wattracker-what-if \</w:t>
        <w:br/>
        <w:t xml:space="preserve">  --template-file infra/azure/main.bicep \</w:t>
        <w:br/>
        <w:t xml:space="preserve">  --parameters @&lt;SECURE_PARAMETER_FILE&gt;.json</w:t>
      </w:r>
    </w:p>
    <w:p>
      <w:pPr>
        <w:pStyle w:val="Checklist"/>
        <w:ind w:left="144"/>
      </w:pPr>
      <w:r>
        <w:rPr>
          <w:rFonts w:ascii="Calibri" w:hAnsi="Calibri"/>
          <w:b/>
          <w:color w:val="2E74B5"/>
          <w:sz w:val="21"/>
        </w:rPr>
        <w:t xml:space="preserve">☐  </w:t>
      </w:r>
      <w:r>
        <w:rPr>
          <w:rFonts w:ascii="Calibri" w:hAnsi="Calibri"/>
          <w:color w:val="0B2545"/>
          <w:sz w:val="21"/>
        </w:rPr>
        <w:t>The resource list contains only the intended VNet, private DNS zones, private endpoints, Storage, identities, Container Apps environment/apps, APIM, Key Vault access, PWA, roles, budgets, and action groups.</w:t>
      </w:r>
    </w:p>
    <w:p>
      <w:pPr>
        <w:pStyle w:val="Checklist"/>
        <w:ind w:left="144"/>
      </w:pPr>
      <w:r>
        <w:rPr>
          <w:rFonts w:ascii="Calibri" w:hAnsi="Calibri"/>
          <w:b/>
          <w:color w:val="9B1C1C"/>
          <w:sz w:val="21"/>
        </w:rPr>
        <w:t xml:space="preserve">☐  </w:t>
      </w:r>
      <w:r>
        <w:rPr>
          <w:rFonts w:ascii="Calibri" w:hAnsi="Calibri"/>
          <w:color w:val="0B2545"/>
          <w:sz w:val="21"/>
        </w:rPr>
        <w:t>The APIM tier/policy compatibility blocker in Section 1 is resolved and documented.</w:t>
      </w:r>
    </w:p>
    <w:p>
      <w:pPr>
        <w:pStyle w:val="Checklist"/>
        <w:ind w:left="144"/>
      </w:pPr>
      <w:r>
        <w:rPr>
          <w:rFonts w:ascii="Calibri" w:hAnsi="Calibri"/>
          <w:b/>
          <w:color w:val="2E74B5"/>
          <w:sz w:val="21"/>
        </w:rPr>
        <w:t xml:space="preserve">☐  </w:t>
      </w:r>
      <w:r>
        <w:rPr>
          <w:rFonts w:ascii="Calibri" w:hAnsi="Calibri"/>
          <w:color w:val="0B2545"/>
          <w:sz w:val="21"/>
        </w:rPr>
        <w:t>The deployment identity has no permanent broad Owner permission. Any role-assignment permission is time-limited or reviewed.</w:t>
      </w:r>
    </w:p>
    <w:p>
      <w:pPr>
        <w:pStyle w:val="Checklist"/>
        <w:ind w:left="144"/>
      </w:pPr>
      <w:r>
        <w:rPr>
          <w:rFonts w:ascii="Calibri" w:hAnsi="Calibri"/>
          <w:b/>
          <w:color w:val="2E74B5"/>
          <w:sz w:val="21"/>
        </w:rPr>
        <w:t xml:space="preserve">☐  </w:t>
      </w:r>
      <w:r>
        <w:rPr>
          <w:rFonts w:ascii="Calibri" w:hAnsi="Calibri"/>
          <w:color w:val="0B2545"/>
          <w:sz w:val="21"/>
        </w:rPr>
        <w:t>The parameter file is outside the repository and has restricted file permissions.</w:t>
      </w:r>
    </w:p>
    <w:p>
      <w:r>
        <w:br w:type="page"/>
      </w:r>
    </w:p>
    <w:p>
      <w:pPr>
        <w:pStyle w:val="Heading1"/>
      </w:pPr>
      <w:r>
        <w:t>7. Deploy dark, then open one capability at a time</w:t>
      </w:r>
    </w:p>
    <w:p>
      <w:pPr/>
      <w:r>
        <w:rPr>
          <w:rFonts w:ascii="Calibri" w:hAnsi="Calibri"/>
          <w:color w:val="0B2545"/>
          <w:sz w:val="22"/>
        </w:rPr>
        <w:t>The first deployment must not immediately accept public reads or writes. Set both Bicep switches false in the parameter file:</w:t>
      </w:r>
    </w:p>
    <w:p>
      <w:pPr>
        <w:pStyle w:val="CodeBlock"/>
        <w:spacing w:before="60" w:after="160"/>
        <w:ind w:left="173" w:right="72"/>
        <w:shd w:fill="F7F8FA" w:val="clear"/>
        <w:pBdr>
          <w:left w:val="single" w:sz="12" w:space="8" w:color="9AA8B8"/>
        </w:pBdr>
      </w:pPr>
      <w:r>
        <w:rPr>
          <w:rFonts w:ascii="Courier New" w:hAnsi="Courier New"/>
          <w:color w:val="111827"/>
          <w:sz w:val="17"/>
        </w:rPr>
        <w:t>publicApiEnabled = false</w:t>
        <w:br/>
        <w:t>writesEnabled = false</w:t>
      </w:r>
    </w:p>
    <w:p>
      <w:pPr>
        <w:pStyle w:val="ListNumber"/>
      </w:pPr>
      <w:r>
        <w:rPr>
          <w:rFonts w:ascii="Calibri" w:hAnsi="Calibri"/>
          <w:color w:val="0B2545"/>
          <w:sz w:val="22"/>
        </w:rPr>
        <w:t>Deploy the validated template to non-production only. Capture the deployment ID and keep the what-if output.</w:t>
      </w:r>
    </w:p>
    <w:p>
      <w:pPr>
        <w:pStyle w:val="ListNumber"/>
      </w:pPr>
      <w:r>
        <w:rPr>
          <w:rFonts w:ascii="Calibri" w:hAnsi="Calibri"/>
          <w:color w:val="0B2545"/>
          <w:sz w:val="22"/>
        </w:rPr>
        <w:t>List the resulting resources and compare them with the what-if output. Stop on any resource outside the intended resource group or region.</w:t>
      </w:r>
    </w:p>
    <w:p>
      <w:pPr>
        <w:pStyle w:val="ListNumber"/>
      </w:pPr>
      <w:r>
        <w:rPr>
          <w:rFonts w:ascii="Calibri" w:hAnsi="Calibri"/>
          <w:color w:val="0B2545"/>
          <w:sz w:val="22"/>
        </w:rPr>
        <w:t>Verify Storage and Container App network settings before enabling the API.</w:t>
      </w:r>
    </w:p>
    <w:p>
      <w:pPr>
        <w:pStyle w:val="ListNumber"/>
      </w:pPr>
      <w:r>
        <w:rPr>
          <w:rFonts w:ascii="Calibri" w:hAnsi="Calibri"/>
          <w:color w:val="0B2545"/>
          <w:sz w:val="22"/>
        </w:rPr>
        <w:t>Verify APIM certificate, subscription requirement, exact CORS origin, Entra audience/tenant validation, outbound backend certificate, and private APIM proof header.</w:t>
      </w:r>
    </w:p>
    <w:p>
      <w:pPr>
        <w:pStyle w:val="ListNumber"/>
      </w:pPr>
      <w:r>
        <w:rPr>
          <w:rFonts w:ascii="Calibri" w:hAnsi="Calibri"/>
          <w:color w:val="0B2545"/>
          <w:sz w:val="22"/>
        </w:rPr>
        <w:t>Run anonymous, malformed, replay, quota, and direct-ingress tests from the acceptance section.</w:t>
      </w:r>
    </w:p>
    <w:p>
      <w:pPr>
        <w:pStyle w:val="ListNumber"/>
      </w:pPr>
      <w:r>
        <w:rPr>
          <w:rFonts w:ascii="Calibri" w:hAnsi="Calibri"/>
          <w:color w:val="0B2545"/>
          <w:sz w:val="22"/>
        </w:rPr>
        <w:t>Enable read APIs only after the read tests pass. Keep writes disabled.</w:t>
      </w:r>
    </w:p>
    <w:p>
      <w:pPr>
        <w:pStyle w:val="ListNumber"/>
      </w:pPr>
      <w:r>
        <w:rPr>
          <w:rFonts w:ascii="Calibri" w:hAnsi="Calibri"/>
          <w:color w:val="0B2545"/>
          <w:sz w:val="22"/>
        </w:rPr>
        <w:t>Pair one test local user through an operator-created, short-lived, single-use invitation. Upload from a read-only SQLite snapshot and compare counts/hashes.</w:t>
      </w:r>
    </w:p>
    <w:p>
      <w:pPr>
        <w:pStyle w:val="ListNumber"/>
      </w:pPr>
      <w:r>
        <w:rPr>
          <w:rFonts w:ascii="Calibri" w:hAnsi="Calibri"/>
          <w:color w:val="0B2545"/>
          <w:sz w:val="22"/>
        </w:rPr>
        <w:t>Enable writes only after the initial comparison, then test idempotency, stale revisions, tombstones, and revocation.</w:t>
      </w:r>
    </w:p>
    <w:p>
      <w:pPr>
        <w:spacing w:before="120" w:after="160"/>
        <w:ind w:left="173" w:right="115"/>
        <w:shd w:fill="FDECEC" w:val="clear"/>
        <w:pBdr>
          <w:left w:val="single" w:sz="24" w:space="8" w:color="9B1C1C"/>
        </w:pBdr>
      </w:pPr>
      <w:r>
        <w:rPr>
          <w:rFonts w:ascii="Calibri" w:hAnsi="Calibri"/>
          <w:b/>
          <w:color w:val="9B1C1C"/>
          <w:sz w:val="21"/>
        </w:rPr>
        <w:t xml:space="preserve">ROLLBACK  </w:t>
      </w:r>
      <w:r>
        <w:rPr>
          <w:rFonts w:ascii="Calibri" w:hAnsi="Calibri"/>
          <w:color w:val="0B2545"/>
          <w:sz w:val="21"/>
        </w:rPr>
        <w:t>The first response to suspicious traffic is to set `publicApiEnabled=false` and `writesEnabled=false`, revoke affected writer credentials, freeze enrollment, and preserve logs/metadata needed for investigation. Local Wattracker operation must continue without the cloud.</w:t>
      </w:r>
    </w:p>
    <w:p>
      <w:pPr>
        <w:pStyle w:val="Heading1"/>
      </w:pPr>
      <w:r>
        <w:t>8. Verify the network and storage boundary</w:t>
      </w:r>
    </w:p>
    <w:p>
      <w:pPr/>
      <w:r>
        <w:rPr>
          <w:rFonts w:ascii="Calibri" w:hAnsi="Calibri"/>
          <w:color w:val="0B2545"/>
          <w:sz w:val="22"/>
        </w:rPr>
        <w:t>Storage is not protected by a blob path or table partition key. The server must authorize every operation, and the network must make direct storage access unavailable.</w:t>
      </w:r>
    </w:p>
    <w:p>
      <w:pPr>
        <w:pStyle w:val="Checklist"/>
        <w:ind w:left="144"/>
      </w:pPr>
      <w:r>
        <w:rPr>
          <w:rFonts w:ascii="Calibri" w:hAnsi="Calibri"/>
          <w:b/>
          <w:color w:val="2E74B5"/>
          <w:sz w:val="21"/>
        </w:rPr>
        <w:t xml:space="preserve">☐  </w:t>
      </w:r>
      <w:r>
        <w:rPr>
          <w:rFonts w:ascii="Calibri" w:hAnsi="Calibri"/>
          <w:color w:val="0B2545"/>
          <w:sz w:val="21"/>
        </w:rPr>
        <w:t>Storage public network access is disabled; Blob and Table private endpoints and private DNS zones exist.</w:t>
      </w:r>
    </w:p>
    <w:p>
      <w:pPr>
        <w:pStyle w:val="Checklist"/>
        <w:ind w:left="144"/>
      </w:pPr>
      <w:r>
        <w:rPr>
          <w:rFonts w:ascii="Calibri" w:hAnsi="Calibri"/>
          <w:b/>
          <w:color w:val="2E74B5"/>
          <w:sz w:val="21"/>
        </w:rPr>
        <w:t xml:space="preserve">☐  </w:t>
      </w:r>
      <w:r>
        <w:rPr>
          <w:rFonts w:ascii="Calibri" w:hAnsi="Calibri"/>
          <w:color w:val="0B2545"/>
          <w:sz w:val="21"/>
        </w:rPr>
        <w:t>Anonymous Blob access is disabled; Shared Key authorization is disabled; HTTPS-only and TLS 1.2 are enforced.</w:t>
      </w:r>
    </w:p>
    <w:p>
      <w:pPr>
        <w:pStyle w:val="Checklist"/>
        <w:ind w:left="144"/>
      </w:pPr>
      <w:r>
        <w:rPr>
          <w:rFonts w:ascii="Calibri" w:hAnsi="Calibri"/>
          <w:b/>
          <w:color w:val="2E74B5"/>
          <w:sz w:val="21"/>
        </w:rPr>
        <w:t xml:space="preserve">☐  </w:t>
      </w:r>
      <w:r>
        <w:rPr>
          <w:rFonts w:ascii="Calibri" w:hAnsi="Calibri"/>
          <w:color w:val="0B2545"/>
          <w:sz w:val="21"/>
        </w:rPr>
        <w:t>The read identity has only the documented read roles plus the required CloudAuth manager access.</w:t>
      </w:r>
    </w:p>
    <w:p>
      <w:pPr>
        <w:pStyle w:val="Checklist"/>
        <w:ind w:left="144"/>
      </w:pPr>
      <w:r>
        <w:rPr>
          <w:rFonts w:ascii="Calibri" w:hAnsi="Calibri"/>
          <w:b/>
          <w:color w:val="2E74B5"/>
          <w:sz w:val="21"/>
        </w:rPr>
        <w:t xml:space="preserve">☐  </w:t>
      </w:r>
      <w:r>
        <w:rPr>
          <w:rFonts w:ascii="Calibri" w:hAnsi="Calibri"/>
          <w:color w:val="0B2545"/>
          <w:sz w:val="21"/>
        </w:rPr>
        <w:t>The sync identity has only the custom bounded writer roles and cannot perform physical deletion.</w:t>
      </w:r>
    </w:p>
    <w:p>
      <w:pPr>
        <w:pStyle w:val="Checklist"/>
        <w:ind w:left="144"/>
      </w:pPr>
      <w:r>
        <w:rPr>
          <w:rFonts w:ascii="Calibri" w:hAnsi="Calibri"/>
          <w:b/>
          <w:color w:val="2E74B5"/>
          <w:sz w:val="21"/>
        </w:rPr>
        <w:t xml:space="preserve">☐  </w:t>
      </w:r>
      <w:r>
        <w:rPr>
          <w:rFonts w:ascii="Calibri" w:hAnsi="Calibri"/>
          <w:color w:val="0B2545"/>
          <w:sz w:val="21"/>
        </w:rPr>
        <w:t>Only the cleanup identity can perform retention/recovery deletion.</w:t>
      </w:r>
    </w:p>
    <w:p>
      <w:pPr>
        <w:pStyle w:val="Checklist"/>
        <w:ind w:left="144"/>
      </w:pPr>
      <w:r>
        <w:rPr>
          <w:rFonts w:ascii="Calibri" w:hAnsi="Calibri"/>
          <w:b/>
          <w:color w:val="2E74B5"/>
          <w:sz w:val="21"/>
        </w:rPr>
        <w:t xml:space="preserve">☐  </w:t>
      </w:r>
      <w:r>
        <w:rPr>
          <w:rFonts w:ascii="Calibri" w:hAnsi="Calibri"/>
          <w:color w:val="0B2545"/>
          <w:sz w:val="21"/>
        </w:rPr>
        <w:t>Direct Container App ingress without the APIM client certificate is rejected. APIM uses a separate outbound certificate to reach each app.</w:t>
      </w:r>
    </w:p>
    <w:p>
      <w:pPr>
        <w:pStyle w:val="Checklist"/>
        <w:ind w:left="144"/>
      </w:pPr>
      <w:r>
        <w:rPr>
          <w:rFonts w:ascii="Calibri" w:hAnsi="Calibri"/>
          <w:b/>
          <w:color w:val="2E74B5"/>
          <w:sz w:val="21"/>
        </w:rPr>
        <w:t xml:space="preserve">☐  </w:t>
      </w:r>
      <w:r>
        <w:rPr>
          <w:rFonts w:ascii="Calibri" w:hAnsi="Calibri"/>
          <w:color w:val="0B2545"/>
          <w:sz w:val="21"/>
        </w:rPr>
        <w:t>Containers reject a caller-forged boolean header; they accept only the private APIM proof value injected by APIM.</w:t>
      </w:r>
    </w:p>
    <w:p>
      <w:pPr>
        <w:pStyle w:val="Checklist"/>
        <w:ind w:left="144"/>
      </w:pPr>
      <w:r>
        <w:rPr>
          <w:rFonts w:ascii="Calibri" w:hAnsi="Calibri"/>
          <w:b/>
          <w:color w:val="2E74B5"/>
          <w:sz w:val="21"/>
        </w:rPr>
        <w:t xml:space="preserve">☐  </w:t>
      </w:r>
      <w:r>
        <w:rPr>
          <w:rFonts w:ascii="Calibri" w:hAnsi="Calibri"/>
          <w:color w:val="0B2545"/>
          <w:sz w:val="21"/>
        </w:rPr>
        <w:t>No storage account key, SAS URL, storage hostname, partition key, or other installation metadata is returned by the API.</w:t>
      </w:r>
    </w:p>
    <w:p>
      <w:pPr>
        <w:pStyle w:val="CodeBlock"/>
        <w:spacing w:before="60" w:after="160"/>
        <w:ind w:left="173" w:right="72"/>
        <w:shd w:fill="F7F8FA" w:val="clear"/>
        <w:pBdr>
          <w:left w:val="single" w:sz="12" w:space="8" w:color="9AA8B8"/>
        </w:pBdr>
      </w:pPr>
      <w:r>
        <w:rPr>
          <w:rFonts w:ascii="Courier New" w:hAnsi="Courier New"/>
          <w:color w:val="111827"/>
          <w:sz w:val="17"/>
        </w:rPr>
        <w:t>az storage account show \</w:t>
        <w:br/>
        <w:t xml:space="preserve">  --resource-group &lt;RESOURCE_GROUP&gt; \</w:t>
        <w:br/>
        <w:t xml:space="preserve">  --name &lt;STORAGE_NAME&gt; \</w:t>
        <w:br/>
        <w:t xml:space="preserve">  --query 'properties.{publicNetworkAccess:publicNetworkAccess,allowBlobPublicAccess:allowBlobPublicAccess,allowSharedKeyAccess:allowSharedKeyAccess,httpsOnly:supportsHttpsTrafficOnly,tls:minimumTlsVersion,defaultAction:networkAcls.defaultAction}' \</w:t>
        <w:br/>
        <w:t xml:space="preserve">  -o yaml</w:t>
        <w:br/>
        <w:br/>
        <w:t>az containerapp show \</w:t>
        <w:br/>
        <w:t xml:space="preserve">  --resource-group &lt;RESOURCE_GROUP&gt; \</w:t>
        <w:br/>
        <w:t xml:space="preserve">  --name wattracker-sync \</w:t>
        <w:br/>
        <w:t xml:space="preserve">  --query 'properties.configuration.ingress.{external:external,clientCertificateMode:clientCertificateMode}' \</w:t>
        <w:br/>
        <w:t xml:space="preserve">  -o yaml</w:t>
      </w:r>
    </w:p>
    <w:p>
      <w:pPr>
        <w:pStyle w:val="Heading1"/>
      </w:pPr>
      <w:r>
        <w:t>9. Test the public boundary as an attacker would</w:t>
      </w:r>
    </w:p>
    <w:p>
      <w:pPr/>
      <w:r>
        <w:rPr>
          <w:rFonts w:ascii="Calibri" w:hAnsi="Calibri"/>
          <w:color w:val="0B2545"/>
          <w:sz w:val="22"/>
        </w:rPr>
        <w:t>Run these tests against non-production before pairing real users. Record the status code and confirm that failed requests do not create a Storage object, Table entity, queue item, replica explosion, or log containing secrets.</w:t>
      </w:r>
    </w:p>
    <w:tbl>
      <w:tblPr>
        <w:jc w:val="left"/>
        <w:tblLook w:firstColumn="1" w:firstRow="1" w:lastColumn="0" w:lastRow="0" w:noHBand="0" w:noVBand="1" w:val="04A0"/>
        <w:tblW w:w="9360" w:type="dxa"/>
        <w:tblInd w:w="120" w:type="dxa"/>
        <w:tblLayout w:type="fixed"/>
      </w:tblPr>
      <w:tblGrid>
        <w:gridCol w:w="3800"/>
        <w:gridCol w:w="5560"/>
      </w:tblGrid>
      <w:tr>
        <w:trPr>
          <w:tblHeader w:val="true"/>
        </w:trPr>
        <w:tc>
          <w:tcPr>
            <w:tcW w:type="dxa" w:w="380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Test</w:t>
            </w:r>
          </w:p>
        </w:tc>
        <w:tc>
          <w:tcPr>
            <w:tcW w:type="dxa" w:w="556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Expected result</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Anonymous reader request</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404 or an equivalent non-disclosing response; no storage access.</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Reader token from another tenant or user</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404; it must not reveal whether the target installation exists.</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Reader credential on any sync mutation</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Rejected before backend write access.</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Anonymous/curl sync request; missing subscription key; missing mTLS</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Rejected before storage access.</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Forged or altered method, path, namespace, body, timestamp, nonce, revision, or idempotency key</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Rejected; no write.</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Replayed valid nonce or duplicate conflicting batch ID</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Rejected or safely idempotent; no duplicate data.</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Body above 8 MiB or decompressed batch above 32 MiB</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Rejected before storage growth.</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More than the configured request rate or subscription quota</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429/403 at the boundary; no backend storage write.</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Direct read/sync Container App hostname without APIM certificate</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Rejected by mTLS.</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Writes kill switch</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403 from sync route while reads remain available if intentionally configured.</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Public API kill switch</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503 before backend access.</w:t>
            </w:r>
          </w:p>
        </w:tc>
      </w:tr>
      <w:tr>
        <w:tc>
          <w:tcPr>
            <w:tcW w:type="dxa" w:w="3800"/>
            <w:vAlign w:val="center"/>
            <w:tcMar>
              <w:top w:w="80" w:type="dxa"/>
              <w:start w:w="120" w:type="dxa"/>
              <w:bottom w:w="80" w:type="dxa"/>
              <w:end w:w="120" w:type="dxa"/>
            </w:tcMar>
          </w:tcPr>
          <w:p>
            <w:pPr>
              <w:spacing w:before="0" w:after="60" w:line="259" w:lineRule="auto"/>
            </w:pPr>
            <w:r>
              <w:rPr>
                <w:rFonts w:ascii="Calibri" w:hAnsi="Calibri"/>
                <w:b w:val="0"/>
                <w:color w:val="0B2545"/>
                <w:sz w:val="19"/>
              </w:rPr>
              <w:t>Installation A credential or colliding local user ID used for installation B</w:t>
            </w:r>
          </w:p>
        </w:tc>
        <w:tc>
          <w:tcPr>
            <w:tcW w:type="dxa" w:w="5560"/>
            <w:vAlign w:val="center"/>
            <w:tcMar>
              <w:top w:w="80" w:type="dxa"/>
              <w:start w:w="120" w:type="dxa"/>
              <w:bottom w:w="80" w:type="dxa"/>
              <w:end w:w="120" w:type="dxa"/>
            </w:tcMar>
          </w:tcPr>
          <w:p>
            <w:pPr>
              <w:spacing w:before="0" w:after="60" w:line="259" w:lineRule="auto"/>
            </w:pPr>
            <w:r>
              <w:rPr>
                <w:rFonts w:ascii="Calibri" w:hAnsi="Calibri"/>
                <w:b w:val="0"/>
                <w:color w:val="0B2545"/>
                <w:sz w:val="19"/>
              </w:rPr>
              <w:t>404/authorization failure with no cross-tenant disclosure.</w:t>
            </w:r>
          </w:p>
        </w:tc>
      </w:tr>
    </w:tbl>
    <w:p>
      <w:pPr>
        <w:spacing w:before="120" w:after="160"/>
        <w:ind w:left="173" w:right="115"/>
        <w:shd w:fill="FFF4D6" w:val="clear"/>
        <w:pBdr>
          <w:left w:val="single" w:sz="24" w:space="8" w:color="7A5A00"/>
        </w:pBdr>
      </w:pPr>
      <w:r>
        <w:rPr>
          <w:rFonts w:ascii="Calibri" w:hAnsi="Calibri"/>
          <w:b/>
          <w:color w:val="7A5A00"/>
          <w:sz w:val="21"/>
        </w:rPr>
        <w:t xml:space="preserve">NO FALSE CONFIDENCE  </w:t>
      </w:r>
      <w:r>
        <w:rPr>
          <w:rFonts w:ascii="Calibri" w:hAnsi="Calibri"/>
          <w:color w:val="0B2545"/>
          <w:sz w:val="21"/>
        </w:rPr>
        <w:t>A 429 or 403 is not enough by itself. Check Storage/Table metrics and object/entity counts before and after the request. The security property is rejection before storage access, not merely an error response.</w:t>
      </w:r>
    </w:p>
    <w:p>
      <w:r>
        <w:br w:type="page"/>
      </w:r>
    </w:p>
    <w:p>
      <w:pPr>
        <w:pStyle w:val="Heading1"/>
      </w:pPr>
      <w:r>
        <w:t>10. Enrollment and writer-key safety</w:t>
      </w:r>
    </w:p>
    <w:p>
      <w:pPr>
        <w:pStyle w:val="ListNumber"/>
      </w:pPr>
      <w:r>
        <w:rPr>
          <w:rFonts w:ascii="Calibri" w:hAnsi="Calibri"/>
          <w:color w:val="0B2545"/>
          <w:sz w:val="22"/>
        </w:rPr>
        <w:t>The operator creates an invitation for one installation and one intended local user. There is no open registration.</w:t>
      </w:r>
    </w:p>
    <w:p>
      <w:pPr>
        <w:pStyle w:val="ListNumber"/>
      </w:pPr>
      <w:r>
        <w:rPr>
          <w:rFonts w:ascii="Calibri" w:hAnsi="Calibri"/>
          <w:color w:val="0B2545"/>
          <w:sz w:val="22"/>
        </w:rPr>
        <w:t>The local client generates its key pair locally. The private key stays in the OS secure store; only the public key or enrollment request leaves the machine.</w:t>
      </w:r>
    </w:p>
    <w:p>
      <w:pPr>
        <w:pStyle w:val="ListNumber"/>
      </w:pPr>
      <w:r>
        <w:rPr>
          <w:rFonts w:ascii="Calibri" w:hAnsi="Calibri"/>
          <w:color w:val="0B2545"/>
          <w:sz w:val="22"/>
        </w:rPr>
        <w:t>The user authenticates through the approved Entra tenant and scans the invitation. Bind tenant, installation, local user, public key, and writer scope server-side.</w:t>
      </w:r>
    </w:p>
    <w:p>
      <w:pPr>
        <w:pStyle w:val="ListNumber"/>
      </w:pPr>
      <w:r>
        <w:rPr>
          <w:rFonts w:ascii="Calibri" w:hAnsi="Calibri"/>
          <w:color w:val="0B2545"/>
          <w:sz w:val="22"/>
        </w:rPr>
        <w:t>Issue the writer credential once. Do not put it in the PWA, iOS reader, logs, URL, QR history, or repository.</w:t>
      </w:r>
    </w:p>
    <w:p>
      <w:pPr>
        <w:pStyle w:val="ListNumber"/>
      </w:pPr>
      <w:r>
        <w:rPr>
          <w:rFonts w:ascii="Calibri" w:hAnsi="Calibri"/>
          <w:color w:val="0B2545"/>
          <w:sz w:val="22"/>
        </w:rPr>
        <w:t>Immediately redeem the invitation a second time and from the wrong tenant/device. Both attempts must fail without revealing the valid installation.</w:t>
      </w:r>
    </w:p>
    <w:p>
      <w:pPr>
        <w:pStyle w:val="ListNumber"/>
      </w:pPr>
      <w:r>
        <w:rPr>
          <w:rFonts w:ascii="Calibri" w:hAnsi="Calibri"/>
          <w:color w:val="0B2545"/>
          <w:sz w:val="22"/>
        </w:rPr>
        <w:t>Revoke the local user or installation before replacing a lost machine, certificate, or private key. Confirm writes fail and reads return the same non-disclosing 404 behavior.</w:t>
      </w:r>
    </w:p>
    <w:p>
      <w:pPr/>
      <w:r>
        <w:rPr>
          <w:rFonts w:ascii="Calibri" w:hAnsi="Calibri"/>
          <w:color w:val="0B2545"/>
          <w:sz w:val="22"/>
        </w:rPr>
        <w:t>A modified desktop program cannot be mathematically distinguished from the official program after it has access to a valid private key. The enforceable boundary is possession of the enrolled key, server-side scope checks, replay protection, bounded batches, revocation, and quotas.</w:t>
      </w:r>
    </w:p>
    <w:p>
      <w:pPr>
        <w:pStyle w:val="Heading1"/>
      </w:pPr>
      <w:r>
        <w:t>11. Operate it without weakening the local app</w:t>
      </w:r>
    </w:p>
    <w:p>
      <w:pPr>
        <w:pStyle w:val="ListBullet"/>
      </w:pPr>
      <w:r>
        <w:rPr>
          <w:rFonts w:ascii="Calibri" w:hAnsi="Calibri"/>
          <w:color w:val="0B2545"/>
          <w:sz w:val="22"/>
        </w:rPr>
        <w:t>Keep cloud functionality opt-in and disabled by default in local installations.</w:t>
      </w:r>
    </w:p>
    <w:p>
      <w:pPr>
        <w:pStyle w:val="ListBullet"/>
      </w:pPr>
      <w:r>
        <w:rPr>
          <w:rFonts w:ascii="Calibri" w:hAnsi="Calibri"/>
          <w:color w:val="0B2545"/>
          <w:sz w:val="22"/>
        </w:rPr>
        <w:t>Synchronize through a separate read-only SQLite connection or temporary snapshot, never inside an existing local request path.</w:t>
      </w:r>
    </w:p>
    <w:p>
      <w:pPr>
        <w:pStyle w:val="ListBullet"/>
      </w:pPr>
      <w:r>
        <w:rPr>
          <w:rFonts w:ascii="Calibri" w:hAnsi="Calibri"/>
          <w:color w:val="0B2545"/>
          <w:sz w:val="22"/>
        </w:rPr>
        <w:t>Use bounded retry/backoff and an offline queue. A cloud failure must display: `Cloud sync offline — local data and features are unaffected.`</w:t>
      </w:r>
    </w:p>
    <w:p>
      <w:pPr>
        <w:pStyle w:val="ListBullet"/>
      </w:pPr>
      <w:r>
        <w:rPr>
          <w:rFonts w:ascii="Calibri" w:hAnsi="Calibri"/>
          <w:color w:val="0B2545"/>
          <w:sz w:val="22"/>
        </w:rPr>
        <w:t>Verify that imports, writes, BLE, scans, exports, calendars, authentication, and existing pages continue when APIM, Storage, Entra, or the entire cloud is unreachable.</w:t>
      </w:r>
    </w:p>
    <w:p>
      <w:pPr>
        <w:pStyle w:val="ListBullet"/>
      </w:pPr>
      <w:r>
        <w:rPr>
          <w:rFonts w:ascii="Calibri" w:hAnsi="Calibri"/>
          <w:color w:val="0B2545"/>
          <w:sz w:val="22"/>
        </w:rPr>
        <w:t>Do not allow the PWA or iOS app to call sync mutation routes. Readers receive only an opaque context for one explicitly paired installation/user.</w:t>
      </w:r>
    </w:p>
    <w:p>
      <w:pPr>
        <w:pStyle w:val="ListBullet"/>
      </w:pPr>
      <w:r>
        <w:rPr>
          <w:rFonts w:ascii="Calibri" w:hAnsi="Calibri"/>
          <w:color w:val="0B2545"/>
          <w:sz w:val="22"/>
        </w:rPr>
        <w:t>Review cost and storage growth daily during the first week, then at least weekly. Remove unused test invitations, subscriptions, certificates, and non-production resources.</w:t>
      </w:r>
    </w:p>
    <w:p>
      <w:pPr>
        <w:pStyle w:val="Heading1"/>
      </w:pPr>
      <w:r>
        <w:t>12. Emergency shutdown and recovery</w:t>
      </w:r>
    </w:p>
    <w:tbl>
      <w:tblPr>
        <w:jc w:val="left"/>
        <w:tblLook w:firstColumn="1" w:firstRow="1" w:lastColumn="0" w:lastRow="0" w:noHBand="0" w:noVBand="1" w:val="04A0"/>
        <w:tblW w:w="9360" w:type="dxa"/>
        <w:tblInd w:w="120" w:type="dxa"/>
        <w:tblLayout w:type="fixed"/>
      </w:tblPr>
      <w:tblGrid>
        <w:gridCol w:w="2200"/>
        <w:gridCol w:w="3200"/>
        <w:gridCol w:w="3960"/>
      </w:tblGrid>
      <w:tr>
        <w:trPr>
          <w:tblHeader w:val="true"/>
        </w:trPr>
        <w:tc>
          <w:tcPr>
            <w:tcW w:type="dxa" w:w="220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Situation</w:t>
            </w:r>
          </w:p>
        </w:tc>
        <w:tc>
          <w:tcPr>
            <w:tcW w:type="dxa" w:w="320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Immediate action</w:t>
            </w:r>
          </w:p>
        </w:tc>
        <w:tc>
          <w:tcPr>
            <w:tcW w:type="dxa" w:w="3960"/>
            <w:vAlign w:val="center"/>
            <w:tcMar>
              <w:top w:w="80" w:type="dxa"/>
              <w:start w:w="120" w:type="dxa"/>
              <w:bottom w:w="80" w:type="dxa"/>
              <w:end w:w="120" w:type="dxa"/>
            </w:tcMar>
            <w:shd w:fill="E8EEF5" w:val="clear"/>
          </w:tcPr>
          <w:p>
            <w:pPr>
              <w:spacing w:before="0" w:after="60" w:line="259" w:lineRule="auto"/>
            </w:pPr>
            <w:r>
              <w:rPr>
                <w:rFonts w:ascii="Calibri" w:hAnsi="Calibri"/>
                <w:b/>
                <w:color w:val="0B2545"/>
                <w:sz w:val="19"/>
              </w:rPr>
              <w:t>Then</w:t>
            </w:r>
          </w:p>
        </w:tc>
      </w:tr>
      <w:tr>
        <w:tc>
          <w:tcPr>
            <w:tcW w:type="dxa" w:w="2200"/>
            <w:vAlign w:val="center"/>
            <w:tcMar>
              <w:top w:w="80" w:type="dxa"/>
              <w:start w:w="120" w:type="dxa"/>
              <w:bottom w:w="80" w:type="dxa"/>
              <w:end w:w="120" w:type="dxa"/>
            </w:tcMar>
          </w:tcPr>
          <w:p>
            <w:pPr>
              <w:spacing w:before="0" w:after="60" w:line="259" w:lineRule="auto"/>
            </w:pPr>
            <w:r>
              <w:rPr>
                <w:rFonts w:ascii="Calibri" w:hAnsi="Calibri"/>
                <w:b w:val="0"/>
                <w:color w:val="0B2545"/>
                <w:sz w:val="19"/>
              </w:rPr>
              <w:t>Suspected writer credential theft</w:t>
            </w:r>
          </w:p>
        </w:tc>
        <w:tc>
          <w:tcPr>
            <w:tcW w:type="dxa" w:w="3200"/>
            <w:vAlign w:val="center"/>
            <w:tcMar>
              <w:top w:w="80" w:type="dxa"/>
              <w:start w:w="120" w:type="dxa"/>
              <w:bottom w:w="80" w:type="dxa"/>
              <w:end w:w="120" w:type="dxa"/>
            </w:tcMar>
          </w:tcPr>
          <w:p>
            <w:pPr>
              <w:spacing w:before="0" w:after="60" w:line="259" w:lineRule="auto"/>
            </w:pPr>
            <w:r>
              <w:rPr>
                <w:rFonts w:ascii="Calibri" w:hAnsi="Calibri"/>
                <w:b w:val="0"/>
                <w:color w:val="0B2545"/>
                <w:sz w:val="19"/>
              </w:rPr>
              <w:t>Set writes disabled; revoke the installation/user credential; freeze enrollment.</w:t>
            </w:r>
          </w:p>
        </w:tc>
        <w:tc>
          <w:tcPr>
            <w:tcW w:type="dxa" w:w="3960"/>
            <w:vAlign w:val="center"/>
            <w:tcMar>
              <w:top w:w="80" w:type="dxa"/>
              <w:start w:w="120" w:type="dxa"/>
              <w:bottom w:w="80" w:type="dxa"/>
              <w:end w:w="120" w:type="dxa"/>
            </w:tcMar>
          </w:tcPr>
          <w:p>
            <w:pPr>
              <w:spacing w:before="0" w:after="60" w:line="259" w:lineRule="auto"/>
            </w:pPr>
            <w:r>
              <w:rPr>
                <w:rFonts w:ascii="Calibri" w:hAnsi="Calibri"/>
                <w:b w:val="0"/>
                <w:color w:val="0B2545"/>
                <w:sz w:val="19"/>
              </w:rPr>
              <w:t>Preserve audit data, rotate affected secrets/certs, re-enroll only after review.</w:t>
            </w:r>
          </w:p>
        </w:tc>
      </w:tr>
      <w:tr>
        <w:tc>
          <w:tcPr>
            <w:tcW w:type="dxa" w:w="2200"/>
            <w:vAlign w:val="center"/>
            <w:tcMar>
              <w:top w:w="80" w:type="dxa"/>
              <w:start w:w="120" w:type="dxa"/>
              <w:bottom w:w="80" w:type="dxa"/>
              <w:end w:w="120" w:type="dxa"/>
            </w:tcMar>
          </w:tcPr>
          <w:p>
            <w:pPr>
              <w:spacing w:before="0" w:after="60" w:line="259" w:lineRule="auto"/>
            </w:pPr>
            <w:r>
              <w:rPr>
                <w:rFonts w:ascii="Calibri" w:hAnsi="Calibri"/>
                <w:b w:val="0"/>
                <w:color w:val="0B2545"/>
                <w:sz w:val="19"/>
              </w:rPr>
              <w:t>Unexpected request/byte/storage growth</w:t>
            </w:r>
          </w:p>
        </w:tc>
        <w:tc>
          <w:tcPr>
            <w:tcW w:type="dxa" w:w="3200"/>
            <w:vAlign w:val="center"/>
            <w:tcMar>
              <w:top w:w="80" w:type="dxa"/>
              <w:start w:w="120" w:type="dxa"/>
              <w:bottom w:w="80" w:type="dxa"/>
              <w:end w:w="120" w:type="dxa"/>
            </w:tcMar>
          </w:tcPr>
          <w:p>
            <w:pPr>
              <w:spacing w:before="0" w:after="60" w:line="259" w:lineRule="auto"/>
            </w:pPr>
            <w:r>
              <w:rPr>
                <w:rFonts w:ascii="Calibri" w:hAnsi="Calibri"/>
                <w:b w:val="0"/>
                <w:color w:val="0B2545"/>
                <w:sz w:val="19"/>
              </w:rPr>
              <w:t>Set public API disabled; inspect APIM metrics and Storage growth; stop public forwarding.</w:t>
            </w:r>
          </w:p>
        </w:tc>
        <w:tc>
          <w:tcPr>
            <w:tcW w:type="dxa" w:w="3960"/>
            <w:vAlign w:val="center"/>
            <w:tcMar>
              <w:top w:w="80" w:type="dxa"/>
              <w:start w:w="120" w:type="dxa"/>
              <w:bottom w:w="80" w:type="dxa"/>
              <w:end w:w="120" w:type="dxa"/>
            </w:tcMar>
          </w:tcPr>
          <w:p>
            <w:pPr>
              <w:spacing w:before="0" w:after="60" w:line="259" w:lineRule="auto"/>
            </w:pPr>
            <w:r>
              <w:rPr>
                <w:rFonts w:ascii="Calibri" w:hAnsi="Calibri"/>
                <w:b w:val="0"/>
                <w:color w:val="0B2545"/>
                <w:sz w:val="19"/>
              </w:rPr>
              <w:t>Identify source, reduce limits, and re-enable only after a non-production reproduction.</w:t>
            </w:r>
          </w:p>
        </w:tc>
      </w:tr>
      <w:tr>
        <w:tc>
          <w:tcPr>
            <w:tcW w:type="dxa" w:w="2200"/>
            <w:vAlign w:val="center"/>
            <w:tcMar>
              <w:top w:w="80" w:type="dxa"/>
              <w:start w:w="120" w:type="dxa"/>
              <w:bottom w:w="80" w:type="dxa"/>
              <w:end w:w="120" w:type="dxa"/>
            </w:tcMar>
          </w:tcPr>
          <w:p>
            <w:pPr>
              <w:spacing w:before="0" w:after="60" w:line="259" w:lineRule="auto"/>
            </w:pPr>
            <w:r>
              <w:rPr>
                <w:rFonts w:ascii="Calibri" w:hAnsi="Calibri"/>
                <w:b w:val="0"/>
                <w:color w:val="0B2545"/>
                <w:sz w:val="19"/>
              </w:rPr>
              <w:t>Budget reaches 80%</w:t>
            </w:r>
          </w:p>
        </w:tc>
        <w:tc>
          <w:tcPr>
            <w:tcW w:type="dxa" w:w="3200"/>
            <w:vAlign w:val="center"/>
            <w:tcMar>
              <w:top w:w="80" w:type="dxa"/>
              <w:start w:w="120" w:type="dxa"/>
              <w:bottom w:w="80" w:type="dxa"/>
              <w:end w:w="120" w:type="dxa"/>
            </w:tcMar>
          </w:tcPr>
          <w:p>
            <w:pPr>
              <w:spacing w:before="0" w:after="60" w:line="259" w:lineRule="auto"/>
            </w:pPr>
            <w:r>
              <w:rPr>
                <w:rFonts w:ascii="Calibri" w:hAnsi="Calibri"/>
                <w:b w:val="0"/>
                <w:color w:val="0B2545"/>
                <w:sz w:val="19"/>
              </w:rPr>
              <w:t>Disable new writes through the authenticated action handler.</w:t>
            </w:r>
          </w:p>
        </w:tc>
        <w:tc>
          <w:tcPr>
            <w:tcW w:type="dxa" w:w="3960"/>
            <w:vAlign w:val="center"/>
            <w:tcMar>
              <w:top w:w="80" w:type="dxa"/>
              <w:start w:w="120" w:type="dxa"/>
              <w:bottom w:w="80" w:type="dxa"/>
              <w:end w:w="120" w:type="dxa"/>
            </w:tcMar>
          </w:tcPr>
          <w:p>
            <w:pPr>
              <w:spacing w:before="0" w:after="60" w:line="259" w:lineRule="auto"/>
            </w:pPr>
            <w:r>
              <w:rPr>
                <w:rFonts w:ascii="Calibri" w:hAnsi="Calibri"/>
                <w:b w:val="0"/>
                <w:color w:val="0B2545"/>
                <w:sz w:val="19"/>
              </w:rPr>
              <w:t>Review cost dimensions, quotas, bandwidth, logs, private endpoints, and any unexpected resources.</w:t>
            </w:r>
          </w:p>
        </w:tc>
      </w:tr>
      <w:tr>
        <w:tc>
          <w:tcPr>
            <w:tcW w:type="dxa" w:w="2200"/>
            <w:vAlign w:val="center"/>
            <w:tcMar>
              <w:top w:w="80" w:type="dxa"/>
              <w:start w:w="120" w:type="dxa"/>
              <w:bottom w:w="80" w:type="dxa"/>
              <w:end w:w="120" w:type="dxa"/>
            </w:tcMar>
          </w:tcPr>
          <w:p>
            <w:pPr>
              <w:spacing w:before="0" w:after="60" w:line="259" w:lineRule="auto"/>
            </w:pPr>
            <w:r>
              <w:rPr>
                <w:rFonts w:ascii="Calibri" w:hAnsi="Calibri"/>
                <w:b w:val="0"/>
                <w:color w:val="0B2545"/>
                <w:sz w:val="19"/>
              </w:rPr>
              <w:t>Budget reaches 100% or cost anomaly is severe</w:t>
            </w:r>
          </w:p>
        </w:tc>
        <w:tc>
          <w:tcPr>
            <w:tcW w:type="dxa" w:w="3200"/>
            <w:vAlign w:val="center"/>
            <w:tcMar>
              <w:top w:w="80" w:type="dxa"/>
              <w:start w:w="120" w:type="dxa"/>
              <w:bottom w:w="80" w:type="dxa"/>
              <w:end w:w="120" w:type="dxa"/>
            </w:tcMar>
          </w:tcPr>
          <w:p>
            <w:pPr>
              <w:spacing w:before="0" w:after="60" w:line="259" w:lineRule="auto"/>
            </w:pPr>
            <w:r>
              <w:rPr>
                <w:rFonts w:ascii="Calibri" w:hAnsi="Calibri"/>
                <w:b w:val="0"/>
                <w:color w:val="0B2545"/>
                <w:sz w:val="19"/>
              </w:rPr>
              <w:t>Disable all public APIs and consider disabling the APIM gateway.</w:t>
            </w:r>
          </w:p>
        </w:tc>
        <w:tc>
          <w:tcPr>
            <w:tcW w:type="dxa" w:w="3960"/>
            <w:vAlign w:val="center"/>
            <w:tcMar>
              <w:top w:w="80" w:type="dxa"/>
              <w:start w:w="120" w:type="dxa"/>
              <w:bottom w:w="80" w:type="dxa"/>
              <w:end w:w="120" w:type="dxa"/>
            </w:tcMar>
          </w:tcPr>
          <w:p>
            <w:pPr>
              <w:spacing w:before="0" w:after="60" w:line="259" w:lineRule="auto"/>
            </w:pPr>
            <w:r>
              <w:rPr>
                <w:rFonts w:ascii="Calibri" w:hAnsi="Calibri"/>
                <w:b w:val="0"/>
                <w:color w:val="0B2545"/>
                <w:sz w:val="19"/>
              </w:rPr>
              <w:t>Do not re-enable until the cost report and resource inventory are reconciled.</w:t>
            </w:r>
          </w:p>
        </w:tc>
      </w:tr>
      <w:tr>
        <w:tc>
          <w:tcPr>
            <w:tcW w:type="dxa" w:w="2200"/>
            <w:vAlign w:val="center"/>
            <w:tcMar>
              <w:top w:w="80" w:type="dxa"/>
              <w:start w:w="120" w:type="dxa"/>
              <w:bottom w:w="80" w:type="dxa"/>
              <w:end w:w="120" w:type="dxa"/>
            </w:tcMar>
          </w:tcPr>
          <w:p>
            <w:pPr>
              <w:spacing w:before="0" w:after="60" w:line="259" w:lineRule="auto"/>
            </w:pPr>
            <w:r>
              <w:rPr>
                <w:rFonts w:ascii="Calibri" w:hAnsi="Calibri"/>
                <w:b w:val="0"/>
                <w:color w:val="0B2545"/>
                <w:sz w:val="19"/>
              </w:rPr>
              <w:t>Azure outage or permanent cloud removal</w:t>
            </w:r>
          </w:p>
        </w:tc>
        <w:tc>
          <w:tcPr>
            <w:tcW w:type="dxa" w:w="3200"/>
            <w:vAlign w:val="center"/>
            <w:tcMar>
              <w:top w:w="80" w:type="dxa"/>
              <w:start w:w="120" w:type="dxa"/>
              <w:bottom w:w="80" w:type="dxa"/>
              <w:end w:w="120" w:type="dxa"/>
            </w:tcMar>
          </w:tcPr>
          <w:p>
            <w:pPr>
              <w:spacing w:before="0" w:after="60" w:line="259" w:lineRule="auto"/>
            </w:pPr>
            <w:r>
              <w:rPr>
                <w:rFonts w:ascii="Calibri" w:hAnsi="Calibri"/>
                <w:b w:val="0"/>
                <w:color w:val="0B2545"/>
                <w:sz w:val="19"/>
              </w:rPr>
              <w:t>Leave local app running; stop sync retries if needed.</w:t>
            </w:r>
          </w:p>
        </w:tc>
        <w:tc>
          <w:tcPr>
            <w:tcW w:type="dxa" w:w="3960"/>
            <w:vAlign w:val="center"/>
            <w:tcMar>
              <w:top w:w="80" w:type="dxa"/>
              <w:start w:w="120" w:type="dxa"/>
              <w:bottom w:w="80" w:type="dxa"/>
              <w:end w:w="120" w:type="dxa"/>
            </w:tcMar>
          </w:tcPr>
          <w:p>
            <w:pPr>
              <w:spacing w:before="0" w:after="60" w:line="259" w:lineRule="auto"/>
            </w:pPr>
            <w:r>
              <w:rPr>
                <w:rFonts w:ascii="Calibri" w:hAnsi="Calibri"/>
                <w:b w:val="0"/>
                <w:color w:val="0B2545"/>
                <w:sz w:val="19"/>
              </w:rPr>
              <w:t>Local data remains the source of truth; export or restore only through an intentional operator action.</w:t>
            </w:r>
          </w:p>
        </w:tc>
      </w:tr>
    </w:tbl>
    <w:p>
      <w:pPr>
        <w:spacing w:before="120" w:after="160"/>
        <w:ind w:left="173" w:right="115"/>
        <w:shd w:fill="FFF4D6" w:val="clear"/>
        <w:pBdr>
          <w:left w:val="single" w:sz="24" w:space="8" w:color="7A5A00"/>
        </w:pBdr>
      </w:pPr>
      <w:r>
        <w:rPr>
          <w:rFonts w:ascii="Calibri" w:hAnsi="Calibri"/>
          <w:b/>
          <w:color w:val="7A5A00"/>
          <w:sz w:val="21"/>
        </w:rPr>
        <w:t xml:space="preserve">HARD LIMIT  </w:t>
      </w:r>
      <w:r>
        <w:rPr>
          <w:rFonts w:ascii="Calibri" w:hAnsi="Calibri"/>
          <w:color w:val="0B2545"/>
          <w:sz w:val="21"/>
        </w:rPr>
        <w:t>This design bounds abuse and shutdown delay; it cannot promise a literal hard billing ceiling while a public internet endpoint exists. A true hard ceiling requires a private VPN-only API, fixed-price hosting, or a human-controlled network boundary.</w:t>
      </w:r>
    </w:p>
    <w:p>
      <w:pPr>
        <w:pStyle w:val="Heading1"/>
      </w:pPr>
      <w:r>
        <w:t>13. Final go/no-go checklist</w:t>
      </w:r>
    </w:p>
    <w:p>
      <w:pPr>
        <w:pStyle w:val="Checklist"/>
        <w:ind w:left="144"/>
      </w:pPr>
      <w:r>
        <w:rPr>
          <w:rFonts w:ascii="Calibri" w:hAnsi="Calibri"/>
          <w:b/>
          <w:color w:val="2E74B5"/>
          <w:sz w:val="21"/>
        </w:rPr>
        <w:t xml:space="preserve">☐  </w:t>
      </w:r>
      <w:r>
        <w:rPr>
          <w:rFonts w:ascii="Calibri" w:hAnsi="Calibri"/>
          <w:color w:val="0B2545"/>
          <w:sz w:val="21"/>
        </w:rPr>
        <w:t>Dedicated subscription or isolated resource group selected; exact subscription and region recorded.</w:t>
      </w:r>
    </w:p>
    <w:p>
      <w:pPr>
        <w:pStyle w:val="Checklist"/>
        <w:ind w:left="144"/>
      </w:pPr>
      <w:r>
        <w:rPr>
          <w:rFonts w:ascii="Calibri" w:hAnsi="Calibri"/>
          <w:b/>
          <w:color w:val="2E74B5"/>
          <w:sz w:val="21"/>
        </w:rPr>
        <w:t xml:space="preserve">☐  </w:t>
      </w:r>
      <w:r>
        <w:rPr>
          <w:rFonts w:ascii="Calibri" w:hAnsi="Calibri"/>
          <w:color w:val="0B2545"/>
          <w:sz w:val="21"/>
        </w:rPr>
        <w:t>Regional cost estimate includes APIM, private endpoints, VNet-enabled Container Apps, Storage, DNS, monitoring, bandwidth, and automation.</w:t>
      </w:r>
    </w:p>
    <w:p>
      <w:pPr>
        <w:pStyle w:val="Checklist"/>
        <w:ind w:left="144"/>
      </w:pPr>
      <w:r>
        <w:rPr>
          <w:rFonts w:ascii="Calibri" w:hAnsi="Calibri"/>
          <w:b/>
          <w:color w:val="2E74B5"/>
          <w:sz w:val="21"/>
        </w:rPr>
        <w:t xml:space="preserve">☐  </w:t>
      </w:r>
      <w:r>
        <w:rPr>
          <w:rFonts w:ascii="Calibri" w:hAnsi="Calibri"/>
          <w:color w:val="0B2545"/>
          <w:sz w:val="21"/>
        </w:rPr>
        <w:t>Subscription and resource-group budgets exist with 50%, 80%, and 100% alerts and monitored recipients.</w:t>
      </w:r>
    </w:p>
    <w:p>
      <w:pPr>
        <w:pStyle w:val="Checklist"/>
        <w:ind w:left="144"/>
      </w:pPr>
      <w:r>
        <w:rPr>
          <w:rFonts w:ascii="Calibri" w:hAnsi="Calibri"/>
          <w:b/>
          <w:color w:val="2E74B5"/>
          <w:sz w:val="21"/>
        </w:rPr>
        <w:t xml:space="preserve">☐  </w:t>
      </w:r>
      <w:r>
        <w:rPr>
          <w:rFonts w:ascii="Calibri" w:hAnsi="Calibri"/>
          <w:color w:val="0B2545"/>
          <w:sz w:val="21"/>
        </w:rPr>
        <w:t>Authenticated, idempotent 80% write-shutdown and 100% public-shutdown handlers have been exercised in non-production.</w:t>
      </w:r>
    </w:p>
    <w:p>
      <w:pPr>
        <w:pStyle w:val="Checklist"/>
        <w:ind w:left="144"/>
      </w:pPr>
      <w:r>
        <w:rPr>
          <w:rFonts w:ascii="Calibri" w:hAnsi="Calibri"/>
          <w:b/>
          <w:color w:val="2E74B5"/>
          <w:sz w:val="21"/>
        </w:rPr>
        <w:t xml:space="preserve">☐  </w:t>
      </w:r>
      <w:r>
        <w:rPr>
          <w:rFonts w:ascii="Calibri" w:hAnsi="Calibri"/>
          <w:color w:val="0B2545"/>
          <w:sz w:val="21"/>
        </w:rPr>
        <w:t>APIM Consumption policy compatibility blocker is resolved and recorded in the PR/deployment notes.</w:t>
      </w:r>
    </w:p>
    <w:p>
      <w:pPr>
        <w:pStyle w:val="Checklist"/>
        <w:ind w:left="144"/>
      </w:pPr>
      <w:r>
        <w:rPr>
          <w:rFonts w:ascii="Calibri" w:hAnsi="Calibri"/>
          <w:b/>
          <w:color w:val="2E74B5"/>
          <w:sz w:val="21"/>
        </w:rPr>
        <w:t xml:space="preserve">☐  </w:t>
      </w:r>
      <w:r>
        <w:rPr>
          <w:rFonts w:ascii="Calibri" w:hAnsi="Calibri"/>
          <w:color w:val="0B2545"/>
          <w:sz w:val="21"/>
        </w:rPr>
        <w:t>Bicep build, `az deployment group validate`, and `what-if` pass using tenant-specific values.</w:t>
      </w:r>
    </w:p>
    <w:p>
      <w:pPr>
        <w:pStyle w:val="Checklist"/>
        <w:ind w:left="144"/>
      </w:pPr>
      <w:r>
        <w:rPr>
          <w:rFonts w:ascii="Calibri" w:hAnsi="Calibri"/>
          <w:b/>
          <w:color w:val="2E74B5"/>
          <w:sz w:val="21"/>
        </w:rPr>
        <w:t xml:space="preserve">☐  </w:t>
      </w:r>
      <w:r>
        <w:rPr>
          <w:rFonts w:ascii="Calibri" w:hAnsi="Calibri"/>
          <w:color w:val="0B2545"/>
          <w:sz w:val="21"/>
        </w:rPr>
        <w:t>Public API and writes start disabled; capabilities are enabled one at a time after tests.</w:t>
      </w:r>
    </w:p>
    <w:p>
      <w:pPr>
        <w:pStyle w:val="Checklist"/>
        <w:ind w:left="144"/>
      </w:pPr>
      <w:r>
        <w:rPr>
          <w:rFonts w:ascii="Calibri" w:hAnsi="Calibri"/>
          <w:b/>
          <w:color w:val="2E74B5"/>
          <w:sz w:val="21"/>
        </w:rPr>
        <w:t xml:space="preserve">☐  </w:t>
      </w:r>
      <w:r>
        <w:rPr>
          <w:rFonts w:ascii="Calibri" w:hAnsi="Calibri"/>
          <w:color w:val="0B2545"/>
          <w:sz w:val="21"/>
        </w:rPr>
        <w:t>Storage has no public access, anonymous blobs, Shared Key, HTTP, or public firewall exception.</w:t>
      </w:r>
    </w:p>
    <w:p>
      <w:pPr>
        <w:pStyle w:val="Checklist"/>
        <w:ind w:left="144"/>
      </w:pPr>
      <w:r>
        <w:rPr>
          <w:rFonts w:ascii="Calibri" w:hAnsi="Calibri"/>
          <w:b/>
          <w:color w:val="2E74B5"/>
          <w:sz w:val="21"/>
        </w:rPr>
        <w:t xml:space="preserve">☐  </w:t>
      </w:r>
      <w:r>
        <w:rPr>
          <w:rFonts w:ascii="Calibri" w:hAnsi="Calibri"/>
          <w:color w:val="0B2545"/>
          <w:sz w:val="21"/>
        </w:rPr>
        <w:t>Both Container Apps require mTLS; APIM is the only intended public boundary.</w:t>
      </w:r>
    </w:p>
    <w:p>
      <w:pPr>
        <w:pStyle w:val="Checklist"/>
        <w:ind w:left="144"/>
      </w:pPr>
      <w:r>
        <w:rPr>
          <w:rFonts w:ascii="Calibri" w:hAnsi="Calibri"/>
          <w:b/>
          <w:color w:val="2E74B5"/>
          <w:sz w:val="21"/>
        </w:rPr>
        <w:t xml:space="preserve">☐  </w:t>
      </w:r>
      <w:r>
        <w:rPr>
          <w:rFonts w:ascii="Calibri" w:hAnsi="Calibri"/>
          <w:color w:val="0B2545"/>
          <w:sz w:val="21"/>
        </w:rPr>
        <w:t>Reader and writer planes are separate; PWA/iOS credentials cannot call sync mutations.</w:t>
      </w:r>
    </w:p>
    <w:p>
      <w:pPr>
        <w:pStyle w:val="Checklist"/>
        <w:ind w:left="144"/>
      </w:pPr>
      <w:r>
        <w:rPr>
          <w:rFonts w:ascii="Calibri" w:hAnsi="Calibri"/>
          <w:b/>
          <w:color w:val="2E74B5"/>
          <w:sz w:val="21"/>
        </w:rPr>
        <w:t xml:space="preserve">☐  </w:t>
      </w:r>
      <w:r>
        <w:rPr>
          <w:rFonts w:ascii="Calibri" w:hAnsi="Calibri"/>
          <w:color w:val="0B2545"/>
          <w:sz w:val="21"/>
        </w:rPr>
        <w:t>Installation isolation, collision, replay, quota, request-size, kill-switch, and cross-credential tests pass with no storage writes on rejection.</w:t>
      </w:r>
    </w:p>
    <w:p>
      <w:pPr>
        <w:pStyle w:val="Checklist"/>
        <w:ind w:left="144"/>
      </w:pPr>
      <w:r>
        <w:rPr>
          <w:rFonts w:ascii="Calibri" w:hAnsi="Calibri"/>
          <w:b/>
          <w:color w:val="2E74B5"/>
          <w:sz w:val="21"/>
        </w:rPr>
        <w:t xml:space="preserve">☐  </w:t>
      </w:r>
      <w:r>
        <w:rPr>
          <w:rFonts w:ascii="Calibri" w:hAnsi="Calibri"/>
          <w:color w:val="0B2545"/>
          <w:sz w:val="21"/>
        </w:rPr>
        <w:t>The local application passes its full offline test with the cloud stopped or unreachable.</w:t>
      </w:r>
    </w:p>
    <w:p>
      <w:pPr>
        <w:pStyle w:val="Checklist"/>
        <w:ind w:left="144"/>
      </w:pPr>
      <w:r>
        <w:rPr>
          <w:rFonts w:ascii="Calibri" w:hAnsi="Calibri"/>
          <w:b/>
          <w:color w:val="2E74B5"/>
          <w:sz w:val="21"/>
        </w:rPr>
        <w:t xml:space="preserve">☐  </w:t>
      </w:r>
      <w:r>
        <w:rPr>
          <w:rFonts w:ascii="Calibri" w:hAnsi="Calibri"/>
          <w:color w:val="0B2545"/>
          <w:sz w:val="21"/>
        </w:rPr>
        <w:t>Only after all checks pass: create one invitation, pair one test user, compare hashes/counts, then enable background sync.</w:t>
      </w:r>
    </w:p>
    <w:p>
      <w:pPr>
        <w:pStyle w:val="Heading1"/>
      </w:pPr>
      <w:r>
        <w:t>Reference material</w:t>
      </w:r>
    </w:p>
    <w:p>
      <w:pPr/>
      <w:r>
        <w:rPr>
          <w:rFonts w:ascii="Calibri" w:hAnsi="Calibri"/>
          <w:color w:val="0B2545"/>
          <w:sz w:val="22"/>
        </w:rPr>
        <w:t>Repository documents:</w:t>
      </w:r>
    </w:p>
    <w:p>
      <w:pPr>
        <w:pStyle w:val="SmallNote"/>
      </w:pPr>
      <w:r>
        <w:rPr>
          <w:rFonts w:ascii="Calibri" w:hAnsi="Calibri"/>
          <w:b/>
          <w:color w:val="0B2545"/>
          <w:sz w:val="18"/>
        </w:rPr>
        <w:t xml:space="preserve">Cloud sync operations contract — </w:t>
      </w:r>
      <w:hyperlink r:id="rId11">
        <w:r>
          <w:rPr>
            <w:color w:val="2E74B5"/>
            <w:u w:val="single"/>
          </w:rPr>
          <w:t>https://github.com/poopaskoopa/wattracker/blob/main/docs/cloud-sync.md</w:t>
        </w:r>
      </w:hyperlink>
    </w:p>
    <w:p>
      <w:pPr>
        <w:pStyle w:val="SmallNote"/>
      </w:pPr>
      <w:r>
        <w:rPr>
          <w:rFonts w:ascii="Calibri" w:hAnsi="Calibri"/>
          <w:b/>
          <w:color w:val="0B2545"/>
          <w:sz w:val="18"/>
        </w:rPr>
        <w:t xml:space="preserve">Azure deployment skeleton and security invariants — </w:t>
      </w:r>
      <w:hyperlink r:id="rId12">
        <w:r>
          <w:rPr>
            <w:color w:val="2E74B5"/>
            <w:u w:val="single"/>
          </w:rPr>
          <w:t>https://github.com/poopaskoopa/wattracker/blob/main/infra/azure/README.md</w:t>
        </w:r>
      </w:hyperlink>
    </w:p>
    <w:p>
      <w:pPr>
        <w:pStyle w:val="SmallNote"/>
      </w:pPr>
      <w:r>
        <w:rPr>
          <w:rFonts w:ascii="Calibri" w:hAnsi="Calibri"/>
          <w:b/>
          <w:color w:val="0B2545"/>
          <w:sz w:val="18"/>
        </w:rPr>
        <w:t xml:space="preserve">Azure Bicep deployment — </w:t>
      </w:r>
      <w:hyperlink r:id="rId13">
        <w:r>
          <w:rPr>
            <w:color w:val="2E74B5"/>
            <w:u w:val="single"/>
          </w:rPr>
          <w:t>https://github.com/poopaskoopa/wattracker/blob/main/infra/azure/main.bicep</w:t>
        </w:r>
      </w:hyperlink>
    </w:p>
    <w:p>
      <w:pPr/>
      <w:r>
        <w:rPr>
          <w:rFonts w:ascii="Calibri" w:hAnsi="Calibri"/>
          <w:color w:val="0B2545"/>
          <w:sz w:val="22"/>
        </w:rPr>
        <w:t>Microsoft documentation:</w:t>
      </w:r>
    </w:p>
    <w:p>
      <w:pPr>
        <w:pStyle w:val="SmallNote"/>
      </w:pPr>
      <w:r>
        <w:rPr>
          <w:rFonts w:ascii="Calibri" w:hAnsi="Calibri"/>
          <w:b/>
          <w:color w:val="0B2545"/>
          <w:sz w:val="18"/>
        </w:rPr>
        <w:t xml:space="preserve">Install Azure CLI on macOS — </w:t>
      </w:r>
      <w:hyperlink r:id="rId14">
        <w:r>
          <w:rPr>
            <w:color w:val="2E74B5"/>
            <w:u w:val="single"/>
          </w:rPr>
          <w:t>https://learn.microsoft.com/en-us/cli/azure/install-azure-cli-macos</w:t>
        </w:r>
      </w:hyperlink>
    </w:p>
    <w:p>
      <w:pPr>
        <w:pStyle w:val="SmallNote"/>
      </w:pPr>
      <w:r>
        <w:rPr>
          <w:rFonts w:ascii="Calibri" w:hAnsi="Calibri"/>
          <w:b/>
          <w:color w:val="0B2545"/>
          <w:sz w:val="18"/>
        </w:rPr>
        <w:t xml:space="preserve">Azure CLI Bicep commands — </w:t>
      </w:r>
      <w:hyperlink r:id="rId15">
        <w:r>
          <w:rPr>
            <w:color w:val="2E74B5"/>
            <w:u w:val="single"/>
          </w:rPr>
          <w:t>https://learn.microsoft.com/en-us/cli/azure/bicep</w:t>
        </w:r>
      </w:hyperlink>
    </w:p>
    <w:p>
      <w:pPr>
        <w:pStyle w:val="SmallNote"/>
      </w:pPr>
      <w:r>
        <w:rPr>
          <w:rFonts w:ascii="Calibri" w:hAnsi="Calibri"/>
          <w:b/>
          <w:color w:val="0B2545"/>
          <w:sz w:val="18"/>
        </w:rPr>
        <w:t xml:space="preserve">Resource-group deployment validation — </w:t>
      </w:r>
      <w:hyperlink r:id="rId16">
        <w:r>
          <w:rPr>
            <w:color w:val="2E74B5"/>
            <w:u w:val="single"/>
          </w:rPr>
          <w:t>https://learn.microsoft.com/en-us/cli/azure/deployment/group</w:t>
        </w:r>
      </w:hyperlink>
    </w:p>
    <w:p>
      <w:pPr>
        <w:pStyle w:val="SmallNote"/>
      </w:pPr>
      <w:r>
        <w:rPr>
          <w:rFonts w:ascii="Calibri" w:hAnsi="Calibri"/>
          <w:b/>
          <w:color w:val="0B2545"/>
          <w:sz w:val="18"/>
        </w:rPr>
        <w:t xml:space="preserve">Bicep preflight validation — </w:t>
      </w:r>
      <w:hyperlink r:id="rId17">
        <w:r>
          <w:rPr>
            <w:color w:val="2E74B5"/>
            <w:u w:val="single"/>
          </w:rPr>
          <w:t>https://learn.microsoft.com/en-us/azure/azure-resource-manager/bicep/deploy-preflight</w:t>
        </w:r>
      </w:hyperlink>
    </w:p>
    <w:p>
      <w:pPr>
        <w:pStyle w:val="SmallNote"/>
      </w:pPr>
      <w:r>
        <w:rPr>
          <w:rFonts w:ascii="Calibri" w:hAnsi="Calibri"/>
          <w:b/>
          <w:color w:val="0B2545"/>
          <w:sz w:val="18"/>
        </w:rPr>
        <w:t xml:space="preserve">APIM rate limiting by subscription — </w:t>
      </w:r>
      <w:hyperlink r:id="rId18">
        <w:r>
          <w:rPr>
            <w:color w:val="2E74B5"/>
            <w:u w:val="single"/>
          </w:rPr>
          <w:t>https://learn.microsoft.com/en-us/azure/api-management/rate-limit-policy</w:t>
        </w:r>
      </w:hyperlink>
    </w:p>
    <w:p>
      <w:pPr>
        <w:pStyle w:val="SmallNote"/>
      </w:pPr>
      <w:r>
        <w:rPr>
          <w:rFonts w:ascii="Calibri" w:hAnsi="Calibri"/>
          <w:b/>
          <w:color w:val="0B2545"/>
          <w:sz w:val="18"/>
        </w:rPr>
        <w:t xml:space="preserve">APIM quota by subscription — </w:t>
      </w:r>
      <w:hyperlink r:id="rId19">
        <w:r>
          <w:rPr>
            <w:color w:val="2E74B5"/>
            <w:u w:val="single"/>
          </w:rPr>
          <w:t>https://learn.microsoft.com/en-us/azure/api-management/quota-policy</w:t>
        </w:r>
      </w:hyperlink>
    </w:p>
    <w:p>
      <w:pPr>
        <w:pStyle w:val="SmallNote"/>
      </w:pPr>
      <w:r>
        <w:rPr>
          <w:rFonts w:ascii="Calibri" w:hAnsi="Calibri"/>
          <w:b/>
          <w:color w:val="0B2545"/>
          <w:sz w:val="18"/>
        </w:rPr>
        <w:t xml:space="preserve">APIM tier support and key-based throttling caveat — </w:t>
      </w:r>
      <w:hyperlink r:id="rId20">
        <w:r>
          <w:rPr>
            <w:color w:val="2E74B5"/>
            <w:u w:val="single"/>
          </w:rPr>
          <w:t>https://learn.microsoft.com/en-us/azure/api-management/api-management-sample-flexible-throttling</w:t>
        </w:r>
      </w:hyperlink>
    </w:p>
    <w:p>
      <w:pPr>
        <w:pStyle w:val="SmallNote"/>
      </w:pPr>
      <w:r>
        <w:rPr>
          <w:rFonts w:ascii="Calibri" w:hAnsi="Calibri"/>
          <w:b/>
          <w:color w:val="0B2545"/>
          <w:sz w:val="18"/>
        </w:rPr>
        <w:t xml:space="preserve">Container Apps client-certificate authorization — </w:t>
      </w:r>
      <w:hyperlink r:id="rId21">
        <w:r>
          <w:rPr>
            <w:color w:val="2E74B5"/>
            <w:u w:val="single"/>
          </w:rPr>
          <w:t>https://learn.microsoft.com/en-us/azure/container-apps/client-certificate-authorization</w:t>
        </w:r>
      </w:hyperlink>
    </w:p>
    <w:p>
      <w:pPr>
        <w:pStyle w:val="SmallNote"/>
      </w:pPr>
      <w:r>
        <w:rPr>
          <w:rFonts w:ascii="Calibri" w:hAnsi="Calibri"/>
          <w:b/>
          <w:color w:val="0B2545"/>
          <w:sz w:val="18"/>
        </w:rPr>
        <w:t xml:space="preserve">Storage private endpoints — </w:t>
      </w:r>
      <w:hyperlink r:id="rId22">
        <w:r>
          <w:rPr>
            <w:color w:val="2E74B5"/>
            <w:u w:val="single"/>
          </w:rPr>
          <w:t>https://learn.microsoft.com/en-us/azure/storage/common/storage-private-endpoints</w:t>
        </w:r>
      </w:hyperlink>
    </w:p>
    <w:p>
      <w:pPr>
        <w:pStyle w:val="SmallNote"/>
      </w:pPr>
      <w:r>
        <w:rPr>
          <w:rFonts w:ascii="Calibri" w:hAnsi="Calibri"/>
          <w:b/>
          <w:color w:val="0B2545"/>
          <w:sz w:val="18"/>
        </w:rPr>
        <w:t xml:space="preserve">Storage public network access — </w:t>
      </w:r>
      <w:hyperlink r:id="rId23">
        <w:r>
          <w:rPr>
            <w:color w:val="2E74B5"/>
            <w:u w:val="single"/>
          </w:rPr>
          <w:t>https://learn.microsoft.com/en-us/azure/storage/common/storage-network-security-set-default-access</w:t>
        </w:r>
      </w:hyperlink>
    </w:p>
    <w:p>
      <w:pPr>
        <w:pStyle w:val="SmallNote"/>
      </w:pPr>
      <w:r>
        <w:rPr>
          <w:rFonts w:ascii="Calibri" w:hAnsi="Calibri"/>
          <w:b/>
          <w:color w:val="0B2545"/>
          <w:sz w:val="18"/>
        </w:rPr>
        <w:t xml:space="preserve">Azure budget automation — </w:t>
      </w:r>
      <w:hyperlink r:id="rId24">
        <w:r>
          <w:rPr>
            <w:color w:val="2E74B5"/>
            <w:u w:val="single"/>
          </w:rPr>
          <w:t>https://learn.microsoft.com/en-us/azure/cost-management-billing/costs/manage-automation</w:t>
        </w:r>
      </w:hyperlink>
    </w:p>
    <w:p>
      <w:pPr>
        <w:pStyle w:val="SmallNote"/>
      </w:pPr>
      <w:r>
        <w:rPr>
          <w:rFonts w:ascii="Calibri" w:hAnsi="Calibri"/>
          <w:b/>
          <w:color w:val="0B2545"/>
          <w:sz w:val="18"/>
        </w:rPr>
        <w:t xml:space="preserve">Azure budget behavior and alerts — </w:t>
      </w:r>
      <w:hyperlink r:id="rId25">
        <w:r>
          <w:rPr>
            <w:color w:val="2E74B5"/>
            <w:u w:val="single"/>
          </w:rPr>
          <w:t>https://learn.microsoft.com/en-us/azure/cost-management-billing/costs/tutorial-acm-create-budgets</w:t>
        </w:r>
      </w:hyperlink>
    </w:p>
    <w:p>
      <w:pPr>
        <w:pStyle w:val="SmallNote"/>
      </w:pPr>
      <w:r>
        <w:rPr>
          <w:rFonts w:ascii="Calibri" w:hAnsi="Calibri"/>
          <w:b/>
          <w:color w:val="0B2545"/>
          <w:sz w:val="18"/>
        </w:rPr>
        <w:t xml:space="preserve">API Management pricing — </w:t>
      </w:r>
      <w:hyperlink r:id="rId26">
        <w:r>
          <w:rPr>
            <w:color w:val="2E74B5"/>
            <w:u w:val="single"/>
          </w:rPr>
          <w:t>https://azure.microsoft.com/en-us/pricing/details/api-management/</w:t>
        </w:r>
      </w:hyperlink>
    </w:p>
    <w:p>
      <w:pPr>
        <w:pStyle w:val="SmallNote"/>
      </w:pPr>
      <w:r>
        <w:rPr>
          <w:rFonts w:ascii="Calibri" w:hAnsi="Calibri"/>
          <w:b/>
          <w:color w:val="0B2545"/>
          <w:sz w:val="18"/>
        </w:rPr>
        <w:t xml:space="preserve">Container Apps pricing — </w:t>
      </w:r>
      <w:hyperlink r:id="rId27">
        <w:r>
          <w:rPr>
            <w:color w:val="2E74B5"/>
            <w:u w:val="single"/>
          </w:rPr>
          <w:t>https://azure.microsoft.com/en-us/pricing/details/container-apps/</w:t>
        </w:r>
      </w:hyperlink>
    </w:p>
    <w:p>
      <w:pPr>
        <w:pStyle w:val="SmallNote"/>
      </w:pPr>
      <w:r>
        <w:rPr>
          <w:rFonts w:ascii="Calibri" w:hAnsi="Calibri"/>
          <w:b/>
          <w:color w:val="0B2545"/>
          <w:sz w:val="18"/>
        </w:rPr>
        <w:t xml:space="preserve">Private Link pricing — </w:t>
      </w:r>
      <w:hyperlink r:id="rId28">
        <w:r>
          <w:rPr>
            <w:color w:val="2E74B5"/>
            <w:u w:val="single"/>
          </w:rPr>
          <w:t>https://azure.microsoft.com/en-us/pricing/details/private-link/</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right"/>
    </w:pPr>
    <w:r>
      <w:rPr>
        <w:rFonts w:ascii="Calibri" w:hAnsi="Calibri"/>
        <w:color w:val="5B677A"/>
        <w:sz w:val="18"/>
      </w:rPr>
      <w:t xml:space="preserve">Secure cloud sync runbook  •  Page </w:t>
    </w:r>
    <w:r>
      <w:rPr>
        <w:rFonts w:ascii="Calibri" w:hAnsi="Calibri"/>
        <w:color w:val="5B677A"/>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3" w:color="D7DBE2"/>
      </w:pBdr>
    </w:pPr>
    <w:r>
      <w:rPr>
        <w:rFonts w:ascii="Calibri" w:hAnsi="Calibri"/>
        <w:b/>
        <w:color w:val="5B677A"/>
        <w:sz w:val="17"/>
      </w:rPr>
      <w:t>WATTRACKER  /  CLOUD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0B254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0B254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0" w:after="80" w:line="240" w:lineRule="auto"/>
    </w:pPr>
    <w:rPr>
      <w:rFonts w:ascii="Courier New" w:hAnsi="Courier New"/>
      <w:color w:val="111827"/>
      <w:sz w:val="18"/>
    </w:rPr>
  </w:style>
  <w:style w:type="paragraph" w:customStyle="1" w:styleId="SmallNote">
    <w:name w:val="Small Note"/>
    <w:pPr>
      <w:spacing w:before="0" w:after="80" w:line="276" w:lineRule="auto"/>
    </w:pPr>
    <w:rPr>
      <w:rFonts w:ascii="Calibri" w:hAnsi="Calibri"/>
      <w:color w:val="5B677A"/>
      <w:sz w:val="18"/>
    </w:rPr>
  </w:style>
  <w:style w:type="paragraph" w:customStyle="1" w:styleId="Checklist">
    <w:name w:val="Checklist"/>
    <w:pPr>
      <w:spacing w:before="0" w:after="80" w:line="288" w:lineRule="auto"/>
    </w:pPr>
    <w:rPr>
      <w:rFonts w:ascii="Calibri" w:hAnsi="Calibri"/>
      <w:color w:val="0B2545"/>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poopaskoopa/wattracker/blob/main/docs/cloud-sync.md" TargetMode="External"/><Relationship Id="rId12" Type="http://schemas.openxmlformats.org/officeDocument/2006/relationships/hyperlink" Target="https://github.com/poopaskoopa/wattracker/blob/main/infra/azure/README.md" TargetMode="External"/><Relationship Id="rId13" Type="http://schemas.openxmlformats.org/officeDocument/2006/relationships/hyperlink" Target="https://github.com/poopaskoopa/wattracker/blob/main/infra/azure/main.bicep" TargetMode="External"/><Relationship Id="rId14" Type="http://schemas.openxmlformats.org/officeDocument/2006/relationships/hyperlink" Target="https://learn.microsoft.com/en-us/cli/azure/install-azure-cli-macos" TargetMode="External"/><Relationship Id="rId15" Type="http://schemas.openxmlformats.org/officeDocument/2006/relationships/hyperlink" Target="https://learn.microsoft.com/en-us/cli/azure/bicep" TargetMode="External"/><Relationship Id="rId16" Type="http://schemas.openxmlformats.org/officeDocument/2006/relationships/hyperlink" Target="https://learn.microsoft.com/en-us/cli/azure/deployment/group" TargetMode="External"/><Relationship Id="rId17" Type="http://schemas.openxmlformats.org/officeDocument/2006/relationships/hyperlink" Target="https://learn.microsoft.com/en-us/azure/azure-resource-manager/bicep/deploy-preflight" TargetMode="External"/><Relationship Id="rId18" Type="http://schemas.openxmlformats.org/officeDocument/2006/relationships/hyperlink" Target="https://learn.microsoft.com/en-us/azure/api-management/rate-limit-policy" TargetMode="External"/><Relationship Id="rId19" Type="http://schemas.openxmlformats.org/officeDocument/2006/relationships/hyperlink" Target="https://learn.microsoft.com/en-us/azure/api-management/quota-policy" TargetMode="External"/><Relationship Id="rId20" Type="http://schemas.openxmlformats.org/officeDocument/2006/relationships/hyperlink" Target="https://learn.microsoft.com/en-us/azure/api-management/api-management-sample-flexible-throttling" TargetMode="External"/><Relationship Id="rId21" Type="http://schemas.openxmlformats.org/officeDocument/2006/relationships/hyperlink" Target="https://learn.microsoft.com/en-us/azure/container-apps/client-certificate-authorization" TargetMode="External"/><Relationship Id="rId22" Type="http://schemas.openxmlformats.org/officeDocument/2006/relationships/hyperlink" Target="https://learn.microsoft.com/en-us/azure/storage/common/storage-private-endpoints" TargetMode="External"/><Relationship Id="rId23" Type="http://schemas.openxmlformats.org/officeDocument/2006/relationships/hyperlink" Target="https://learn.microsoft.com/en-us/azure/storage/common/storage-network-security-set-default-access" TargetMode="External"/><Relationship Id="rId24" Type="http://schemas.openxmlformats.org/officeDocument/2006/relationships/hyperlink" Target="https://learn.microsoft.com/en-us/azure/cost-management-billing/costs/manage-automation" TargetMode="External"/><Relationship Id="rId25" Type="http://schemas.openxmlformats.org/officeDocument/2006/relationships/hyperlink" Target="https://learn.microsoft.com/en-us/azure/cost-management-billing/costs/tutorial-acm-create-budgets" TargetMode="External"/><Relationship Id="rId26" Type="http://schemas.openxmlformats.org/officeDocument/2006/relationships/hyperlink" Target="https://azure.microsoft.com/en-us/pricing/details/api-management/" TargetMode="External"/><Relationship Id="rId27" Type="http://schemas.openxmlformats.org/officeDocument/2006/relationships/hyperlink" Target="https://azure.microsoft.com/en-us/pricing/details/container-apps/" TargetMode="External"/><Relationship Id="rId28" Type="http://schemas.openxmlformats.org/officeDocument/2006/relationships/hyperlink" Target="https://azure.microsoft.com/en-us/pricing/details/private-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Wattracker Azure Cloud Sync Secure Deployment Runbook</dc:title>
  <dc:subject>Security and cost controls for isolated authenticated cloud sync</dc:subject>
  <dc:creator>Wattracker</dc:creator>
  <cp:keywords>Azure, security, cost control, cloud sync, APIM, Container Apps</cp:keywords>
  <dc:description>generated by python-docx</dc:description>
  <cp:lastModifiedBy/>
  <cp:revision>1</cp:revision>
  <dcterms:created xsi:type="dcterms:W3CDTF">2013-12-23T23:15:00Z</dcterms:created>
  <dcterms:modified xsi:type="dcterms:W3CDTF">2013-12-23T23:15:00Z</dcterms:modified>
  <cp:category/>
</cp:coreProperties>
</file>