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F43162C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969"/>
        <w:gridCol w:w="3424"/>
      </w:tblGrid>
      <w:tr w:rsidR="00445F62" w:rsidRPr="00B40BA1" w14:paraId="52F852F4" w14:textId="77777777" w:rsidTr="00E87083">
        <w:trPr>
          <w:trHeight w:val="261"/>
        </w:trPr>
        <w:tc>
          <w:tcPr>
            <w:tcW w:w="3477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E87083">
        <w:trPr>
          <w:trHeight w:val="274"/>
        </w:trPr>
        <w:tc>
          <w:tcPr>
            <w:tcW w:w="3477" w:type="dxa"/>
          </w:tcPr>
          <w:p w14:paraId="1B934D22" w14:textId="7E67A7D8" w:rsidR="00E235EF" w:rsidRPr="00B40BA1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</w:t>
            </w:r>
            <w:r w:rsidR="00E87083">
              <w:rPr>
                <w:rFonts w:ascii="宋体" w:eastAsia="宋体" w:hAnsi="宋体" w:hint="eastAsia"/>
              </w:rPr>
              <w:t>存储/</w:t>
            </w:r>
            <w:r>
              <w:rPr>
                <w:rFonts w:ascii="宋体" w:eastAsia="宋体" w:hAnsi="宋体" w:hint="eastAsia"/>
              </w:rPr>
              <w:t>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3969" w:type="dxa"/>
          </w:tcPr>
          <w:p w14:paraId="6340ABCD" w14:textId="48485392" w:rsidR="00E235EF" w:rsidRPr="00445F62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：成都、北京</w:t>
            </w:r>
            <w:r w:rsidR="0000586E">
              <w:rPr>
                <w:rFonts w:ascii="宋体" w:eastAsia="宋体" w:hAnsi="宋体" w:hint="eastAsia"/>
              </w:rPr>
              <w:t>、其他</w:t>
            </w:r>
          </w:p>
        </w:tc>
        <w:tc>
          <w:tcPr>
            <w:tcW w:w="3424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65CA8634" w:rsidR="006A7B0F" w:rsidRPr="00B40BA1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B40BA1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3F547351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</w:t>
            </w:r>
            <w:r w:rsidRPr="002E36B8">
              <w:rPr>
                <w:rFonts w:ascii="宋体" w:eastAsia="宋体" w:hAnsi="宋体" w:hint="eastAsia"/>
                <w:b/>
                <w:bCs/>
              </w:rPr>
              <w:t>存储</w:t>
            </w:r>
            <w:r>
              <w:rPr>
                <w:rFonts w:ascii="宋体" w:eastAsia="宋体" w:hAnsi="宋体" w:hint="eastAsia"/>
              </w:rPr>
              <w:t>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Pr="00B40BA1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05EE089A" w:rsidR="006A7B0F" w:rsidRDefault="00556184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表级透明加密特性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，1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>0+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客户POC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>10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6A7F64E2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加密范围：堆表文件、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-log、双写数据；3)间接加密范围：主备复制流、物理备份集</w:t>
                  </w:r>
                  <w:r w:rsidR="00B5730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4329E477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E8708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869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382D027" w:rsidR="00B57301" w:rsidRDefault="00B57301" w:rsidP="00B57301">
                  <w:pPr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</w:t>
                  </w:r>
                  <w:r w:rsidR="00060D03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</w:t>
                  </w:r>
                  <w:r w:rsidR="00060D03">
                    <w:rPr>
                      <w:rFonts w:ascii="宋体" w:eastAsia="宋体" w:hAnsi="宋体" w:hint="eastAsia"/>
                    </w:rPr>
                    <w:t>解决</w:t>
                  </w:r>
                  <w:r>
                    <w:rPr>
                      <w:rFonts w:ascii="宋体" w:eastAsia="宋体" w:hAnsi="宋体" w:hint="eastAsia"/>
                    </w:rPr>
                    <w:t>数据传输、计算、存储安全</w:t>
                  </w:r>
                  <w:r w:rsidR="00060D03">
                    <w:rPr>
                      <w:rFonts w:ascii="宋体" w:eastAsia="宋体" w:hAnsi="宋体" w:hint="eastAsia"/>
                    </w:rPr>
                    <w:t>问题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7379D544" w:rsidR="00B57301" w:rsidRPr="00B40BA1" w:rsidRDefault="00B57301" w:rsidP="00B57301">
                  <w:pPr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支持在密文上进行等值查询、</w:t>
                  </w:r>
                  <w:r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>
                    <w:rPr>
                      <w:rFonts w:ascii="宋体" w:eastAsia="宋体" w:hAnsi="宋体" w:hint="eastAsia"/>
                    </w:rPr>
                    <w:t>计算、排序</w:t>
                  </w:r>
                  <w:r w:rsidRPr="00B40BA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操作，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>
                    <w:rPr>
                      <w:rFonts w:ascii="宋体" w:eastAsia="宋体" w:hAnsi="宋体" w:hint="eastAsia"/>
                    </w:rPr>
                    <w:t>基于</w:t>
                  </w:r>
                  <w:r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08521EA0" w:rsidR="00741F14" w:rsidRPr="00741F14" w:rsidRDefault="0032539B" w:rsidP="00741F14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DML语法，实现语法解析、语义分析、缓存区、事务、数据组织等多模块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71B9242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1E1CD16B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Pr="00B40BA1">
              <w:rPr>
                <w:rFonts w:ascii="宋体" w:eastAsia="宋体" w:hAnsi="宋体"/>
              </w:rPr>
              <w:t>4种静态、2种动态</w:t>
            </w:r>
            <w:r>
              <w:rPr>
                <w:rFonts w:ascii="宋体" w:eastAsia="宋体" w:hAnsi="宋体" w:hint="eastAsia"/>
              </w:rPr>
              <w:t>的</w:t>
            </w:r>
            <w:r w:rsidRPr="00B40BA1">
              <w:rPr>
                <w:rFonts w:ascii="宋体" w:eastAsia="宋体" w:hAnsi="宋体"/>
              </w:rPr>
              <w:t>包过滤功能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="00E87083">
              <w:rPr>
                <w:rFonts w:ascii="宋体" w:eastAsia="宋体" w:hAnsi="宋体" w:hint="eastAsia"/>
              </w:rPr>
              <w:t>1</w:t>
            </w:r>
            <w:r w:rsidR="00E87083">
              <w:rPr>
                <w:rFonts w:ascii="宋体" w:eastAsia="宋体" w:hAnsi="宋体"/>
              </w:rPr>
              <w:t>1</w:t>
            </w:r>
            <w:r w:rsidRPr="00B40BA1">
              <w:rPr>
                <w:rFonts w:ascii="宋体" w:eastAsia="宋体" w:hAnsi="宋体"/>
              </w:rPr>
              <w:t>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104E68C8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70CE900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</w:t>
            </w:r>
            <w:r>
              <w:rPr>
                <w:rFonts w:ascii="宋体" w:eastAsia="宋体" w:hAnsi="宋体" w:hint="eastAsia"/>
              </w:rPr>
              <w:t>GUI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DC50DC" w:rsidRDefault="00A023A8" w:rsidP="00D60BF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经纬恒润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整车安全部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     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信息安全实习生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0D6427A7" w:rsidR="002E2C79" w:rsidRPr="002E2C79" w:rsidRDefault="00A023A8" w:rsidP="002E2C7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="00E87083">
              <w:rPr>
                <w:rFonts w:ascii="宋体" w:eastAsia="宋体" w:hAnsi="宋体" w:hint="eastAsia"/>
              </w:rPr>
              <w:t>阅读量2</w:t>
            </w:r>
            <w:r w:rsidR="00E87083">
              <w:rPr>
                <w:rFonts w:ascii="宋体" w:eastAsia="宋体" w:hAnsi="宋体"/>
              </w:rPr>
              <w:t>000+</w:t>
            </w:r>
            <w:r w:rsidR="00E87083">
              <w:rPr>
                <w:rFonts w:ascii="宋体" w:eastAsia="宋体" w:hAnsi="宋体" w:hint="eastAsia"/>
              </w:rPr>
              <w:t>，</w:t>
            </w:r>
            <w:r w:rsidR="0032539B">
              <w:rPr>
                <w:rFonts w:ascii="宋体" w:eastAsia="宋体" w:hAnsi="宋体" w:hint="eastAsia"/>
              </w:rPr>
              <w:t>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B16B" w14:textId="77777777" w:rsidR="004467A9" w:rsidRDefault="004467A9" w:rsidP="00534A78">
      <w:r>
        <w:separator/>
      </w:r>
    </w:p>
  </w:endnote>
  <w:endnote w:type="continuationSeparator" w:id="0">
    <w:p w14:paraId="64C615FB" w14:textId="77777777" w:rsidR="004467A9" w:rsidRDefault="004467A9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014E" w14:textId="77777777" w:rsidR="004467A9" w:rsidRDefault="004467A9" w:rsidP="00534A78">
      <w:r>
        <w:separator/>
      </w:r>
    </w:p>
  </w:footnote>
  <w:footnote w:type="continuationSeparator" w:id="0">
    <w:p w14:paraId="4F6B8006" w14:textId="77777777" w:rsidR="004467A9" w:rsidRDefault="004467A9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60D03"/>
    <w:rsid w:val="000647CF"/>
    <w:rsid w:val="00073DD4"/>
    <w:rsid w:val="00091279"/>
    <w:rsid w:val="000A16EC"/>
    <w:rsid w:val="000B5466"/>
    <w:rsid w:val="000B5C54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2E36B8"/>
    <w:rsid w:val="0032539B"/>
    <w:rsid w:val="003647F8"/>
    <w:rsid w:val="00367718"/>
    <w:rsid w:val="00373C29"/>
    <w:rsid w:val="003A28DD"/>
    <w:rsid w:val="003A3B22"/>
    <w:rsid w:val="003A7C55"/>
    <w:rsid w:val="003E660C"/>
    <w:rsid w:val="0041222E"/>
    <w:rsid w:val="0043234B"/>
    <w:rsid w:val="0044342E"/>
    <w:rsid w:val="00445F62"/>
    <w:rsid w:val="004467A9"/>
    <w:rsid w:val="00447646"/>
    <w:rsid w:val="00477469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0212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6F7C02"/>
    <w:rsid w:val="00700CCF"/>
    <w:rsid w:val="00702D7B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3ADF"/>
    <w:rsid w:val="00884E73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86C07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DC50DC"/>
    <w:rsid w:val="00E235EF"/>
    <w:rsid w:val="00E62BD5"/>
    <w:rsid w:val="00E754A4"/>
    <w:rsid w:val="00E87083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3</cp:revision>
  <cp:lastPrinted>2024-11-11T05:28:00Z</cp:lastPrinted>
  <dcterms:created xsi:type="dcterms:W3CDTF">2024-11-11T05:28:00Z</dcterms:created>
  <dcterms:modified xsi:type="dcterms:W3CDTF">2024-11-11T05:30:00Z</dcterms:modified>
</cp:coreProperties>
</file>