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SMARTBRIDGE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15 March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Team 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SWTID-2026-7796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Streamlining IT Procurement: Automating Standard Laptop Orders with Flow Designer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Maximum Marks: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Mark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SKILL WALLET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SmartBridge Product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Demo Planning: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S.No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Demo Section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Duration (mins)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Responsible 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Introduction &amp; Problem Overview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Introduce team members, explain current IT procurement inefficiencies regarding laptop orders, and highlight key project objectives.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POORNA LAKSHMI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Flow Designer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Demonstrate creation of the "Standard laptop task" flow, trigger setup (Service Catalog), and action configurations (Create Catalog Task assigned to Hardware).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Vajitha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Flow Assignment to Catalog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Show how the automated flow is linked to the "Standard Laptop" item under Maintain Items in Process Engine.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Sneka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Service Catalog Order &amp; Approval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Demonstrate requesting a Standard Laptop via Service Catalog, generating REQ0010001, and approving the request as an approver.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Kanisiya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Automated Task Generation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Validate the automatic creation of Catalog Task (SCTASK0010001) with short description update and Hardware group assignment.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POORNA LAKSHMI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Conclusion &amp; Impact 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Summarize efficiency gains, reduction in manual overhead, and overall impact on IT operations.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POORNA LAKSHMI M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Demo Flow Summary: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Introduction &amp; Problem Statement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Present team roles, manual bottleneck in laptop procurement, user story, and project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Solution Overview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High-level explanation of using ServiceNow Flow Designer to automate configuration task assignment upon request approval.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Live Feature Demonstration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Live walk-through covering Milestones 1 to 3: Flow activation, Maintain Items linkage, order placement (REQ0010001), approval workflow, and verifying SCTASK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Q&amp;A Session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Address evaluator questions regarding trigger configurations, assignment group logic, and process optimization.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