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Calibri" w:cs="Calibri" w:ascii="Calibri" w:hAnsi="Calibri"/>
          <w:b/>
          <w:bCs/>
          <w:sz w:val="26"/>
          <w:szCs w:val="26"/>
        </w:rPr>
        <w:t>Project Design Phase</w:t>
      </w:r>
    </w:p>
    <w:p>
      <w:pPr>
        <w:pStyle w:val="Normal"/>
        <w:spacing w:before="120" w:after="240"/>
        <w:jc w:val="center"/>
        <w:rPr/>
      </w:pPr>
      <w:r>
        <w:rPr>
          <w:rFonts w:eastAsia="Calibri" w:cs="Calibri" w:ascii="Calibri" w:hAnsi="Calibri"/>
          <w:b/>
          <w:bCs/>
          <w:color w:val="1F4E78"/>
          <w:sz w:val="40"/>
          <w:szCs w:val="40"/>
        </w:rPr>
        <w:t>Problem – Solution Fit Canvas</w:t>
      </w:r>
    </w:p>
    <w:tbl>
      <w:tblPr>
        <w:tblW w:w="1044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599"/>
        <w:gridCol w:w="7840"/>
      </w:tblGrid>
      <w:tr>
        <w:trPr/>
        <w:tc>
          <w:tcPr>
            <w:tcW w:w="2599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fill="EAF2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78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15/07/2026</w:t>
            </w:r>
          </w:p>
        </w:tc>
      </w:tr>
      <w:tr>
        <w:trPr/>
        <w:tc>
          <w:tcPr>
            <w:tcW w:w="2599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fill="EAF2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78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SWTID-2026-3548</w:t>
            </w:r>
          </w:p>
        </w:tc>
      </w:tr>
      <w:tr>
        <w:trPr/>
        <w:tc>
          <w:tcPr>
            <w:tcW w:w="2599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fill="EAF2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78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Personalized Networking Assistant</w:t>
            </w:r>
          </w:p>
        </w:tc>
      </w:tr>
      <w:tr>
        <w:trPr/>
        <w:tc>
          <w:tcPr>
            <w:tcW w:w="2599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fill="EAF2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78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vAlign w:val="center"/>
          </w:tcPr>
          <w:p>
            <w:pPr>
              <w:pStyle w:val="Normal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</w:r>
          </w:p>
        </w:tc>
      </w:tr>
    </w:tbl>
    <w:p>
      <w:pPr>
        <w:pStyle w:val="Normal"/>
        <w:spacing w:before="260" w:after="160"/>
        <w:rPr/>
      </w:pPr>
      <w:r>
        <w:rPr>
          <w:rFonts w:eastAsia="Calibri" w:cs="Calibri" w:ascii="Calibri" w:hAnsi="Calibri"/>
          <w:b/>
          <w:bCs/>
          <w:color w:val="1F4E78"/>
          <w:sz w:val="24"/>
          <w:szCs w:val="24"/>
        </w:rPr>
        <w:t>Problem – Solution Fit Canvas: Personalized Networking Assistant</w:t>
      </w:r>
    </w:p>
    <w:tbl>
      <w:tblPr>
        <w:tblW w:w="10440" w:type="dxa"/>
        <w:jc w:val="left"/>
        <w:tblInd w:w="0" w:type="dxa"/>
        <w:tblLayout w:type="fixed"/>
        <w:tblCellMar>
          <w:top w:w="140" w:type="dxa"/>
          <w:left w:w="160" w:type="dxa"/>
          <w:bottom w:w="140" w:type="dxa"/>
          <w:right w:w="160" w:type="dxa"/>
        </w:tblCellMar>
      </w:tblPr>
      <w:tblGrid>
        <w:gridCol w:w="10440"/>
      </w:tblGrid>
      <w:tr>
        <w:trPr/>
        <w:tc>
          <w:tcPr>
            <w:tcW w:w="104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</w:tcPr>
          <w:tbl>
            <w:tblPr>
              <w:tblW w:w="10120" w:type="dxa"/>
              <w:jc w:val="left"/>
              <w:tblInd w:w="0" w:type="dxa"/>
              <w:tblLayout w:type="fixed"/>
              <w:tblCellMar>
                <w:top w:w="60" w:type="dxa"/>
                <w:left w:w="100" w:type="dxa"/>
                <w:bottom w:w="60" w:type="dxa"/>
                <w:right w:w="100" w:type="dxa"/>
              </w:tblCellMar>
            </w:tblPr>
            <w:tblGrid>
              <w:gridCol w:w="10120"/>
            </w:tblGrid>
            <w:tr>
              <w:trPr/>
              <w:tc>
                <w:tcPr>
                  <w:tcW w:w="10120" w:type="dxa"/>
                  <w:tcBorders/>
                  <w:shd w:fill="2E5C8A" w:val="clear"/>
                </w:tcPr>
                <w:p>
                  <w:pPr>
                    <w:pStyle w:val="Normal"/>
                    <w:spacing w:before="0" w:after="60"/>
                    <w:rPr/>
                  </w:pPr>
                  <w:r>
                    <w:rPr>
                      <w:rFonts w:eastAsia="Calibri" w:cs="Calibri" w:ascii="Calibri" w:hAnsi="Calibri"/>
                      <w:b/>
                      <w:bCs/>
                      <w:color w:val="FFFFFF"/>
                      <w:sz w:val="21"/>
                      <w:szCs w:val="21"/>
                    </w:rPr>
                    <w:t>Customer Segments</w:t>
                  </w:r>
                </w:p>
              </w:tc>
            </w:tr>
          </w:tbl>
          <w:p>
            <w:pPr>
              <w:pStyle w:val="Normal"/>
              <w:spacing w:before="100" w:after="0"/>
              <w:rPr/>
            </w:pPr>
            <w:r>
              <w:rPr/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Professionals attending conferences, meetups, and corporate networking events who must converse with unfamiliar attendees.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Early-career professionals and students building their professional network at campus or industry events.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Event organizers' attendees who receive only a short event description before arriving.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tbl>
      <w:tblPr>
        <w:tblW w:w="10440" w:type="dxa"/>
        <w:jc w:val="left"/>
        <w:tblInd w:w="0" w:type="dxa"/>
        <w:tblLayout w:type="fixed"/>
        <w:tblCellMar>
          <w:top w:w="140" w:type="dxa"/>
          <w:left w:w="160" w:type="dxa"/>
          <w:bottom w:w="140" w:type="dxa"/>
          <w:right w:w="160" w:type="dxa"/>
        </w:tblCellMar>
      </w:tblPr>
      <w:tblGrid>
        <w:gridCol w:w="3480"/>
        <w:gridCol w:w="3480"/>
        <w:gridCol w:w="3480"/>
      </w:tblGrid>
      <w:tr>
        <w:trPr/>
        <w:tc>
          <w:tcPr>
            <w:tcW w:w="34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</w:tcPr>
          <w:tbl>
            <w:tblPr>
              <w:tblW w:w="3160" w:type="dxa"/>
              <w:jc w:val="left"/>
              <w:tblInd w:w="0" w:type="dxa"/>
              <w:tblLayout w:type="fixed"/>
              <w:tblCellMar>
                <w:top w:w="60" w:type="dxa"/>
                <w:left w:w="100" w:type="dxa"/>
                <w:bottom w:w="60" w:type="dxa"/>
                <w:right w:w="100" w:type="dxa"/>
              </w:tblCellMar>
            </w:tblPr>
            <w:tblGrid>
              <w:gridCol w:w="3160"/>
            </w:tblGrid>
            <w:tr>
              <w:trPr/>
              <w:tc>
                <w:tcPr>
                  <w:tcW w:w="3160" w:type="dxa"/>
                  <w:tcBorders/>
                  <w:shd w:fill="6A1B9A" w:val="clear"/>
                </w:tcPr>
                <w:p>
                  <w:pPr>
                    <w:pStyle w:val="Normal"/>
                    <w:spacing w:before="0" w:after="60"/>
                    <w:rPr/>
                  </w:pPr>
                  <w:r>
                    <w:rPr>
                      <w:rFonts w:eastAsia="Calibri" w:cs="Calibri" w:ascii="Calibri" w:hAnsi="Calibri"/>
                      <w:b/>
                      <w:bCs/>
                      <w:color w:val="FFFFFF"/>
                      <w:sz w:val="21"/>
                      <w:szCs w:val="21"/>
                    </w:rPr>
                    <w:t>Problems</w:t>
                  </w:r>
                </w:p>
              </w:tc>
            </w:tr>
          </w:tbl>
          <w:p>
            <w:pPr>
              <w:pStyle w:val="Normal"/>
              <w:spacing w:before="100" w:after="0"/>
              <w:rPr/>
            </w:pPr>
            <w:r>
              <w:rPr/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Struggle to find a personalized, relevant conversation opener when meeting an unfamiliar attendee.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Manually researching an event's theme and a contact's interests before speaking is time-consuming.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Generic icebreakers feel impersonal and fail to build genuine rapport.</w:t>
            </w:r>
          </w:p>
        </w:tc>
        <w:tc>
          <w:tcPr>
            <w:tcW w:w="34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</w:tcPr>
          <w:tbl>
            <w:tblPr>
              <w:tblW w:w="3160" w:type="dxa"/>
              <w:jc w:val="left"/>
              <w:tblInd w:w="0" w:type="dxa"/>
              <w:tblLayout w:type="fixed"/>
              <w:tblCellMar>
                <w:top w:w="60" w:type="dxa"/>
                <w:left w:w="100" w:type="dxa"/>
                <w:bottom w:w="60" w:type="dxa"/>
                <w:right w:w="100" w:type="dxa"/>
              </w:tblCellMar>
            </w:tblPr>
            <w:tblGrid>
              <w:gridCol w:w="3160"/>
            </w:tblGrid>
            <w:tr>
              <w:trPr/>
              <w:tc>
                <w:tcPr>
                  <w:tcW w:w="3160" w:type="dxa"/>
                  <w:tcBorders/>
                  <w:shd w:fill="6A1B9A" w:val="clear"/>
                </w:tcPr>
                <w:p>
                  <w:pPr>
                    <w:pStyle w:val="Normal"/>
                    <w:spacing w:before="0" w:after="60"/>
                    <w:rPr/>
                  </w:pPr>
                  <w:r>
                    <w:rPr>
                      <w:rFonts w:eastAsia="Calibri" w:cs="Calibri" w:ascii="Calibri" w:hAnsi="Calibri"/>
                      <w:b/>
                      <w:bCs/>
                      <w:color w:val="FFFFFF"/>
                      <w:sz w:val="21"/>
                      <w:szCs w:val="21"/>
                    </w:rPr>
                    <w:t>Root Causes</w:t>
                  </w:r>
                </w:p>
              </w:tc>
            </w:tr>
          </w:tbl>
          <w:p>
            <w:pPr>
              <w:pStyle w:val="Normal"/>
              <w:spacing w:before="100" w:after="0"/>
              <w:rPr/>
            </w:pPr>
            <w:r>
              <w:rPr/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No quick way to connect an event's stated theme with an individual's personal interests before an interaction.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No single tool combines topic extraction with personalized text generation for networking contexts.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Fact-checking of talking points is skipped under time pressure just before an event.</w:t>
            </w:r>
          </w:p>
        </w:tc>
        <w:tc>
          <w:tcPr>
            <w:tcW w:w="34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</w:tcPr>
          <w:tbl>
            <w:tblPr>
              <w:tblW w:w="3160" w:type="dxa"/>
              <w:jc w:val="left"/>
              <w:tblInd w:w="0" w:type="dxa"/>
              <w:tblLayout w:type="fixed"/>
              <w:tblCellMar>
                <w:top w:w="60" w:type="dxa"/>
                <w:left w:w="100" w:type="dxa"/>
                <w:bottom w:w="60" w:type="dxa"/>
                <w:right w:w="100" w:type="dxa"/>
              </w:tblCellMar>
            </w:tblPr>
            <w:tblGrid>
              <w:gridCol w:w="3160"/>
            </w:tblGrid>
            <w:tr>
              <w:trPr/>
              <w:tc>
                <w:tcPr>
                  <w:tcW w:w="3160" w:type="dxa"/>
                  <w:tcBorders/>
                  <w:shd w:fill="6A1B9A" w:val="clear"/>
                </w:tcPr>
                <w:p>
                  <w:pPr>
                    <w:pStyle w:val="Normal"/>
                    <w:spacing w:before="0" w:after="60"/>
                    <w:rPr/>
                  </w:pPr>
                  <w:r>
                    <w:rPr>
                      <w:rFonts w:eastAsia="Calibri" w:cs="Calibri" w:ascii="Calibri" w:hAnsi="Calibri"/>
                      <w:b/>
                      <w:bCs/>
                      <w:color w:val="FFFFFF"/>
                      <w:sz w:val="21"/>
                      <w:szCs w:val="21"/>
                    </w:rPr>
                    <w:t>Triggers to Act</w:t>
                  </w:r>
                </w:p>
              </w:tc>
            </w:tr>
          </w:tbl>
          <w:p>
            <w:pPr>
              <w:pStyle w:val="Normal"/>
              <w:spacing w:before="100" w:after="0"/>
              <w:rPr/>
            </w:pPr>
            <w:r>
              <w:rPr/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Receiving an event invitation or registration confirmation for an upcoming networking event.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Realizing a meetup with unfamiliar attendees is scheduled shortly.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Feeling unprepared just before entering the event venue.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tbl>
      <w:tblPr>
        <w:tblW w:w="10440" w:type="dxa"/>
        <w:jc w:val="left"/>
        <w:tblInd w:w="0" w:type="dxa"/>
        <w:tblLayout w:type="fixed"/>
        <w:tblCellMar>
          <w:top w:w="140" w:type="dxa"/>
          <w:left w:w="160" w:type="dxa"/>
          <w:bottom w:w="140" w:type="dxa"/>
          <w:right w:w="160" w:type="dxa"/>
        </w:tblCellMar>
      </w:tblPr>
      <w:tblGrid>
        <w:gridCol w:w="3480"/>
        <w:gridCol w:w="3480"/>
        <w:gridCol w:w="3480"/>
      </w:tblGrid>
      <w:tr>
        <w:trPr/>
        <w:tc>
          <w:tcPr>
            <w:tcW w:w="34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</w:tcPr>
          <w:tbl>
            <w:tblPr>
              <w:tblW w:w="3160" w:type="dxa"/>
              <w:jc w:val="left"/>
              <w:tblInd w:w="0" w:type="dxa"/>
              <w:tblLayout w:type="fixed"/>
              <w:tblCellMar>
                <w:top w:w="60" w:type="dxa"/>
                <w:left w:w="100" w:type="dxa"/>
                <w:bottom w:w="60" w:type="dxa"/>
                <w:right w:w="100" w:type="dxa"/>
              </w:tblCellMar>
            </w:tblPr>
            <w:tblGrid>
              <w:gridCol w:w="3160"/>
            </w:tblGrid>
            <w:tr>
              <w:trPr/>
              <w:tc>
                <w:tcPr>
                  <w:tcW w:w="3160" w:type="dxa"/>
                  <w:tcBorders/>
                  <w:shd w:fill="C62828" w:val="clear"/>
                </w:tcPr>
                <w:p>
                  <w:pPr>
                    <w:pStyle w:val="Normal"/>
                    <w:spacing w:before="0" w:after="60"/>
                    <w:rPr/>
                  </w:pPr>
                  <w:r>
                    <w:rPr>
                      <w:rFonts w:eastAsia="Calibri" w:cs="Calibri" w:ascii="Calibri" w:hAnsi="Calibri"/>
                      <w:b/>
                      <w:bCs/>
                      <w:color w:val="FFFFFF"/>
                      <w:sz w:val="21"/>
                      <w:szCs w:val="21"/>
                    </w:rPr>
                    <w:t>Emotions</w:t>
                  </w:r>
                </w:p>
              </w:tc>
            </w:tr>
          </w:tbl>
          <w:p>
            <w:pPr>
              <w:pStyle w:val="Normal"/>
              <w:spacing w:before="100" w:after="0"/>
              <w:rPr/>
            </w:pPr>
            <w:r>
              <w:rPr/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Before: anxious, unprepared, and socially hesitant about approaching unfamiliar attendees.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During: uncertain whether a chosen talking point will land well or feel out of place.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After using the assistant: more confident and at ease initiating a relevant conversation.</w:t>
            </w:r>
          </w:p>
        </w:tc>
        <w:tc>
          <w:tcPr>
            <w:tcW w:w="34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</w:tcPr>
          <w:tbl>
            <w:tblPr>
              <w:tblW w:w="3160" w:type="dxa"/>
              <w:jc w:val="left"/>
              <w:tblInd w:w="0" w:type="dxa"/>
              <w:tblLayout w:type="fixed"/>
              <w:tblCellMar>
                <w:top w:w="60" w:type="dxa"/>
                <w:left w:w="100" w:type="dxa"/>
                <w:bottom w:w="60" w:type="dxa"/>
                <w:right w:w="100" w:type="dxa"/>
              </w:tblCellMar>
            </w:tblPr>
            <w:tblGrid>
              <w:gridCol w:w="3160"/>
            </w:tblGrid>
            <w:tr>
              <w:trPr/>
              <w:tc>
                <w:tcPr>
                  <w:tcW w:w="3160" w:type="dxa"/>
                  <w:tcBorders/>
                  <w:shd w:fill="C62828" w:val="clear"/>
                </w:tcPr>
                <w:p>
                  <w:pPr>
                    <w:pStyle w:val="Normal"/>
                    <w:spacing w:before="0" w:after="60"/>
                    <w:rPr/>
                  </w:pPr>
                  <w:r>
                    <w:rPr>
                      <w:rFonts w:eastAsia="Calibri" w:cs="Calibri" w:ascii="Calibri" w:hAnsi="Calibri"/>
                      <w:b/>
                      <w:bCs/>
                      <w:color w:val="FFFFFF"/>
                      <w:sz w:val="21"/>
                      <w:szCs w:val="21"/>
                    </w:rPr>
                    <w:t>Existing Solutions</w:t>
                  </w:r>
                </w:p>
              </w:tc>
            </w:tr>
          </w:tbl>
          <w:p>
            <w:pPr>
              <w:pStyle w:val="Normal"/>
              <w:spacing w:before="100" w:after="0"/>
              <w:rPr/>
            </w:pPr>
            <w:r>
              <w:rPr/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Manually searching an attendee's professional profile or event page shortly before the interaction.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Using generic, non-personalized conversation-starter lists or mobile apps.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Asking a colleague or friend for suggested talking points before the event.</w:t>
            </w:r>
          </w:p>
        </w:tc>
        <w:tc>
          <w:tcPr>
            <w:tcW w:w="34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</w:tcPr>
          <w:tbl>
            <w:tblPr>
              <w:tblW w:w="3160" w:type="dxa"/>
              <w:jc w:val="left"/>
              <w:tblInd w:w="0" w:type="dxa"/>
              <w:tblLayout w:type="fixed"/>
              <w:tblCellMar>
                <w:top w:w="60" w:type="dxa"/>
                <w:left w:w="100" w:type="dxa"/>
                <w:bottom w:w="60" w:type="dxa"/>
                <w:right w:w="100" w:type="dxa"/>
              </w:tblCellMar>
            </w:tblPr>
            <w:tblGrid>
              <w:gridCol w:w="3160"/>
            </w:tblGrid>
            <w:tr>
              <w:trPr/>
              <w:tc>
                <w:tcPr>
                  <w:tcW w:w="3160" w:type="dxa"/>
                  <w:tcBorders/>
                  <w:shd w:fill="C62828" w:val="clear"/>
                </w:tcPr>
                <w:p>
                  <w:pPr>
                    <w:pStyle w:val="Normal"/>
                    <w:spacing w:before="0" w:after="60"/>
                    <w:rPr/>
                  </w:pPr>
                  <w:r>
                    <w:rPr>
                      <w:rFonts w:eastAsia="Calibri" w:cs="Calibri" w:ascii="Calibri" w:hAnsi="Calibri"/>
                      <w:b/>
                      <w:bCs/>
                      <w:color w:val="FFFFFF"/>
                      <w:sz w:val="21"/>
                      <w:szCs w:val="21"/>
                    </w:rPr>
                    <w:t>Behaviors</w:t>
                  </w:r>
                </w:p>
              </w:tc>
            </w:tr>
          </w:tbl>
          <w:p>
            <w:pPr>
              <w:pStyle w:val="Normal"/>
              <w:spacing w:before="100" w:after="0"/>
              <w:rPr/>
            </w:pPr>
            <w:r>
              <w:rPr/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Briefly skimming an event description or an attendee's profile on a phone right before speaking.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Mentally rehearsing a few generic opening questions before approaching someone.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Reviewing notes taken earlier in the day about the event agenda.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tbl>
      <w:tblPr>
        <w:tblW w:w="10440" w:type="dxa"/>
        <w:jc w:val="left"/>
        <w:tblInd w:w="0" w:type="dxa"/>
        <w:tblLayout w:type="fixed"/>
        <w:tblCellMar>
          <w:top w:w="140" w:type="dxa"/>
          <w:left w:w="160" w:type="dxa"/>
          <w:bottom w:w="140" w:type="dxa"/>
          <w:right w:w="160" w:type="dxa"/>
        </w:tblCellMar>
      </w:tblPr>
      <w:tblGrid>
        <w:gridCol w:w="5220"/>
        <w:gridCol w:w="5219"/>
      </w:tblGrid>
      <w:tr>
        <w:trPr/>
        <w:tc>
          <w:tcPr>
            <w:tcW w:w="52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</w:tcPr>
          <w:tbl>
            <w:tblPr>
              <w:tblW w:w="4900" w:type="dxa"/>
              <w:jc w:val="left"/>
              <w:tblInd w:w="0" w:type="dxa"/>
              <w:tblLayout w:type="fixed"/>
              <w:tblCellMar>
                <w:top w:w="60" w:type="dxa"/>
                <w:left w:w="100" w:type="dxa"/>
                <w:bottom w:w="60" w:type="dxa"/>
                <w:right w:w="100" w:type="dxa"/>
              </w:tblCellMar>
            </w:tblPr>
            <w:tblGrid>
              <w:gridCol w:w="4900"/>
            </w:tblGrid>
            <w:tr>
              <w:trPr/>
              <w:tc>
                <w:tcPr>
                  <w:tcW w:w="4900" w:type="dxa"/>
                  <w:tcBorders/>
                  <w:shd w:fill="2E7D32" w:val="clear"/>
                </w:tcPr>
                <w:p>
                  <w:pPr>
                    <w:pStyle w:val="Normal"/>
                    <w:spacing w:before="0" w:after="60"/>
                    <w:rPr/>
                  </w:pPr>
                  <w:r>
                    <w:rPr>
                      <w:rFonts w:eastAsia="Calibri" w:cs="Calibri" w:ascii="Calibri" w:hAnsi="Calibri"/>
                      <w:b/>
                      <w:bCs/>
                      <w:color w:val="FFFFFF"/>
                      <w:sz w:val="21"/>
                      <w:szCs w:val="21"/>
                    </w:rPr>
                    <w:t>Channels of Behaviour</w:t>
                  </w:r>
                </w:p>
              </w:tc>
            </w:tr>
          </w:tbl>
          <w:p>
            <w:pPr>
              <w:pStyle w:val="Normal"/>
              <w:spacing w:before="100" w:after="0"/>
              <w:rPr/>
            </w:pPr>
            <w:r>
              <w:rPr/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Event listing platforms where the event description and agenda are published.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Professional networking pages used to check an attendee's background before a conversation.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Notes or messaging apps used to jot down quick talking points before an event.</w:t>
            </w:r>
          </w:p>
        </w:tc>
        <w:tc>
          <w:tcPr>
            <w:tcW w:w="5219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</w:tcPr>
          <w:tbl>
            <w:tblPr>
              <w:tblW w:w="4900" w:type="dxa"/>
              <w:jc w:val="left"/>
              <w:tblInd w:w="0" w:type="dxa"/>
              <w:tblLayout w:type="fixed"/>
              <w:tblCellMar>
                <w:top w:w="60" w:type="dxa"/>
                <w:left w:w="100" w:type="dxa"/>
                <w:bottom w:w="60" w:type="dxa"/>
                <w:right w:w="100" w:type="dxa"/>
              </w:tblCellMar>
            </w:tblPr>
            <w:tblGrid>
              <w:gridCol w:w="4900"/>
            </w:tblGrid>
            <w:tr>
              <w:trPr/>
              <w:tc>
                <w:tcPr>
                  <w:tcW w:w="4900" w:type="dxa"/>
                  <w:tcBorders/>
                  <w:shd w:fill="2E7D32" w:val="clear"/>
                </w:tcPr>
                <w:p>
                  <w:pPr>
                    <w:pStyle w:val="Normal"/>
                    <w:spacing w:before="0" w:after="60"/>
                    <w:rPr/>
                  </w:pPr>
                  <w:r>
                    <w:rPr>
                      <w:rFonts w:eastAsia="Calibri" w:cs="Calibri" w:ascii="Calibri" w:hAnsi="Calibri"/>
                      <w:b/>
                      <w:bCs/>
                      <w:color w:val="FFFFFF"/>
                      <w:sz w:val="21"/>
                      <w:szCs w:val="21"/>
                    </w:rPr>
                    <w:t>Constraints</w:t>
                  </w:r>
                </w:p>
              </w:tc>
            </w:tr>
          </w:tbl>
          <w:p>
            <w:pPr>
              <w:pStyle w:val="Normal"/>
              <w:spacing w:before="100" w:after="0"/>
              <w:rPr/>
            </w:pPr>
            <w:r>
              <w:rPr/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Very limited time is available to prepare immediately before or during the event.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Only the event description and the user's stated interests are available as input; no access to an attendee's private data.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Responses must be generated quickly, favoring lightweight NLP models over larger, slower ones.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tbl>
      <w:tblPr>
        <w:tblW w:w="10440" w:type="dxa"/>
        <w:jc w:val="left"/>
        <w:tblInd w:w="0" w:type="dxa"/>
        <w:tblLayout w:type="fixed"/>
        <w:tblCellMar>
          <w:top w:w="140" w:type="dxa"/>
          <w:left w:w="160" w:type="dxa"/>
          <w:bottom w:w="140" w:type="dxa"/>
          <w:right w:w="160" w:type="dxa"/>
        </w:tblCellMar>
      </w:tblPr>
      <w:tblGrid>
        <w:gridCol w:w="10440"/>
      </w:tblGrid>
      <w:tr>
        <w:trPr/>
        <w:tc>
          <w:tcPr>
            <w:tcW w:w="104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</w:tcPr>
          <w:tbl>
            <w:tblPr>
              <w:tblW w:w="10120" w:type="dxa"/>
              <w:jc w:val="left"/>
              <w:tblInd w:w="0" w:type="dxa"/>
              <w:tblLayout w:type="fixed"/>
              <w:tblCellMar>
                <w:top w:w="60" w:type="dxa"/>
                <w:left w:w="100" w:type="dxa"/>
                <w:bottom w:w="60" w:type="dxa"/>
                <w:right w:w="100" w:type="dxa"/>
              </w:tblCellMar>
            </w:tblPr>
            <w:tblGrid>
              <w:gridCol w:w="10120"/>
            </w:tblGrid>
            <w:tr>
              <w:trPr/>
              <w:tc>
                <w:tcPr>
                  <w:tcW w:w="10120" w:type="dxa"/>
                  <w:tcBorders/>
                  <w:shd w:fill="1F4E78" w:val="clear"/>
                </w:tcPr>
                <w:p>
                  <w:pPr>
                    <w:pStyle w:val="Normal"/>
                    <w:spacing w:before="0" w:after="60"/>
                    <w:rPr/>
                  </w:pPr>
                  <w:r>
                    <w:rPr>
                      <w:rFonts w:eastAsia="Calibri" w:cs="Calibri" w:ascii="Calibri" w:hAnsi="Calibri"/>
                      <w:b/>
                      <w:bCs/>
                      <w:color w:val="FFFFFF"/>
                      <w:sz w:val="21"/>
                      <w:szCs w:val="21"/>
                    </w:rPr>
                    <w:t>Proposed Solution</w:t>
                  </w:r>
                </w:p>
              </w:tc>
            </w:tr>
          </w:tbl>
          <w:p>
            <w:pPr>
              <w:pStyle w:val="Normal"/>
              <w:spacing w:before="100" w:after="0"/>
              <w:rPr/>
            </w:pPr>
            <w:r>
              <w:rPr/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A web application, the Personalized Networking Assistant, that accepts an event description and the user's stated interests as input.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A theme-extraction module (DistilBERT) identifies the key topics of the event description.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A generation module (GPT-2) produces personalized conversation starters that combine the extracted themes with the user's interests.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A fact-verification module (Wikipedia API) checks factual references before a conversation starter is shown to the user.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color w:val="1B2530"/>
                <w:sz w:val="20"/>
                <w:szCs w:val="20"/>
              </w:rPr>
              <w:t>Generated conversation starters and user feedback are logged (SQLite) and delivered through an interactive Streamlit interface, removing the need for manual, last-minute research.</w:t>
            </w:r>
          </w:p>
        </w:tc>
      </w:tr>
    </w:tbl>
    <w:sectPr>
      <w:type w:val="nextPage"/>
      <w:pgSz w:w="12240" w:h="15840"/>
      <w:pgMar w:left="900" w:right="900" w:gutter="0" w:header="0" w:top="900" w:footer="0" w:bottom="9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501</Words>
  <Characters>2991</Characters>
  <CharactersWithSpaces>3410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2026-07-09T17:35:00Z</dcterms:created>
  <dc:creator>Un-named</dc:creator>
  <dc:description/>
  <dc:language>en-US</dc:language>
  <cp:lastModifiedBy/>
  <dcterms:modified xsi:type="dcterms:W3CDTF">2026-07-15T09:06:38Z</dcterms:modified>
  <cp:revision>2</cp:revision>
  <dc:subject/>
  <dc:title/>
</cp:coreProperties>
</file>