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Georgia" w:cs="Georgia" w:eastAsia="Georgia" w:hAnsi="Georgia"/>
          <w:b/>
          <w:bCs/>
          <w:color w:val="1a1a2e"/>
          <w:sz w:val="72"/>
          <w:szCs w:val="72"/>
        </w:rPr>
        <w:t xml:space="preserve">TAMBAPANNI POSITIONED</w:t>
      </w:r>
    </w:p>
    <w:p>
      <w:pPr>
        <w:spacing w:before="0" w:after="200"/>
        <w:jc w:val="center"/>
      </w:pPr>
      <w:r>
        <w:rPr>
          <w:rFonts w:ascii="Georgia" w:cs="Georgia" w:eastAsia="Georgia" w:hAnsi="Georgia"/>
          <w:i/>
          <w:iCs/>
          <w:color w:val="2c3e6b"/>
          <w:sz w:val="32"/>
          <w:szCs w:val="32"/>
        </w:rPr>
        <w:t xml:space="preserve">A Strategic Framework for State Building and Macroeconomic Opportunity</w:t>
      </w:r>
    </w:p>
    <w:p>
      <w:pPr>
        <w:spacing w:before="120" w:after="80"/>
        <w:jc w:val="center"/>
      </w:pPr>
      <w:r>
        <w:rPr>
          <w:rFonts w:ascii="Georgia" w:cs="Georgia" w:eastAsia="Georgia" w:hAnsi="Georgia"/>
          <w:b/>
          <w:bCs/>
          <w:color w:val="1a1a2e"/>
          <w:sz w:val="26"/>
          <w:szCs w:val="26"/>
        </w:rPr>
        <w:t xml:space="preserve">Ananthaneshan Elampoornan</w:t>
      </w:r>
    </w:p>
    <w:p>
      <w:pPr>
        <w:spacing w:before="0" w:after="80"/>
        <w:jc w:val="center"/>
      </w:pPr>
      <w:r>
        <w:rPr>
          <w:rFonts w:ascii="Georgia" w:cs="Georgia" w:eastAsia="Georgia" w:hAnsi="Georgia"/>
          <w:color w:val="4a5568"/>
          <w:sz w:val="20"/>
          <w:szCs w:val="20"/>
        </w:rPr>
        <w:t xml:space="preserve">ORCID: </w:t>
      </w:r>
      <w:r>
        <w:rPr>
          <w:rFonts w:ascii="Georgia" w:cs="Georgia" w:eastAsia="Georgia" w:hAnsi="Georgia"/>
          <w:color w:val="2c3e6b"/>
          <w:sz w:val="20"/>
          <w:szCs w:val="20"/>
        </w:rPr>
        <w:t xml:space="preserve">0009-0004-9181-2270</w:t>
      </w:r>
    </w:p>
    <w:p>
      <w:pPr>
        <w:spacing w:before="0" w:after="80"/>
        <w:jc w:val="center"/>
      </w:pPr>
      <w:r>
        <w:rPr>
          <w:rFonts w:ascii="Georgia" w:cs="Georgia" w:eastAsia="Georgia" w:hAnsi="Georgia"/>
          <w:i/>
          <w:iCs/>
          <w:color w:val="888888"/>
          <w:sz w:val="18"/>
          <w:szCs w:val="18"/>
        </w:rPr>
        <w:t xml:space="preserve">https://orcid.org/0009-0004-9181-2270</w:t>
      </w:r>
    </w:p>
    <w:p>
      <w:pPr>
        <w:spacing w:before="0" w:after="80"/>
        <w:jc w:val="center"/>
      </w:pPr>
      <w:r>
        <w:rPr>
          <w:rFonts w:ascii="Georgia" w:cs="Georgia" w:eastAsia="Georgia" w:hAnsi="Georgia"/>
          <w:i/>
          <w:iCs/>
          <w:color w:val="4a5568"/>
          <w:sz w:val="19"/>
          <w:szCs w:val="19"/>
        </w:rPr>
        <w:t xml:space="preserve">Companion to: Tambapanni: A History Without Borders</w:t>
      </w:r>
      <w:r>
        <w:rPr>
          <w:rFonts w:ascii="Georgia" w:cs="Georgia" w:eastAsia="Georgia" w:hAnsi="Georgia"/>
          <w:color w:val="2c3e6b"/>
          <w:sz w:val="16"/>
          <w:szCs w:val="16"/>
          <w:vertAlign w:val="superscript"/>
        </w:rPr>
        <w:t xml:space="preserve">[21]</w:t>
      </w:r>
    </w:p>
    <w:p>
      <w:pPr>
        <w:spacing w:before="0" w:after="480"/>
        <w:jc w:val="center"/>
      </w:pPr>
      <w:r>
        <w:rPr>
          <w:rFonts w:ascii="Georgia" w:cs="Georgia" w:eastAsia="Georgia" w:hAnsi="Georgia"/>
          <w:color w:val="4a5568"/>
          <w:sz w:val="20"/>
          <w:szCs w:val="20"/>
        </w:rPr>
        <w:t xml:space="preserve">v1.0  •  March 2026</w:t>
      </w:r>
    </w:p>
    <w:p>
      <w:pPr>
        <w:spacing w:before="120" w:after="40"/>
        <w:jc w:val="center"/>
      </w:pPr>
      <w:r>
        <w:rPr>
          <w:rFonts w:ascii="Georgia" w:cs="Georgia" w:eastAsia="Georgia" w:hAnsi="Georgia"/>
          <w:i/>
          <w:iCs/>
          <w:color w:val="888888"/>
          <w:sz w:val="18"/>
          <w:szCs w:val="18"/>
        </w:rPr>
        <w:t xml:space="preserve">This is a living document. Comments and corrections welcome.</w:t>
      </w:r>
    </w:p>
    <w:p>
      <w:pPr>
        <w:spacing w:before="0" w:after="120"/>
        <w:jc w:val="center"/>
      </w:pPr>
      <w:r>
        <w:rPr>
          <w:rFonts w:ascii="Georgia" w:cs="Georgia" w:eastAsia="Georgia" w:hAnsi="Georgia"/>
          <w:i/>
          <w:iCs/>
          <w:color w:val="aaaaaa"/>
          <w:sz w:val="17"/>
          <w:szCs w:val="17"/>
        </w:rPr>
        <w:t xml:space="preserve">Cite as: Elampoornan, A. (2026). Tambapanni Positioned: A Strategic Framework for State Building and Macroeconomic Opportunity, v1.0. orcid.org/0009-0004-9181-2270</w:t>
      </w:r>
    </w:p>
    <w:p>
      <w:pPr>
        <w:spacing w:before="60" w:after="60"/>
      </w:pPr>
      <w:r>
        <w:t xml:space="preserve"/>
      </w:r>
    </w:p>
    <w:p>
      <w:pPr>
        <w:pBdr>
          <w:bottom w:val="single" w:color="2c3e6b" w:sz="4" w:space="1"/>
        </w:pBdr>
        <w:spacing w:before="240" w:after="240"/>
      </w:pPr>
      <w:r>
        <w:t xml:space="preserve"/>
      </w:r>
    </w:p>
    <w:p>
      <w:pPr>
        <w:spacing w:before="240" w:after="80"/>
        <w:ind w:left="1440" w:right="1440"/>
        <w:jc w:val="center"/>
      </w:pPr>
      <w:r>
        <w:rPr>
          <w:rFonts w:ascii="Georgia" w:cs="Georgia" w:eastAsia="Georgia" w:hAnsi="Georgia"/>
          <w:i/>
          <w:iCs/>
          <w:color w:val="2c3e6b"/>
          <w:sz w:val="24"/>
          <w:szCs w:val="24"/>
        </w:rPr>
        <w:t xml:space="preserve">Strategy is the difference between making a wish and making it come true.</w:t>
      </w:r>
    </w:p>
    <w:p>
      <w:pPr>
        <w:spacing w:before="0" w:after="80"/>
        <w:jc w:val="center"/>
      </w:pPr>
      <w:r>
        <w:rPr>
          <w:rFonts w:ascii="Georgia" w:cs="Georgia" w:eastAsia="Georgia" w:hAnsi="Georgia"/>
          <w:color w:val="4a5568"/>
          <w:sz w:val="20"/>
          <w:szCs w:val="20"/>
        </w:rPr>
        <w:t xml:space="preserve">— Gregor Hohpe, </w:t>
      </w:r>
      <w:r>
        <w:rPr>
          <w:rFonts w:ascii="Georgia" w:cs="Georgia" w:eastAsia="Georgia" w:hAnsi="Georgia"/>
          <w:i/>
          <w:iCs/>
          <w:color w:val="4a5568"/>
          <w:sz w:val="20"/>
          <w:szCs w:val="20"/>
        </w:rPr>
        <w:t xml:space="preserve">Cloud Strategy</w:t>
      </w:r>
      <w:r>
        <w:rPr>
          <w:rFonts w:ascii="Georgia" w:cs="Georgia" w:eastAsia="Georgia" w:hAnsi="Georgia"/>
          <w:color w:val="4a5568"/>
          <w:sz w:val="20"/>
          <w:szCs w:val="20"/>
        </w:rPr>
        <w:t xml:space="preserve"> (2020)</w:t>
      </w:r>
      <w:r>
        <w:rPr>
          <w:rFonts w:ascii="Georgia" w:cs="Georgia" w:eastAsia="Georgia" w:hAnsi="Georgia"/>
          <w:color w:val="2c3e6b"/>
          <w:sz w:val="16"/>
          <w:szCs w:val="16"/>
          <w:vertAlign w:val="superscript"/>
        </w:rPr>
        <w:t xml:space="preserve">[5]</w:t>
      </w:r>
    </w:p>
    <w:p>
      <w:pPr>
        <w:spacing w:before="0" w:after="80"/>
        <w:ind w:left="1440" w:right="1440"/>
        <w:jc w:val="center"/>
      </w:pPr>
      <w:r>
        <w:rPr>
          <w:rFonts w:ascii="Georgia" w:cs="Georgia" w:eastAsia="Georgia" w:hAnsi="Georgia"/>
          <w:i/>
          <w:iCs/>
          <w:color w:val="2c3e6b"/>
          <w:sz w:val="21"/>
          <w:szCs w:val="21"/>
        </w:rPr>
        <w:t xml:space="preserve">Organizations operating in constant change think and speak in relative values because absolutes have little meaning for them.</w:t>
      </w:r>
    </w:p>
    <w:p>
      <w:pPr>
        <w:spacing w:before="0" w:after="240"/>
        <w:jc w:val="center"/>
      </w:pPr>
      <w:r>
        <w:rPr>
          <w:rFonts w:ascii="Georgia" w:cs="Georgia" w:eastAsia="Georgia" w:hAnsi="Georgia"/>
          <w:color w:val="4a5568"/>
          <w:sz w:val="18"/>
          <w:szCs w:val="18"/>
        </w:rPr>
        <w:t xml:space="preserve">Gregor Hohpe, </w:t>
      </w:r>
      <w:r>
        <w:rPr>
          <w:rFonts w:ascii="Georgia" w:cs="Georgia" w:eastAsia="Georgia" w:hAnsi="Georgia"/>
          <w:i/>
          <w:iCs/>
          <w:color w:val="4a5568"/>
          <w:sz w:val="18"/>
          <w:szCs w:val="18"/>
        </w:rPr>
        <w:t xml:space="preserve">Cloud Strategy</w:t>
      </w:r>
      <w:r>
        <w:rPr>
          <w:rFonts w:ascii="Georgia" w:cs="Georgia" w:eastAsia="Georgia" w:hAnsi="Georgia"/>
          <w:color w:val="4a5568"/>
          <w:sz w:val="18"/>
          <w:szCs w:val="18"/>
        </w:rPr>
        <w:t xml:space="preserve">, Chapter 2, p. 19</w:t>
      </w:r>
      <w:r>
        <w:rPr>
          <w:rFonts w:ascii="Georgia" w:cs="Georgia" w:eastAsia="Georgia" w:hAnsi="Georgia"/>
          <w:color w:val="2c3e6b"/>
          <w:sz w:val="16"/>
          <w:szCs w:val="16"/>
          <w:vertAlign w:val="superscript"/>
        </w:rPr>
        <w:t xml:space="preserve">[5]</w:t>
      </w:r>
    </w:p>
    <w:p>
      <w:pPr>
        <w:spacing w:before="80" w:after="80"/>
        <w:ind w:left="1440" w:right="1440"/>
        <w:jc w:val="center"/>
      </w:pPr>
      <w:r>
        <w:rPr>
          <w:rFonts w:ascii="Georgia" w:cs="Georgia" w:eastAsia="Georgia" w:hAnsi="Georgia"/>
          <w:i/>
          <w:iCs/>
          <w:color w:val="2c3e6b"/>
          <w:sz w:val="24"/>
          <w:szCs w:val="24"/>
        </w:rPr>
        <w:t xml:space="preserve">I do not believe that democracy necessarily leads to development. I believe that what a country needs to develop is discipline more than democracy.</w:t>
      </w:r>
    </w:p>
    <w:p>
      <w:pPr>
        <w:spacing w:before="0" w:after="320"/>
        <w:jc w:val="center"/>
      </w:pPr>
      <w:r>
        <w:rPr>
          <w:rFonts w:ascii="Georgia" w:cs="Georgia" w:eastAsia="Georgia" w:hAnsi="Georgia"/>
          <w:color w:val="4a5568"/>
          <w:sz w:val="20"/>
          <w:szCs w:val="20"/>
        </w:rPr>
        <w:t xml:space="preserve">— Lee Kuan Yew, 18th Philippine Business Conference, Manila, </w:t>
      </w:r>
      <w:r>
        <w:rPr>
          <w:rFonts w:ascii="Georgia" w:cs="Georgia" w:eastAsia="Georgia" w:hAnsi="Georgia"/>
          <w:i/>
          <w:iCs/>
          <w:color w:val="4a5568"/>
          <w:sz w:val="20"/>
          <w:szCs w:val="20"/>
        </w:rPr>
        <w:t xml:space="preserve">November 18, 1992</w:t>
      </w:r>
      <w:r>
        <w:rPr>
          <w:rFonts w:ascii="Georgia" w:cs="Georgia" w:eastAsia="Georgia" w:hAnsi="Georgia"/>
          <w:color w:val="2c3e6b"/>
          <w:sz w:val="16"/>
          <w:szCs w:val="16"/>
          <w:vertAlign w:val="superscript"/>
        </w:rPr>
        <w:t xml:space="preserve">[3]</w:t>
      </w:r>
    </w:p>
    <w:p>
      <w:pPr>
        <w:pBdr>
          <w:bottom w:val="single" w:color="2c3e6b" w:sz="4" w:space="1"/>
        </w:pBdr>
        <w:spacing w:before="240" w:after="240"/>
      </w:pPr>
      <w:r>
        <w:t xml:space="preserve"/>
      </w:r>
    </w:p>
    <w:p>
      <w:pPr>
        <w:spacing w:before="60" w:after="60"/>
      </w:pPr>
      <w:r>
        <w:t xml:space="preserve"/>
      </w:r>
    </w:p>
    <w:p>
      <w:pPr>
        <w:spacing w:before="320" w:after="200"/>
      </w:pPr>
      <w:r>
        <w:rPr>
          <w:rFonts w:ascii="Georgia" w:cs="Georgia" w:eastAsia="Georgia" w:hAnsi="Georgia"/>
          <w:b/>
          <w:bCs/>
          <w:color w:val="1a1a2e"/>
          <w:sz w:val="32"/>
          <w:szCs w:val="32"/>
        </w:rPr>
        <w:t xml:space="preserve">Table of Contents</w:t>
      </w:r>
    </w:p>
    <w:p>
      <w:pPr>
        <w:pBdr>
          <w:bottom w:val="single" w:color="2c3e6b" w:sz="4" w:space="1"/>
        </w:pBdr>
        <w:spacing w:before="240" w:after="240"/>
      </w:pPr>
      <w:r>
        <w:t xml:space="preserve"/>
      </w:r>
    </w:p>
    <w:p>
      <w:pPr>
        <w:tabs>
          <w:tab w:val="right" w:pos="9360" w:leader="dot"/>
        </w:tabs>
        <w:spacing w:before="160" w:after="60"/>
        <w:ind w:left="0"/>
      </w:pPr>
      <w:hyperlink w:history="1" w:anchor="executive_summary">
        <w:r>
          <w:rPr>
            <w:rFonts w:ascii="Georgia" w:cs="Georgia" w:eastAsia="Georgia" w:hAnsi="Georgia"/>
            <w:b/>
            <w:bCs/>
            <w:color w:val="1a1a2e"/>
            <w:sz w:val="22"/>
            <w:szCs w:val="22"/>
            <w:u w:val="single" w:color="1a1a2e"/>
          </w:rPr>
          <w:t xml:space="preserve">Executive Summary</w:t>
        </w:r>
      </w:hyperlink>
      <w:tab/>
      <w:fldSimple w:instr="PAGEREF executive_summary \h"/>
    </w:p>
    <w:p>
      <w:pPr>
        <w:tabs>
          <w:tab w:val="right" w:pos="9360" w:leader="dot"/>
        </w:tabs>
        <w:spacing w:before="160" w:after="60"/>
        <w:ind w:left="0"/>
      </w:pPr>
      <w:hyperlink w:history="1" w:anchor="i_the_window">
        <w:r>
          <w:rPr>
            <w:rFonts w:ascii="Georgia" w:cs="Georgia" w:eastAsia="Georgia" w:hAnsi="Georgia"/>
            <w:b/>
            <w:bCs/>
            <w:color w:val="1a1a2e"/>
            <w:sz w:val="22"/>
            <w:szCs w:val="22"/>
            <w:u w:val="single" w:color="1a1a2e"/>
          </w:rPr>
          <w:t xml:space="preserve">I.   The Window</w:t>
        </w:r>
      </w:hyperlink>
      <w:tab/>
      <w:fldSimple w:instr="PAGEREF i_the_window \h"/>
    </w:p>
    <w:p>
      <w:pPr>
        <w:tabs>
          <w:tab w:val="right" w:pos="8880" w:leader="dot"/>
        </w:tabs>
        <w:spacing w:before="60" w:after="40"/>
        <w:ind w:left="480"/>
      </w:pPr>
      <w:hyperlink w:history="1" w:anchor="china_s_manufacturing_overcapacity">
        <w:r>
          <w:rPr>
            <w:rFonts w:ascii="Georgia" w:cs="Georgia" w:eastAsia="Georgia" w:hAnsi="Georgia"/>
            <w:b w:val="false"/>
            <w:bCs w:val="false"/>
            <w:color w:val="2c3e6b"/>
            <w:sz w:val="20"/>
            <w:szCs w:val="20"/>
            <w:u w:val="single" w:color="2c3e6b"/>
          </w:rPr>
          <w:t xml:space="preserve">China's Manufacturing Overcapacity</w:t>
        </w:r>
      </w:hyperlink>
      <w:tab/>
      <w:fldSimple w:instr="PAGEREF china_s_manufacturing_overcapacity \h"/>
    </w:p>
    <w:p>
      <w:pPr>
        <w:tabs>
          <w:tab w:val="right" w:pos="8880" w:leader="dot"/>
        </w:tabs>
        <w:spacing w:before="60" w:after="40"/>
        <w:ind w:left="480"/>
      </w:pPr>
      <w:hyperlink w:history="1" w:anchor="the_indian_ocean_positioning">
        <w:r>
          <w:rPr>
            <w:rFonts w:ascii="Georgia" w:cs="Georgia" w:eastAsia="Georgia" w:hAnsi="Georgia"/>
            <w:b w:val="false"/>
            <w:bCs w:val="false"/>
            <w:color w:val="2c3e6b"/>
            <w:sz w:val="20"/>
            <w:szCs w:val="20"/>
            <w:u w:val="single" w:color="2c3e6b"/>
          </w:rPr>
          <w:t xml:space="preserve">The Indian Ocean Positioning</w:t>
        </w:r>
      </w:hyperlink>
      <w:tab/>
      <w:fldSimple w:instr="PAGEREF the_indian_ocean_positioning \h"/>
    </w:p>
    <w:p>
      <w:pPr>
        <w:tabs>
          <w:tab w:val="right" w:pos="8880" w:leader="dot"/>
        </w:tabs>
        <w:spacing w:before="60" w:after="40"/>
        <w:ind w:left="480"/>
      </w:pPr>
      <w:hyperlink w:history="1" w:anchor="the_comparisons_what_the_window_looked_l">
        <w:r>
          <w:rPr>
            <w:rFonts w:ascii="Georgia" w:cs="Georgia" w:eastAsia="Georgia" w:hAnsi="Georgia"/>
            <w:b w:val="false"/>
            <w:bCs w:val="false"/>
            <w:color w:val="2c3e6b"/>
            <w:sz w:val="20"/>
            <w:szCs w:val="20"/>
            <w:u w:val="single" w:color="2c3e6b"/>
          </w:rPr>
          <w:t xml:space="preserve">The Comparisons: What the Window Looked Like Elsewhere</w:t>
        </w:r>
      </w:hyperlink>
      <w:tab/>
      <w:fldSimple w:instr="PAGEREF the_comparisons_what_the_window_looked_l \h"/>
    </w:p>
    <w:p>
      <w:pPr>
        <w:tabs>
          <w:tab w:val="right" w:pos="9360" w:leader="dot"/>
        </w:tabs>
        <w:spacing w:before="160" w:after="60"/>
        <w:ind w:left="0"/>
      </w:pPr>
      <w:hyperlink w:history="1" w:anchor="ia_comparative_advantage_not_competitive">
        <w:r>
          <w:rPr>
            <w:rFonts w:ascii="Georgia" w:cs="Georgia" w:eastAsia="Georgia" w:hAnsi="Georgia"/>
            <w:b/>
            <w:bCs/>
            <w:color w:val="1a1a2e"/>
            <w:sz w:val="22"/>
            <w:szCs w:val="22"/>
            <w:u w:val="single" w:color="1a1a2e"/>
          </w:rPr>
          <w:t xml:space="preserve">Ia.  Comparative Advantage, Not Competitive Advantage</w:t>
        </w:r>
      </w:hyperlink>
      <w:tab/>
      <w:fldSimple w:instr="PAGEREF ia_comparative_advantage_not_competitive \h"/>
    </w:p>
    <w:p>
      <w:pPr>
        <w:tabs>
          <w:tab w:val="right" w:pos="8880" w:leader="dot"/>
        </w:tabs>
        <w:spacing w:before="60" w:after="40"/>
        <w:ind w:left="480"/>
      </w:pPr>
      <w:hyperlink w:history="1" w:anchor="the_distinction">
        <w:r>
          <w:rPr>
            <w:rFonts w:ascii="Georgia" w:cs="Georgia" w:eastAsia="Georgia" w:hAnsi="Georgia"/>
            <w:b w:val="false"/>
            <w:bCs w:val="false"/>
            <w:color w:val="2c3e6b"/>
            <w:sz w:val="20"/>
            <w:szCs w:val="20"/>
            <w:u w:val="single" w:color="2c3e6b"/>
          </w:rPr>
          <w:t xml:space="preserve">The Distinction</w:t>
        </w:r>
      </w:hyperlink>
      <w:tab/>
      <w:fldSimple w:instr="PAGEREF the_distinction \h"/>
    </w:p>
    <w:p>
      <w:pPr>
        <w:tabs>
          <w:tab w:val="right" w:pos="8880" w:leader="dot"/>
        </w:tabs>
        <w:spacing w:before="60" w:after="40"/>
        <w:ind w:left="480"/>
      </w:pPr>
      <w:hyperlink w:history="1" w:anchor="tambapanni_s_comparative_advantages_are_">
        <w:r>
          <w:rPr>
            <w:rFonts w:ascii="Georgia" w:cs="Georgia" w:eastAsia="Georgia" w:hAnsi="Georgia"/>
            <w:b w:val="false"/>
            <w:bCs w:val="false"/>
            <w:color w:val="2c3e6b"/>
            <w:sz w:val="20"/>
            <w:szCs w:val="20"/>
            <w:u w:val="single" w:color="2c3e6b"/>
          </w:rPr>
          <w:t xml:space="preserve">Tambapanni's Comparative Advantages Are Structural and Unearned</w:t>
        </w:r>
      </w:hyperlink>
      <w:tab/>
      <w:fldSimple w:instr="PAGEREF tambapanni_s_comparative_advantages_are_ \h"/>
    </w:p>
    <w:p>
      <w:pPr>
        <w:tabs>
          <w:tab w:val="right" w:pos="8880" w:leader="dot"/>
        </w:tabs>
        <w:spacing w:before="60" w:after="40"/>
        <w:ind w:left="480"/>
      </w:pPr>
      <w:hyperlink w:history="1" w:anchor="where_tambapanni_has_been_looking_instea">
        <w:r>
          <w:rPr>
            <w:rFonts w:ascii="Georgia" w:cs="Georgia" w:eastAsia="Georgia" w:hAnsi="Georgia"/>
            <w:b w:val="false"/>
            <w:bCs w:val="false"/>
            <w:color w:val="2c3e6b"/>
            <w:sz w:val="20"/>
            <w:szCs w:val="20"/>
            <w:u w:val="single" w:color="2c3e6b"/>
          </w:rPr>
          <w:t xml:space="preserve">Where Tambapanni Has Been Looking Instead</w:t>
        </w:r>
      </w:hyperlink>
      <w:tab/>
      <w:fldSimple w:instr="PAGEREF where_tambapanni_has_been_looking_instea \h"/>
    </w:p>
    <w:p>
      <w:pPr>
        <w:tabs>
          <w:tab w:val="right" w:pos="8880" w:leader="dot"/>
        </w:tabs>
        <w:spacing w:before="60" w:after="40"/>
        <w:ind w:left="480"/>
      </w:pPr>
      <w:hyperlink w:history="1" w:anchor="the_correct_frame_converting_comparative">
        <w:r>
          <w:rPr>
            <w:rFonts w:ascii="Georgia" w:cs="Georgia" w:eastAsia="Georgia" w:hAnsi="Georgia"/>
            <w:b w:val="false"/>
            <w:bCs w:val="false"/>
            <w:color w:val="2c3e6b"/>
            <w:sz w:val="20"/>
            <w:szCs w:val="20"/>
            <w:u w:val="single" w:color="2c3e6b"/>
          </w:rPr>
          <w:t xml:space="preserve">The Correct Frame: Converting Comparative Into Competitive</w:t>
        </w:r>
      </w:hyperlink>
      <w:tab/>
      <w:fldSimple w:instr="PAGEREF the_correct_frame_converting_comparative \h"/>
    </w:p>
    <w:p>
      <w:pPr>
        <w:tabs>
          <w:tab w:val="right" w:pos="9360" w:leader="dot"/>
        </w:tabs>
        <w:spacing w:before="160" w:after="60"/>
        <w:ind w:left="0"/>
      </w:pPr>
      <w:hyperlink w:history="1" w:anchor="ic_the_education_trap_what_the_remittanc">
        <w:r>
          <w:rPr>
            <w:rFonts w:ascii="Georgia" w:cs="Georgia" w:eastAsia="Georgia" w:hAnsi="Georgia"/>
            <w:b/>
            <w:bCs/>
            <w:color w:val="1a1a2e"/>
            <w:sz w:val="22"/>
            <w:szCs w:val="22"/>
            <w:u w:val="single" w:color="1a1a2e"/>
          </w:rPr>
          <w:t xml:space="preserve">Ic.  The Education Trap: What the Remittance Signal Obscures</w:t>
        </w:r>
      </w:hyperlink>
      <w:tab/>
      <w:fldSimple w:instr="PAGEREF ic_the_education_trap_what_the_remittanc \h"/>
    </w:p>
    <w:p>
      <w:pPr>
        <w:tabs>
          <w:tab w:val="right" w:pos="8880" w:leader="dot"/>
        </w:tabs>
        <w:spacing w:before="60" w:after="40"/>
        <w:ind w:left="480"/>
      </w:pPr>
      <w:hyperlink w:history="1" w:anchor="what_the_university_system_actually_prod">
        <w:r>
          <w:rPr>
            <w:rFonts w:ascii="Georgia" w:cs="Georgia" w:eastAsia="Georgia" w:hAnsi="Georgia"/>
            <w:b w:val="false"/>
            <w:bCs w:val="false"/>
            <w:color w:val="2c3e6b"/>
            <w:sz w:val="20"/>
            <w:szCs w:val="20"/>
            <w:u w:val="single" w:color="2c3e6b"/>
          </w:rPr>
          <w:t xml:space="preserve">What the University System Actually Produces</w:t>
        </w:r>
      </w:hyperlink>
      <w:tab/>
      <w:fldSimple w:instr="PAGEREF what_the_university_system_actually_prod \h"/>
    </w:p>
    <w:p>
      <w:pPr>
        <w:tabs>
          <w:tab w:val="right" w:pos="8880" w:leader="dot"/>
        </w:tabs>
        <w:spacing w:before="60" w:after="40"/>
        <w:ind w:left="480"/>
      </w:pPr>
      <w:hyperlink w:history="1" w:anchor="the_curriculum_problem_rote_learning_as_">
        <w:r>
          <w:rPr>
            <w:rFonts w:ascii="Georgia" w:cs="Georgia" w:eastAsia="Georgia" w:hAnsi="Georgia"/>
            <w:b w:val="false"/>
            <w:bCs w:val="false"/>
            <w:color w:val="2c3e6b"/>
            <w:sz w:val="20"/>
            <w:szCs w:val="20"/>
            <w:u w:val="single" w:color="2c3e6b"/>
          </w:rPr>
          <w:t xml:space="preserve">The Curriculum Problem: Rote Learning as Economic Policy</w:t>
        </w:r>
      </w:hyperlink>
      <w:tab/>
      <w:fldSimple w:instr="PAGEREF the_curriculum_problem_rote_learning_as_ \h"/>
    </w:p>
    <w:p>
      <w:pPr>
        <w:tabs>
          <w:tab w:val="right" w:pos="8880" w:leader="dot"/>
        </w:tabs>
        <w:spacing w:before="60" w:after="40"/>
        <w:ind w:left="480"/>
      </w:pPr>
      <w:hyperlink w:history="1" w:anchor="the_remittance_misreading">
        <w:r>
          <w:rPr>
            <w:rFonts w:ascii="Georgia" w:cs="Georgia" w:eastAsia="Georgia" w:hAnsi="Georgia"/>
            <w:b w:val="false"/>
            <w:bCs w:val="false"/>
            <w:color w:val="2c3e6b"/>
            <w:sz w:val="20"/>
            <w:szCs w:val="20"/>
            <w:u w:val="single" w:color="2c3e6b"/>
          </w:rPr>
          <w:t xml:space="preserve">The Remittance Misreading</w:t>
        </w:r>
      </w:hyperlink>
      <w:tab/>
      <w:fldSimple w:instr="PAGEREF the_remittance_misreading \h"/>
    </w:p>
    <w:p>
      <w:pPr>
        <w:tabs>
          <w:tab w:val="right" w:pos="8880" w:leader="dot"/>
        </w:tabs>
        <w:spacing w:before="60" w:after="40"/>
        <w:ind w:left="480"/>
      </w:pPr>
      <w:hyperlink w:history="1" w:anchor="the_second_binding_constraint">
        <w:r>
          <w:rPr>
            <w:rFonts w:ascii="Georgia" w:cs="Georgia" w:eastAsia="Georgia" w:hAnsi="Georgia"/>
            <w:b w:val="false"/>
            <w:bCs w:val="false"/>
            <w:color w:val="2c3e6b"/>
            <w:sz w:val="20"/>
            <w:szCs w:val="20"/>
            <w:u w:val="single" w:color="2c3e6b"/>
          </w:rPr>
          <w:t xml:space="preserve">The Second Binding Constraint</w:t>
        </w:r>
      </w:hyperlink>
      <w:tab/>
      <w:fldSimple w:instr="PAGEREF the_second_binding_constraint \h"/>
    </w:p>
    <w:p>
      <w:pPr>
        <w:tabs>
          <w:tab w:val="right" w:pos="8880" w:leader="dot"/>
        </w:tabs>
        <w:spacing w:before="60" w:after="40"/>
        <w:ind w:left="480"/>
      </w:pPr>
      <w:hyperlink w:history="1" w:anchor="the_diaspora_as_first_capital">
        <w:r>
          <w:rPr>
            <w:rFonts w:ascii="Georgia" w:cs="Georgia" w:eastAsia="Georgia" w:hAnsi="Georgia"/>
            <w:b w:val="false"/>
            <w:bCs w:val="false"/>
            <w:color w:val="2c3e6b"/>
            <w:sz w:val="20"/>
            <w:szCs w:val="20"/>
            <w:u w:val="single" w:color="2c3e6b"/>
          </w:rPr>
          <w:t xml:space="preserve">The Diaspora as First Capital</w:t>
        </w:r>
      </w:hyperlink>
      <w:tab/>
      <w:fldSimple w:instr="PAGEREF the_diaspora_as_first_capital \h"/>
    </w:p>
    <w:p>
      <w:pPr>
        <w:tabs>
          <w:tab w:val="right" w:pos="9360" w:leader="dot"/>
        </w:tabs>
        <w:spacing w:before="160" w:after="60"/>
        <w:ind w:left="0"/>
      </w:pPr>
      <w:hyperlink w:history="1" w:anchor="ib_the_architecture_hub_and_spoke_and_po">
        <w:r>
          <w:rPr>
            <w:rFonts w:ascii="Georgia" w:cs="Georgia" w:eastAsia="Georgia" w:hAnsi="Georgia"/>
            <w:b/>
            <w:bCs/>
            <w:color w:val="1a1a2e"/>
            <w:sz w:val="22"/>
            <w:szCs w:val="22"/>
            <w:u w:val="single" w:color="1a1a2e"/>
          </w:rPr>
          <w:t xml:space="preserve">Ib.  The Architecture: Hub-and-Spoke and Pooling</w:t>
        </w:r>
      </w:hyperlink>
      <w:tab/>
      <w:fldSimple w:instr="PAGEREF ib_the_architecture_hub_and_spoke_and_po \h"/>
    </w:p>
    <w:p>
      <w:pPr>
        <w:tabs>
          <w:tab w:val="right" w:pos="8880" w:leader="dot"/>
        </w:tabs>
        <w:spacing w:before="60" w:after="40"/>
        <w:ind w:left="480"/>
      </w:pPr>
      <w:hyperlink w:history="1" w:anchor="mental_model_one_hub_and_spoke">
        <w:r>
          <w:rPr>
            <w:rFonts w:ascii="Georgia" w:cs="Georgia" w:eastAsia="Georgia" w:hAnsi="Georgia"/>
            <w:b w:val="false"/>
            <w:bCs w:val="false"/>
            <w:color w:val="2c3e6b"/>
            <w:sz w:val="20"/>
            <w:szCs w:val="20"/>
            <w:u w:val="single" w:color="2c3e6b"/>
          </w:rPr>
          <w:t xml:space="preserve">Mental Model One: Hub-and-Spoke</w:t>
        </w:r>
      </w:hyperlink>
      <w:tab/>
      <w:fldSimple w:instr="PAGEREF mental_model_one_hub_and_spoke \h"/>
    </w:p>
    <w:p>
      <w:pPr>
        <w:tabs>
          <w:tab w:val="right" w:pos="8880" w:leader="dot"/>
        </w:tabs>
        <w:spacing w:before="60" w:after="40"/>
        <w:ind w:left="480"/>
      </w:pPr>
      <w:hyperlink w:history="1" w:anchor="mental_model_two_pooling">
        <w:r>
          <w:rPr>
            <w:rFonts w:ascii="Georgia" w:cs="Georgia" w:eastAsia="Georgia" w:hAnsi="Georgia"/>
            <w:b w:val="false"/>
            <w:bCs w:val="false"/>
            <w:color w:val="2c3e6b"/>
            <w:sz w:val="20"/>
            <w:szCs w:val="20"/>
            <w:u w:val="single" w:color="2c3e6b"/>
          </w:rPr>
          <w:t xml:space="preserve">Mental Model Two: Pooling</w:t>
        </w:r>
      </w:hyperlink>
      <w:tab/>
      <w:fldSimple w:instr="PAGEREF mental_model_two_pooling \h"/>
    </w:p>
    <w:p>
      <w:pPr>
        <w:tabs>
          <w:tab w:val="right" w:pos="8400" w:leader="dot"/>
        </w:tabs>
        <w:spacing w:before="60" w:after="40"/>
        <w:ind w:left="960"/>
      </w:pPr>
      <w:hyperlink w:history="1" w:anchor="the_character_of_pooling_redistribution_">
        <w:r>
          <w:rPr>
            <w:rFonts w:ascii="Georgia" w:cs="Georgia" w:eastAsia="Georgia" w:hAnsi="Georgia"/>
            <w:b w:val="false"/>
            <w:bCs w:val="false"/>
            <w:color w:val="2c3e6b"/>
            <w:sz w:val="19"/>
            <w:szCs w:val="19"/>
            <w:u w:val="single" w:color="2c3e6b"/>
          </w:rPr>
          <w:t xml:space="preserve">The Character of Pooling: Redistribution, Not Transaction</w:t>
        </w:r>
      </w:hyperlink>
      <w:tab/>
      <w:fldSimple w:instr="PAGEREF the_character_of_pooling_redistribution_ \h"/>
    </w:p>
    <w:p>
      <w:pPr>
        <w:tabs>
          <w:tab w:val="right" w:pos="8400" w:leader="dot"/>
        </w:tabs>
        <w:spacing w:before="60" w:after="40"/>
        <w:ind w:left="960"/>
      </w:pPr>
      <w:hyperlink w:history="1" w:anchor="when_pooling_is_rational_even_when_you_a">
        <w:r>
          <w:rPr>
            <w:rFonts w:ascii="Georgia" w:cs="Georgia" w:eastAsia="Georgia" w:hAnsi="Georgia"/>
            <w:b w:val="false"/>
            <w:bCs w:val="false"/>
            <w:color w:val="2c3e6b"/>
            <w:sz w:val="19"/>
            <w:szCs w:val="19"/>
            <w:u w:val="single" w:color="2c3e6b"/>
          </w:rPr>
          <w:t xml:space="preserve">When Pooling Is Rational Even When You Are Giving More Than You Receive</w:t>
        </w:r>
      </w:hyperlink>
      <w:tab/>
      <w:fldSimple w:instr="PAGEREF when_pooling_is_rational_even_when_you_a \h"/>
    </w:p>
    <w:p>
      <w:pPr>
        <w:tabs>
          <w:tab w:val="right" w:pos="8400" w:leader="dot"/>
        </w:tabs>
        <w:spacing w:before="60" w:after="40"/>
        <w:ind w:left="960"/>
      </w:pPr>
      <w:hyperlink w:history="1" w:anchor="the_three_conditions_under_which_pooling">
        <w:r>
          <w:rPr>
            <w:rFonts w:ascii="Georgia" w:cs="Georgia" w:eastAsia="Georgia" w:hAnsi="Georgia"/>
            <w:b w:val="false"/>
            <w:bCs w:val="false"/>
            <w:color w:val="2c3e6b"/>
            <w:sz w:val="19"/>
            <w:szCs w:val="19"/>
            <w:u w:val="single" w:color="2c3e6b"/>
          </w:rPr>
          <w:t xml:space="preserve">The Three Conditions Under Which Pooling Is Rational</w:t>
        </w:r>
      </w:hyperlink>
      <w:tab/>
      <w:fldSimple w:instr="PAGEREF the_three_conditions_under_which_pooling \h"/>
    </w:p>
    <w:p>
      <w:pPr>
        <w:tabs>
          <w:tab w:val="right" w:pos="8400" w:leader="dot"/>
        </w:tabs>
        <w:spacing w:before="60" w:after="40"/>
        <w:ind w:left="960"/>
      </w:pPr>
      <w:hyperlink w:history="1" w:anchor="the_new_york_convention_the_foundation_a">
        <w:r>
          <w:rPr>
            <w:rFonts w:ascii="Georgia" w:cs="Georgia" w:eastAsia="Georgia" w:hAnsi="Georgia"/>
            <w:b w:val="false"/>
            <w:bCs w:val="false"/>
            <w:color w:val="2c3e6b"/>
            <w:sz w:val="19"/>
            <w:szCs w:val="19"/>
            <w:u w:val="single" w:color="2c3e6b"/>
          </w:rPr>
          <w:t xml:space="preserve">The New York Convention: The Foundation Already Laid</w:t>
        </w:r>
      </w:hyperlink>
      <w:tab/>
      <w:fldSimple w:instr="PAGEREF the_new_york_convention_the_foundation_a \h"/>
    </w:p>
    <w:p>
      <w:pPr>
        <w:tabs>
          <w:tab w:val="right" w:pos="8400" w:leader="dot"/>
        </w:tabs>
        <w:spacing w:before="60" w:after="40"/>
        <w:ind w:left="960"/>
      </w:pPr>
      <w:hyperlink w:history="1" w:anchor="siac_available_in_law_incomplete_in_prac">
        <w:r>
          <w:rPr>
            <w:rFonts w:ascii="Georgia" w:cs="Georgia" w:eastAsia="Georgia" w:hAnsi="Georgia"/>
            <w:b w:val="false"/>
            <w:bCs w:val="false"/>
            <w:color w:val="2c3e6b"/>
            <w:sz w:val="19"/>
            <w:szCs w:val="19"/>
            <w:u w:val="single" w:color="2c3e6b"/>
          </w:rPr>
          <w:t xml:space="preserve">SIAC: Available in Law, Incomplete in Practice</w:t>
        </w:r>
      </w:hyperlink>
      <w:tab/>
      <w:fldSimple w:instr="PAGEREF siac_available_in_law_incomplete_in_prac \h"/>
    </w:p>
    <w:p>
      <w:pPr>
        <w:tabs>
          <w:tab w:val="right" w:pos="8400" w:leader="dot"/>
        </w:tabs>
        <w:spacing w:before="60" w:after="40"/>
        <w:ind w:left="960"/>
      </w:pPr>
      <w:hyperlink w:history="1" w:anchor="asean_the_pooling_opportunity_that_was_r">
        <w:r>
          <w:rPr>
            <w:rFonts w:ascii="Georgia" w:cs="Georgia" w:eastAsia="Georgia" w:hAnsi="Georgia"/>
            <w:b w:val="false"/>
            <w:bCs w:val="false"/>
            <w:color w:val="2c3e6b"/>
            <w:sz w:val="19"/>
            <w:szCs w:val="19"/>
            <w:u w:val="single" w:color="2c3e6b"/>
          </w:rPr>
          <w:t xml:space="preserve">ASEAN: The Pooling Opportunity That Was Refused Twice</w:t>
        </w:r>
      </w:hyperlink>
      <w:tab/>
      <w:fldSimple w:instr="PAGEREF asean_the_pooling_opportunity_that_was_r \h"/>
    </w:p>
    <w:p>
      <w:pPr>
        <w:tabs>
          <w:tab w:val="right" w:pos="8400" w:leader="dot"/>
        </w:tabs>
        <w:spacing w:before="60" w:after="40"/>
        <w:ind w:left="960"/>
      </w:pPr>
      <w:hyperlink w:history="1" w:anchor="domestic_pooling_the_same_logic_at_a_dif">
        <w:r>
          <w:rPr>
            <w:rFonts w:ascii="Georgia" w:cs="Georgia" w:eastAsia="Georgia" w:hAnsi="Georgia"/>
            <w:b w:val="false"/>
            <w:bCs w:val="false"/>
            <w:color w:val="2c3e6b"/>
            <w:sz w:val="19"/>
            <w:szCs w:val="19"/>
            <w:u w:val="single" w:color="2c3e6b"/>
          </w:rPr>
          <w:t xml:space="preserve">Domestic Pooling: The Same Logic at a Different Scale</w:t>
        </w:r>
      </w:hyperlink>
      <w:tab/>
      <w:fldSimple w:instr="PAGEREF domestic_pooling_the_same_logic_at_a_dif \h"/>
    </w:p>
    <w:p>
      <w:pPr>
        <w:tabs>
          <w:tab w:val="right" w:pos="8880" w:leader="dot"/>
        </w:tabs>
        <w:spacing w:before="60" w:after="40"/>
        <w:ind w:left="480"/>
      </w:pPr>
      <w:hyperlink w:history="1" w:anchor="the_colombo_plan_the_hub_that_lost_itsel">
        <w:r>
          <w:rPr>
            <w:rFonts w:ascii="Georgia" w:cs="Georgia" w:eastAsia="Georgia" w:hAnsi="Georgia"/>
            <w:b w:val="false"/>
            <w:bCs w:val="false"/>
            <w:color w:val="2c3e6b"/>
            <w:sz w:val="20"/>
            <w:szCs w:val="20"/>
            <w:u w:val="single" w:color="2c3e6b"/>
          </w:rPr>
          <w:t xml:space="preserve">The Colombo Plan: The Hub That Lost Itself</w:t>
        </w:r>
      </w:hyperlink>
      <w:tab/>
      <w:fldSimple w:instr="PAGEREF the_colombo_plan_the_hub_that_lost_itsel \h"/>
    </w:p>
    <w:p>
      <w:pPr>
        <w:tabs>
          <w:tab w:val="right" w:pos="8880" w:leader="dot"/>
        </w:tabs>
        <w:spacing w:before="60" w:after="40"/>
        <w:ind w:left="480"/>
      </w:pPr>
      <w:hyperlink w:history="1" w:anchor="what_tambapanni_currently_lacks_as_a_hub">
        <w:r>
          <w:rPr>
            <w:rFonts w:ascii="Georgia" w:cs="Georgia" w:eastAsia="Georgia" w:hAnsi="Georgia"/>
            <w:b w:val="false"/>
            <w:bCs w:val="false"/>
            <w:color w:val="2c3e6b"/>
            <w:sz w:val="20"/>
            <w:szCs w:val="20"/>
            <w:u w:val="single" w:color="2c3e6b"/>
          </w:rPr>
          <w:t xml:space="preserve">What Tambapanni Currently Lacks as a Hub</w:t>
        </w:r>
      </w:hyperlink>
      <w:tab/>
      <w:fldSimple w:instr="PAGEREF what_tambapanni_currently_lacks_as_a_hub \h"/>
    </w:p>
    <w:p>
      <w:pPr>
        <w:tabs>
          <w:tab w:val="right" w:pos="8400" w:leader="dot"/>
        </w:tabs>
        <w:spacing w:before="60" w:after="40"/>
        <w:ind w:left="960"/>
      </w:pPr>
      <w:hyperlink w:history="1" w:anchor="the_global_talent_dimension_what_meritoc">
        <w:r>
          <w:rPr>
            <w:rFonts w:ascii="Georgia" w:cs="Georgia" w:eastAsia="Georgia" w:hAnsi="Georgia"/>
            <w:b w:val="false"/>
            <w:bCs w:val="false"/>
            <w:color w:val="2c3e6b"/>
            <w:sz w:val="19"/>
            <w:szCs w:val="19"/>
            <w:u w:val="single" w:color="2c3e6b"/>
          </w:rPr>
          <w:t xml:space="preserve">The Global Talent Dimension: What Meritocracy Actually Means for a Hub</w:t>
        </w:r>
      </w:hyperlink>
      <w:tab/>
      <w:fldSimple w:instr="PAGEREF the_global_talent_dimension_what_meritoc \h"/>
    </w:p>
    <w:p>
      <w:pPr>
        <w:tabs>
          <w:tab w:val="right" w:pos="9360" w:leader="dot"/>
        </w:tabs>
        <w:spacing w:before="160" w:after="60"/>
        <w:ind w:left="0"/>
      </w:pPr>
      <w:hyperlink w:history="1" w:anchor="ib_incremental_reform_and_the_revolution">
        <w:r>
          <w:rPr>
            <w:rFonts w:ascii="Georgia" w:cs="Georgia" w:eastAsia="Georgia" w:hAnsi="Georgia"/>
            <w:b/>
            <w:bCs/>
            <w:color w:val="1a1a2e"/>
            <w:sz w:val="22"/>
            <w:szCs w:val="22"/>
            <w:u w:val="single" w:color="1a1a2e"/>
          </w:rPr>
          <w:t xml:space="preserve">Ib.  Incremental Reform and the Revolution That Is Actually Required</w:t>
        </w:r>
      </w:hyperlink>
      <w:tab/>
      <w:fldSimple w:instr="PAGEREF ib_incremental_reform_and_the_revolution \h"/>
    </w:p>
    <w:p>
      <w:pPr>
        <w:tabs>
          <w:tab w:val="right" w:pos="8880" w:leader="dot"/>
        </w:tabs>
        <w:spacing w:before="60" w:after="40"/>
        <w:ind w:left="480"/>
      </w:pPr>
      <w:hyperlink w:history="1" w:anchor="what_the_13th_amendment_is">
        <w:r>
          <w:rPr>
            <w:rFonts w:ascii="Georgia" w:cs="Georgia" w:eastAsia="Georgia" w:hAnsi="Georgia"/>
            <w:b w:val="false"/>
            <w:bCs w:val="false"/>
            <w:color w:val="2c3e6b"/>
            <w:sz w:val="20"/>
            <w:szCs w:val="20"/>
            <w:u w:val="single" w:color="2c3e6b"/>
          </w:rPr>
          <w:t xml:space="preserve">What the 13th Amendment Is</w:t>
        </w:r>
      </w:hyperlink>
      <w:tab/>
      <w:fldSimple w:instr="PAGEREF what_the_13th_amendment_is \h"/>
    </w:p>
    <w:p>
      <w:pPr>
        <w:tabs>
          <w:tab w:val="right" w:pos="8880" w:leader="dot"/>
        </w:tabs>
        <w:spacing w:before="60" w:after="40"/>
        <w:ind w:left="480"/>
      </w:pPr>
      <w:hyperlink w:history="1" w:anchor="why_the_13th_amendment_is_structurally_i">
        <w:r>
          <w:rPr>
            <w:rFonts w:ascii="Georgia" w:cs="Georgia" w:eastAsia="Georgia" w:hAnsi="Georgia"/>
            <w:b w:val="false"/>
            <w:bCs w:val="false"/>
            <w:color w:val="2c3e6b"/>
            <w:sz w:val="20"/>
            <w:szCs w:val="20"/>
            <w:u w:val="single" w:color="2c3e6b"/>
          </w:rPr>
          <w:t xml:space="preserve">Why the 13th Amendment Is Structurally Insufficient</w:t>
        </w:r>
      </w:hyperlink>
      <w:tab/>
      <w:fldSimple w:instr="PAGEREF why_the_13th_amendment_is_structurally_i \h"/>
    </w:p>
    <w:p>
      <w:pPr>
        <w:tabs>
          <w:tab w:val="right" w:pos="8880" w:leader="dot"/>
        </w:tabs>
        <w:spacing w:before="60" w:after="40"/>
        <w:ind w:left="480"/>
      </w:pPr>
      <w:hyperlink w:history="1" w:anchor="the_revolution_fukuyama_s_framework_actu">
        <w:r>
          <w:rPr>
            <w:rFonts w:ascii="Georgia" w:cs="Georgia" w:eastAsia="Georgia" w:hAnsi="Georgia"/>
            <w:b w:val="false"/>
            <w:bCs w:val="false"/>
            <w:color w:val="2c3e6b"/>
            <w:sz w:val="20"/>
            <w:szCs w:val="20"/>
            <w:u w:val="single" w:color="2c3e6b"/>
          </w:rPr>
          <w:t xml:space="preserve">The Revolution Fukuyama's Framework Actually Implies</w:t>
        </w:r>
      </w:hyperlink>
      <w:tab/>
      <w:fldSimple w:instr="PAGEREF the_revolution_fukuyama_s_framework_actu \h"/>
    </w:p>
    <w:p>
      <w:pPr>
        <w:tabs>
          <w:tab w:val="right" w:pos="9360" w:leader="dot"/>
        </w:tabs>
        <w:spacing w:before="160" w:after="60"/>
        <w:ind w:left="0"/>
      </w:pPr>
      <w:hyperlink w:history="1" w:anchor="ii_the_constraint">
        <w:r>
          <w:rPr>
            <w:rFonts w:ascii="Georgia" w:cs="Georgia" w:eastAsia="Georgia" w:hAnsi="Georgia"/>
            <w:b/>
            <w:bCs/>
            <w:color w:val="1a1a2e"/>
            <w:sz w:val="22"/>
            <w:szCs w:val="22"/>
            <w:u w:val="single" w:color="1a1a2e"/>
          </w:rPr>
          <w:t xml:space="preserve">II.  The Constraint</w:t>
        </w:r>
      </w:hyperlink>
      <w:tab/>
      <w:fldSimple w:instr="PAGEREF ii_the_constraint \h"/>
    </w:p>
    <w:p>
      <w:pPr>
        <w:tabs>
          <w:tab w:val="right" w:pos="8880" w:leader="dot"/>
        </w:tabs>
        <w:spacing w:before="60" w:after="40"/>
        <w:ind w:left="480"/>
      </w:pPr>
      <w:hyperlink w:history="1" w:anchor="the_sequencing_failure">
        <w:r>
          <w:rPr>
            <w:rFonts w:ascii="Georgia" w:cs="Georgia" w:eastAsia="Georgia" w:hAnsi="Georgia"/>
            <w:b w:val="false"/>
            <w:bCs w:val="false"/>
            <w:color w:val="2c3e6b"/>
            <w:sz w:val="20"/>
            <w:szCs w:val="20"/>
            <w:u w:val="single" w:color="2c3e6b"/>
          </w:rPr>
          <w:t xml:space="preserve">The Sequencing Failure</w:t>
        </w:r>
      </w:hyperlink>
      <w:tab/>
      <w:fldSimple w:instr="PAGEREF the_sequencing_failure \h"/>
    </w:p>
    <w:p>
      <w:pPr>
        <w:tabs>
          <w:tab w:val="right" w:pos="8880" w:leader="dot"/>
        </w:tabs>
        <w:spacing w:before="60" w:after="40"/>
        <w:ind w:left="480"/>
      </w:pPr>
      <w:hyperlink w:history="1" w:anchor="what_patronage_politics_cannot_do">
        <w:r>
          <w:rPr>
            <w:rFonts w:ascii="Georgia" w:cs="Georgia" w:eastAsia="Georgia" w:hAnsi="Georgia"/>
            <w:b w:val="false"/>
            <w:bCs w:val="false"/>
            <w:color w:val="2c3e6b"/>
            <w:sz w:val="20"/>
            <w:szCs w:val="20"/>
            <w:u w:val="single" w:color="2c3e6b"/>
          </w:rPr>
          <w:t xml:space="preserve">What Patronage Politics Cannot Do</w:t>
        </w:r>
      </w:hyperlink>
      <w:tab/>
      <w:fldSimple w:instr="PAGEREF what_patronage_politics_cannot_do \h"/>
    </w:p>
    <w:p>
      <w:pPr>
        <w:tabs>
          <w:tab w:val="right" w:pos="8880" w:leader="dot"/>
        </w:tabs>
        <w:spacing w:before="60" w:after="40"/>
        <w:ind w:left="480"/>
      </w:pPr>
      <w:hyperlink w:history="1" w:anchor="the_constitutional_design_problem_lky_s_">
        <w:r>
          <w:rPr>
            <w:rFonts w:ascii="Georgia" w:cs="Georgia" w:eastAsia="Georgia" w:hAnsi="Georgia"/>
            <w:b w:val="false"/>
            <w:bCs w:val="false"/>
            <w:color w:val="2c3e6b"/>
            <w:sz w:val="20"/>
            <w:szCs w:val="20"/>
            <w:u w:val="single" w:color="2c3e6b"/>
          </w:rPr>
          <w:t xml:space="preserve">The Constitutional Design Problem: LKY's 1992 Argument</w:t>
        </w:r>
      </w:hyperlink>
      <w:tab/>
      <w:fldSimple w:instr="PAGEREF the_constitutional_design_problem_lky_s_ \h"/>
    </w:p>
    <w:p>
      <w:pPr>
        <w:tabs>
          <w:tab w:val="right" w:pos="9360" w:leader="dot"/>
        </w:tabs>
        <w:spacing w:before="160" w:after="60"/>
        <w:ind w:left="0"/>
      </w:pPr>
      <w:hyperlink w:history="1" w:anchor="iii_the_hohpe_shift_economies_of_speed_o">
        <w:r>
          <w:rPr>
            <w:rFonts w:ascii="Georgia" w:cs="Georgia" w:eastAsia="Georgia" w:hAnsi="Georgia"/>
            <w:b/>
            <w:bCs/>
            <w:color w:val="1a1a2e"/>
            <w:sz w:val="22"/>
            <w:szCs w:val="22"/>
            <w:u w:val="single" w:color="1a1a2e"/>
          </w:rPr>
          <w:t xml:space="preserve">III. The Hohpe Shift: Economies of Speed over Economies of Scale</w:t>
        </w:r>
      </w:hyperlink>
      <w:tab/>
      <w:fldSimple w:instr="PAGEREF iii_the_hohpe_shift_economies_of_speed_o \h"/>
    </w:p>
    <w:p>
      <w:pPr>
        <w:tabs>
          <w:tab w:val="right" w:pos="8880" w:leader="dot"/>
        </w:tabs>
        <w:spacing w:before="60" w:after="40"/>
        <w:ind w:left="480"/>
      </w:pPr>
      <w:hyperlink w:history="1" w:anchor="manufacturing_and_logistics_the_port_as_">
        <w:r>
          <w:rPr>
            <w:rFonts w:ascii="Georgia" w:cs="Georgia" w:eastAsia="Georgia" w:hAnsi="Georgia"/>
            <w:b w:val="false"/>
            <w:bCs w:val="false"/>
            <w:color w:val="2c3e6b"/>
            <w:sz w:val="20"/>
            <w:szCs w:val="20"/>
            <w:u w:val="single" w:color="2c3e6b"/>
          </w:rPr>
          <w:t xml:space="preserve">Manufacturing and Logistics: The Port as Platform</w:t>
        </w:r>
      </w:hyperlink>
      <w:tab/>
      <w:fldSimple w:instr="PAGEREF manufacturing_and_logistics_the_port_as_ \h"/>
    </w:p>
    <w:p>
      <w:pPr>
        <w:tabs>
          <w:tab w:val="right" w:pos="8880" w:leader="dot"/>
        </w:tabs>
        <w:spacing w:before="60" w:after="40"/>
        <w:ind w:left="480"/>
      </w:pPr>
      <w:hyperlink w:history="1" w:anchor="technology_and_digital_services_the_tale">
        <w:r>
          <w:rPr>
            <w:rFonts w:ascii="Georgia" w:cs="Georgia" w:eastAsia="Georgia" w:hAnsi="Georgia"/>
            <w:b w:val="false"/>
            <w:bCs w:val="false"/>
            <w:color w:val="2c3e6b"/>
            <w:sz w:val="20"/>
            <w:szCs w:val="20"/>
            <w:u w:val="single" w:color="2c3e6b"/>
          </w:rPr>
          <w:t xml:space="preserve">Technology and Digital Services: The Talent is Already There</w:t>
        </w:r>
      </w:hyperlink>
      <w:tab/>
      <w:fldSimple w:instr="PAGEREF technology_and_digital_services_the_tale \h"/>
    </w:p>
    <w:p>
      <w:pPr>
        <w:tabs>
          <w:tab w:val="right" w:pos="8880" w:leader="dot"/>
        </w:tabs>
        <w:spacing w:before="60" w:after="40"/>
        <w:ind w:left="480"/>
      </w:pPr>
      <w:hyperlink w:history="1" w:anchor="financial_services_the_time_zone_gap">
        <w:r>
          <w:rPr>
            <w:rFonts w:ascii="Georgia" w:cs="Georgia" w:eastAsia="Georgia" w:hAnsi="Georgia"/>
            <w:b w:val="false"/>
            <w:bCs w:val="false"/>
            <w:color w:val="2c3e6b"/>
            <w:sz w:val="20"/>
            <w:szCs w:val="20"/>
            <w:u w:val="single" w:color="2c3e6b"/>
          </w:rPr>
          <w:t xml:space="preserve">Financial Services: The Time-Zone Gap</w:t>
        </w:r>
      </w:hyperlink>
      <w:tab/>
      <w:fldSimple w:instr="PAGEREF financial_services_the_time_zone_gap \h"/>
    </w:p>
    <w:p>
      <w:pPr>
        <w:tabs>
          <w:tab w:val="right" w:pos="9360" w:leader="dot"/>
        </w:tabs>
        <w:spacing w:before="160" w:after="60"/>
        <w:ind w:left="0"/>
      </w:pPr>
      <w:hyperlink w:history="1" w:anchor="iv_constitutional_design_and_institution">
        <w:r>
          <w:rPr>
            <w:rFonts w:ascii="Georgia" w:cs="Georgia" w:eastAsia="Georgia" w:hAnsi="Georgia"/>
            <w:b/>
            <w:bCs/>
            <w:color w:val="1a1a2e"/>
            <w:sz w:val="22"/>
            <w:szCs w:val="22"/>
            <w:u w:val="single" w:color="1a1a2e"/>
          </w:rPr>
          <w:t xml:space="preserve">IV.  Constitutional Design and Institutional Sequencing: Lessons Without Mythology</w:t>
        </w:r>
      </w:hyperlink>
      <w:tab/>
      <w:fldSimple w:instr="PAGEREF iv_constitutional_design_and_institution \h"/>
    </w:p>
    <w:p>
      <w:pPr>
        <w:tabs>
          <w:tab w:val="right" w:pos="8880" w:leader="dot"/>
        </w:tabs>
        <w:spacing w:before="60" w:after="40"/>
        <w:ind w:left="480"/>
      </w:pPr>
      <w:hyperlink w:history="1" w:anchor="singapore_positioning_as_the_organising_">
        <w:r>
          <w:rPr>
            <w:rFonts w:ascii="Georgia" w:cs="Georgia" w:eastAsia="Georgia" w:hAnsi="Georgia"/>
            <w:b w:val="false"/>
            <w:bCs w:val="false"/>
            <w:color w:val="2c3e6b"/>
            <w:sz w:val="20"/>
            <w:szCs w:val="20"/>
            <w:u w:val="single" w:color="2c3e6b"/>
          </w:rPr>
          <w:t xml:space="preserve">Singapore: Positioning as the Organising Principle</w:t>
        </w:r>
      </w:hyperlink>
      <w:tab/>
      <w:fldSimple w:instr="PAGEREF singapore_positioning_as_the_organising_ \h"/>
    </w:p>
    <w:p>
      <w:pPr>
        <w:tabs>
          <w:tab w:val="right" w:pos="8880" w:leader="dot"/>
        </w:tabs>
        <w:spacing w:before="60" w:after="40"/>
        <w:ind w:left="480"/>
      </w:pPr>
      <w:hyperlink w:history="1" w:anchor="estonia_institutional_quality_as_the_exp">
        <w:r>
          <w:rPr>
            <w:rFonts w:ascii="Georgia" w:cs="Georgia" w:eastAsia="Georgia" w:hAnsi="Georgia"/>
            <w:b w:val="false"/>
            <w:bCs w:val="false"/>
            <w:color w:val="2c3e6b"/>
            <w:sz w:val="20"/>
            <w:szCs w:val="20"/>
            <w:u w:val="single" w:color="2c3e6b"/>
          </w:rPr>
          <w:t xml:space="preserve">Estonia: Institutional Quality as the Export</w:t>
        </w:r>
      </w:hyperlink>
      <w:tab/>
      <w:fldSimple w:instr="PAGEREF estonia_institutional_quality_as_the_exp \h"/>
    </w:p>
    <w:p>
      <w:pPr>
        <w:tabs>
          <w:tab w:val="right" w:pos="8880" w:leader="dot"/>
        </w:tabs>
        <w:spacing w:before="60" w:after="40"/>
        <w:ind w:left="480"/>
      </w:pPr>
      <w:hyperlink w:history="1" w:anchor="rwanda_reconstruction_as_institutional_r">
        <w:r>
          <w:rPr>
            <w:rFonts w:ascii="Georgia" w:cs="Georgia" w:eastAsia="Georgia" w:hAnsi="Georgia"/>
            <w:b w:val="false"/>
            <w:bCs w:val="false"/>
            <w:color w:val="2c3e6b"/>
            <w:sz w:val="20"/>
            <w:szCs w:val="20"/>
            <w:u w:val="single" w:color="2c3e6b"/>
          </w:rPr>
          <w:t xml:space="preserve">Rwanda: Reconstruction as Institutional Reset</w:t>
        </w:r>
      </w:hyperlink>
      <w:tab/>
      <w:fldSimple w:instr="PAGEREF rwanda_reconstruction_as_institutional_r \h"/>
    </w:p>
    <w:p>
      <w:pPr>
        <w:tabs>
          <w:tab w:val="right" w:pos="8880" w:leader="dot"/>
        </w:tabs>
        <w:spacing w:before="60" w:after="40"/>
        <w:ind w:left="480"/>
      </w:pPr>
      <w:hyperlink w:history="1" w:anchor="mauritius_the_democratic_plural_society_">
        <w:r>
          <w:rPr>
            <w:rFonts w:ascii="Georgia" w:cs="Georgia" w:eastAsia="Georgia" w:hAnsi="Georgia"/>
            <w:b w:val="false"/>
            <w:bCs w:val="false"/>
            <w:color w:val="2c3e6b"/>
            <w:sz w:val="20"/>
            <w:szCs w:val="20"/>
            <w:u w:val="single" w:color="2c3e6b"/>
          </w:rPr>
          <w:t xml:space="preserve">Mauritius: The Democratic Plural Society Model</w:t>
        </w:r>
      </w:hyperlink>
      <w:tab/>
      <w:fldSimple w:instr="PAGEREF mauritius_the_democratic_plural_society_ \h"/>
    </w:p>
    <w:p>
      <w:pPr>
        <w:tabs>
          <w:tab w:val="right" w:pos="9360" w:leader="dot"/>
        </w:tabs>
        <w:spacing w:before="160" w:after="60"/>
        <w:ind w:left="0"/>
      </w:pPr>
      <w:hyperlink w:history="1" w:anchor="v_what_reform_actually_requires">
        <w:r>
          <w:rPr>
            <w:rFonts w:ascii="Georgia" w:cs="Georgia" w:eastAsia="Georgia" w:hAnsi="Georgia"/>
            <w:b/>
            <w:bCs/>
            <w:color w:val="1a1a2e"/>
            <w:sz w:val="22"/>
            <w:szCs w:val="22"/>
            <w:u w:val="single" w:color="1a1a2e"/>
          </w:rPr>
          <w:t xml:space="preserve">V.   What Reform Actually Requires</w:t>
        </w:r>
      </w:hyperlink>
      <w:tab/>
      <w:fldSimple w:instr="PAGEREF v_what_reform_actually_requires \h"/>
    </w:p>
    <w:p>
      <w:pPr>
        <w:tabs>
          <w:tab w:val="right" w:pos="8880" w:leader="dot"/>
        </w:tabs>
        <w:spacing w:before="60" w:after="40"/>
        <w:ind w:left="480"/>
      </w:pPr>
      <w:hyperlink w:history="1" w:anchor="one_an_independent_civil_service">
        <w:r>
          <w:rPr>
            <w:rFonts w:ascii="Georgia" w:cs="Georgia" w:eastAsia="Georgia" w:hAnsi="Georgia"/>
            <w:b w:val="false"/>
            <w:bCs w:val="false"/>
            <w:color w:val="2c3e6b"/>
            <w:sz w:val="20"/>
            <w:szCs w:val="20"/>
            <w:u w:val="single" w:color="2c3e6b"/>
          </w:rPr>
          <w:t xml:space="preserve">One: An Independent Civil Service</w:t>
        </w:r>
      </w:hyperlink>
      <w:tab/>
      <w:fldSimple w:instr="PAGEREF one_an_independent_civil_service \h"/>
    </w:p>
    <w:p>
      <w:pPr>
        <w:tabs>
          <w:tab w:val="right" w:pos="8880" w:leader="dot"/>
        </w:tabs>
        <w:spacing w:before="60" w:after="40"/>
        <w:ind w:left="480"/>
      </w:pPr>
      <w:hyperlink w:history="1" w:anchor="two_commercial_dispute_resolution_with_i">
        <w:r>
          <w:rPr>
            <w:rFonts w:ascii="Georgia" w:cs="Georgia" w:eastAsia="Georgia" w:hAnsi="Georgia"/>
            <w:b w:val="false"/>
            <w:bCs w:val="false"/>
            <w:color w:val="2c3e6b"/>
            <w:sz w:val="20"/>
            <w:szCs w:val="20"/>
            <w:u w:val="single" w:color="2c3e6b"/>
          </w:rPr>
          <w:t xml:space="preserve">Two: Commercial Dispute Resolution with International Credibility</w:t>
        </w:r>
      </w:hyperlink>
      <w:tab/>
      <w:fldSimple w:instr="PAGEREF two_commercial_dispute_resolution_with_i \h"/>
    </w:p>
    <w:p>
      <w:pPr>
        <w:tabs>
          <w:tab w:val="right" w:pos="8880" w:leader="dot"/>
        </w:tabs>
        <w:spacing w:before="60" w:after="40"/>
        <w:ind w:left="480"/>
      </w:pPr>
      <w:hyperlink w:history="1" w:anchor="three_a_civic_constitutional_settlement">
        <w:r>
          <w:rPr>
            <w:rFonts w:ascii="Georgia" w:cs="Georgia" w:eastAsia="Georgia" w:hAnsi="Georgia"/>
            <w:b w:val="false"/>
            <w:bCs w:val="false"/>
            <w:color w:val="2c3e6b"/>
            <w:sz w:val="20"/>
            <w:szCs w:val="20"/>
            <w:u w:val="single" w:color="2c3e6b"/>
          </w:rPr>
          <w:t xml:space="preserve">Three: A Civic Constitutional Settlement</w:t>
        </w:r>
      </w:hyperlink>
      <w:tab/>
      <w:fldSimple w:instr="PAGEREF three_a_civic_constitutional_settlement \h"/>
    </w:p>
    <w:p>
      <w:pPr>
        <w:tabs>
          <w:tab w:val="right" w:pos="9360" w:leader="dot"/>
        </w:tabs>
        <w:spacing w:before="160" w:after="60"/>
        <w:ind w:left="0"/>
      </w:pPr>
      <w:hyperlink w:history="1" w:anchor="vi_the_movement_and_the_myth">
        <w:r>
          <w:rPr>
            <w:rFonts w:ascii="Georgia" w:cs="Georgia" w:eastAsia="Georgia" w:hAnsi="Georgia"/>
            <w:b/>
            <w:bCs/>
            <w:color w:val="1a1a2e"/>
            <w:sz w:val="22"/>
            <w:szCs w:val="22"/>
            <w:u w:val="single" w:color="1a1a2e"/>
          </w:rPr>
          <w:t xml:space="preserve">VI.  The Movement and the Myth</w:t>
        </w:r>
      </w:hyperlink>
      <w:tab/>
      <w:fldSimple w:instr="PAGEREF vi_the_movement_and_the_myth \h"/>
    </w:p>
    <w:p>
      <w:pPr>
        <w:tabs>
          <w:tab w:val="right" w:pos="8880" w:leader="dot"/>
        </w:tabs>
        <w:spacing w:before="60" w:after="40"/>
        <w:ind w:left="480"/>
      </w:pPr>
      <w:hyperlink w:history="1" w:anchor="two_myths_one_choice">
        <w:r>
          <w:rPr>
            <w:rFonts w:ascii="Georgia" w:cs="Georgia" w:eastAsia="Georgia" w:hAnsi="Georgia"/>
            <w:b w:val="false"/>
            <w:bCs w:val="false"/>
            <w:color w:val="2c3e6b"/>
            <w:sz w:val="20"/>
            <w:szCs w:val="20"/>
            <w:u w:val="single" w:color="2c3e6b"/>
          </w:rPr>
          <w:t xml:space="preserve">Two Myths, One Choice</w:t>
        </w:r>
      </w:hyperlink>
      <w:tab/>
      <w:fldSimple w:instr="PAGEREF two_myths_one_choice \h"/>
    </w:p>
    <w:p>
      <w:pPr>
        <w:tabs>
          <w:tab w:val="right" w:pos="8880" w:leader="dot"/>
        </w:tabs>
        <w:spacing w:before="60" w:after="40"/>
        <w:ind w:left="480"/>
      </w:pPr>
      <w:hyperlink w:history="1" w:anchor="the_coalition">
        <w:r>
          <w:rPr>
            <w:rFonts w:ascii="Georgia" w:cs="Georgia" w:eastAsia="Georgia" w:hAnsi="Georgia"/>
            <w:b w:val="false"/>
            <w:bCs w:val="false"/>
            <w:color w:val="2c3e6b"/>
            <w:sz w:val="20"/>
            <w:szCs w:val="20"/>
            <w:u w:val="single" w:color="2c3e6b"/>
          </w:rPr>
          <w:t xml:space="preserve">The Coalition</w:t>
        </w:r>
      </w:hyperlink>
      <w:tab/>
      <w:fldSimple w:instr="PAGEREF the_coalition \h"/>
    </w:p>
    <w:p>
      <w:pPr>
        <w:tabs>
          <w:tab w:val="right" w:pos="8880" w:leader="dot"/>
        </w:tabs>
        <w:spacing w:before="60" w:after="40"/>
        <w:ind w:left="480"/>
      </w:pPr>
      <w:hyperlink w:history="1" w:anchor="the_platform">
        <w:r>
          <w:rPr>
            <w:rFonts w:ascii="Georgia" w:cs="Georgia" w:eastAsia="Georgia" w:hAnsi="Georgia"/>
            <w:b w:val="false"/>
            <w:bCs w:val="false"/>
            <w:color w:val="2c3e6b"/>
            <w:sz w:val="20"/>
            <w:szCs w:val="20"/>
            <w:u w:val="single" w:color="2c3e6b"/>
          </w:rPr>
          <w:t xml:space="preserve">The Platform</w:t>
        </w:r>
      </w:hyperlink>
      <w:tab/>
      <w:fldSimple w:instr="PAGEREF the_platform \h"/>
    </w:p>
    <w:p>
      <w:pPr>
        <w:tabs>
          <w:tab w:val="right" w:pos="9360" w:leader="dot"/>
        </w:tabs>
        <w:spacing w:before="160" w:after="60"/>
        <w:ind w:left="0"/>
      </w:pPr>
      <w:hyperlink w:history="1" w:anchor="glossary">
        <w:r>
          <w:rPr>
            <w:rFonts w:ascii="Georgia" w:cs="Georgia" w:eastAsia="Georgia" w:hAnsi="Georgia"/>
            <w:b/>
            <w:bCs/>
            <w:color w:val="1a1a2e"/>
            <w:sz w:val="22"/>
            <w:szCs w:val="22"/>
            <w:u w:val="single" w:color="1a1a2e"/>
          </w:rPr>
          <w:t xml:space="preserve">Glossary</w:t>
        </w:r>
      </w:hyperlink>
      <w:tab/>
      <w:fldSimple w:instr="PAGEREF glossary \h"/>
    </w:p>
    <w:p>
      <w:pPr>
        <w:tabs>
          <w:tab w:val="right" w:pos="9360" w:leader="dot"/>
        </w:tabs>
        <w:spacing w:before="160" w:after="60"/>
        <w:ind w:left="0"/>
      </w:pPr>
      <w:hyperlink w:history="1" w:anchor="references">
        <w:r>
          <w:rPr>
            <w:rFonts w:ascii="Georgia" w:cs="Georgia" w:eastAsia="Georgia" w:hAnsi="Georgia"/>
            <w:b/>
            <w:bCs/>
            <w:color w:val="1a1a2e"/>
            <w:sz w:val="22"/>
            <w:szCs w:val="22"/>
            <w:u w:val="single" w:color="1a1a2e"/>
          </w:rPr>
          <w:t xml:space="preserve">References</w:t>
        </w:r>
      </w:hyperlink>
      <w:tab/>
      <w:fldSimple w:instr="PAGEREF references \h"/>
    </w:p>
    <w:p>
      <w:pPr>
        <w:pBdr>
          <w:bottom w:val="single" w:color="2c3e6b" w:sz="4" w:space="1"/>
        </w:pBdr>
        <w:spacing w:before="240" w:after="240"/>
      </w:pPr>
      <w:r>
        <w:t xml:space="preserve"/>
      </w:r>
    </w:p>
    <w:p>
      <w:pPr>
        <w:spacing w:before="60" w:after="60"/>
      </w:pPr>
      <w:r>
        <w:t xml:space="preserve"/>
      </w:r>
    </w:p>
    <w:p>
      <w:pPr>
        <w:pStyle w:val="Heading1"/>
        <w:spacing w:before="480" w:after="200"/>
      </w:pPr>
      <w:bookmarkStart w:name="executive_summary" w:id="1"/>
      <w:r>
        <w:rPr>
          <w:rFonts w:ascii="Georgia" w:cs="Georgia" w:eastAsia="Georgia" w:hAnsi="Georgia"/>
          <w:b/>
          <w:bCs/>
          <w:color w:val="1a1a2e"/>
          <w:sz w:val="34"/>
          <w:szCs w:val="34"/>
        </w:rPr>
        <w:t xml:space="preserve">Executive Summary</w:t>
      </w:r>
      <w:bookmarkEnd w:id="1"/>
    </w:p>
    <w:p>
      <w:pPr>
        <w:spacing w:before="100" w:after="140" w:line="320"/>
      </w:pPr>
      <w:r>
        <w:rPr>
          <w:rFonts w:ascii="Georgia" w:cs="Georgia" w:eastAsia="Georgia" w:hAnsi="Georgia"/>
          <w:sz w:val="22"/>
          <w:szCs w:val="22"/>
        </w:rPr>
        <w:t xml:space="preserve">A macroeconomic window is opening that small island economies at maritime trade intersections have historically used to leap forward. China's manufacturing overcapacity, shifting global supply chain architecture, and the Indian Ocean's emergence as the dominant trade corridor of the 21st century create conditions that are structurally favourable to Tambapanni — the island known today as Sri Lanka. References to the International Monetary Fund (IMF) and World Bank data throughout this paper draw on the October 2024 World Economic Outlook and 2024 World Development Indicators respectively.</w:t>
      </w:r>
      <w:r>
        <w:rPr>
          <w:rFonts w:ascii="Georgia" w:cs="Georgia" w:eastAsia="Georgia" w:hAnsi="Georgia"/>
          <w:color w:val="2c3e6b"/>
          <w:sz w:val="16"/>
          <w:szCs w:val="16"/>
          <w:vertAlign w:val="superscript"/>
        </w:rPr>
        <w:t xml:space="preserve">[8,13,23]</w:t>
      </w:r>
    </w:p>
    <w:p>
      <w:pPr>
        <w:spacing w:before="60" w:after="60"/>
      </w:pPr>
      <w:r>
        <w:t xml:space="preserve"/>
      </w:r>
    </w:p>
    <w:p>
      <w:pPr>
        <w:spacing w:before="100" w:after="140" w:line="320"/>
      </w:pPr>
      <w:r>
        <w:rPr>
          <w:rFonts w:ascii="Georgia" w:cs="Georgia" w:eastAsia="Georgia" w:hAnsi="Georgia"/>
          <w:sz w:val="22"/>
          <w:szCs w:val="22"/>
        </w:rPr>
        <w:t xml:space="preserve">The constraint is not geography, talent, or capital availability. The constraint is institutional. A state built on ethnic and religious patronage cannot negotiate binding long-term infrastructure contracts, cannot attract the regulatory environment that global technology and financial services clients require, and cannot make credible commitments to foreign partners without those commitments being reversed by the next electoral cycle.</w:t>
      </w:r>
      <w:r>
        <w:rPr>
          <w:rFonts w:ascii="Georgia" w:cs="Georgia" w:eastAsia="Georgia" w:hAnsi="Georgia"/>
          <w:color w:val="2c3e6b"/>
          <w:sz w:val="16"/>
          <w:szCs w:val="16"/>
          <w:vertAlign w:val="superscript"/>
        </w:rPr>
        <w:t xml:space="preserve">[2,11]</w:t>
      </w:r>
    </w:p>
    <w:p>
      <w:pPr>
        <w:spacing w:before="60" w:after="60"/>
      </w:pPr>
      <w:r>
        <w:t xml:space="preserve"/>
      </w:r>
    </w:p>
    <w:p>
      <w:pPr>
        <w:spacing w:before="100" w:after="140" w:line="320"/>
      </w:pPr>
      <w:r>
        <w:rPr>
          <w:rFonts w:ascii="Georgia" w:cs="Georgia" w:eastAsia="Georgia" w:hAnsi="Georgia"/>
          <w:sz w:val="22"/>
          <w:szCs w:val="22"/>
        </w:rPr>
        <w:t xml:space="preserve">This paper makes three arguments. First, the window is real and time-limited — the macroeconomic conditions that enabled Singapore, Taiwan, South Korea, Estonia, Rwanda, and Mauritius to leap forward each operated within a specific temporal window. Second, capturing the window requires not infrastructure spending but institutional reform — specifically the construction of an impartial state apparatus prior to ethnicity and religion in its founding logic. Third, the agent of that reform is not the state itself but a coalition of actors who share a forward-looking myth of national identity — prosperity as the shared telos, religion and language as personal rather than civic affairs.</w:t>
      </w:r>
      <w:r>
        <w:rPr>
          <w:rFonts w:ascii="Georgia" w:cs="Georgia" w:eastAsia="Georgia" w:hAnsi="Georgia"/>
          <w:color w:val="2c3e6b"/>
          <w:sz w:val="16"/>
          <w:szCs w:val="16"/>
          <w:vertAlign w:val="superscript"/>
        </w:rPr>
        <w:t xml:space="preserve">[2,6,10]</w:t>
      </w:r>
    </w:p>
    <w:p>
      <w:pPr>
        <w:spacing w:before="60" w:after="60"/>
      </w:pPr>
      <w:r>
        <w:t xml:space="preserve"/>
      </w:r>
    </w:p>
    <w:p>
      <w:pPr>
        <w:spacing w:before="100" w:after="140" w:line="320"/>
      </w:pPr>
      <w:r>
        <w:rPr>
          <w:rFonts w:ascii="Georgia" w:cs="Georgia" w:eastAsia="Georgia" w:hAnsi="Georgia"/>
          <w:sz w:val="22"/>
          <w:szCs w:val="22"/>
        </w:rPr>
        <w:t xml:space="preserve">The call to action is addressed to anyone — business, investor, policy maker, citizen — who aligns with that forward-looking myth and is prepared to act on it.</w:t>
      </w:r>
    </w:p>
    <w:p>
      <w:pPr>
        <w:spacing w:before="60" w:after="60"/>
      </w:pPr>
      <w:r>
        <w:t xml:space="preserve"/>
      </w:r>
    </w:p>
    <w:p>
      <w:pPr>
        <w:pBdr>
          <w:bottom w:val="single" w:color="2c3e6b" w:sz="4" w:space="1"/>
        </w:pBdr>
        <w:spacing w:before="240" w:after="240"/>
      </w:pPr>
      <w:r>
        <w:t xml:space="preserve"/>
      </w:r>
    </w:p>
    <w:p>
      <w:pPr>
        <w:pStyle w:val="Heading1"/>
        <w:spacing w:before="480" w:after="200"/>
      </w:pPr>
      <w:bookmarkStart w:name="i_the_window" w:id="2"/>
      <w:r>
        <w:rPr>
          <w:rFonts w:ascii="Georgia" w:cs="Georgia" w:eastAsia="Georgia" w:hAnsi="Georgia"/>
          <w:b/>
          <w:bCs/>
          <w:color w:val="1a1a2e"/>
          <w:sz w:val="34"/>
          <w:szCs w:val="34"/>
        </w:rPr>
        <w:t xml:space="preserve">I. The Window</w:t>
      </w:r>
      <w:bookmarkEnd w:id="2"/>
    </w:p>
    <w:p>
      <w:pPr>
        <w:spacing w:before="100" w:after="140" w:line="320"/>
      </w:pPr>
      <w:r>
        <w:rPr>
          <w:rFonts w:ascii="Georgia" w:cs="Georgia" w:eastAsia="Georgia" w:hAnsi="Georgia"/>
          <w:sz w:val="22"/>
          <w:szCs w:val="22"/>
        </w:rPr>
        <w:t xml:space="preserve">Structural macroeconomic shifts of the kind now underway do not wait. They open, they close, and the economies positioned to receive them at the moment of opening are the ones that leap. The ones that are not positioned receive the disruption without the benefit.</w:t>
      </w:r>
      <w:r>
        <w:rPr>
          <w:rFonts w:ascii="Georgia" w:cs="Georgia" w:eastAsia="Georgia" w:hAnsi="Georgia"/>
          <w:color w:val="2c3e6b"/>
          <w:sz w:val="16"/>
          <w:szCs w:val="16"/>
          <w:vertAlign w:val="superscript"/>
        </w:rPr>
        <w:t xml:space="preserve">[8,12]</w:t>
      </w:r>
    </w:p>
    <w:p>
      <w:pPr>
        <w:spacing w:before="60" w:after="60"/>
      </w:pPr>
      <w:r>
        <w:t xml:space="preserve"/>
      </w:r>
    </w:p>
    <w:p>
      <w:pPr>
        <w:pStyle w:val="Heading2"/>
        <w:spacing w:before="320" w:after="160"/>
      </w:pPr>
      <w:bookmarkStart w:name="china_s_manufacturing_overcapacity" w:id="3"/>
      <w:r>
        <w:rPr>
          <w:rFonts w:ascii="Georgia" w:cs="Georgia" w:eastAsia="Georgia" w:hAnsi="Georgia"/>
          <w:b/>
          <w:bCs/>
          <w:color w:val="2c3e6b"/>
          <w:sz w:val="26"/>
          <w:szCs w:val="26"/>
        </w:rPr>
        <w:t xml:space="preserve">China's Manufacturing Overcapacity</w:t>
      </w:r>
      <w:bookmarkEnd w:id="3"/>
    </w:p>
    <w:p>
      <w:pPr>
        <w:spacing w:before="100" w:after="140" w:line="320"/>
      </w:pPr>
      <w:r>
        <w:rPr>
          <w:rFonts w:ascii="Georgia" w:cs="Georgia" w:eastAsia="Georgia" w:hAnsi="Georgia"/>
          <w:sz w:val="22"/>
          <w:szCs w:val="22"/>
        </w:rPr>
        <w:t xml:space="preserve">China built manufacturing capacity to supply a level of global demand that is now structurally declining. The combination of demographic contraction, domestic consumption rebalancing, and geopolitical supply chain diversification means that Chinese manufacturing capacity — in steel, electronics, solar, shipping infrastructure, construction — is available at scale and at cost that it has not been at any point in the previous two decades.</w:t>
      </w:r>
      <w:r>
        <w:rPr>
          <w:rFonts w:ascii="Georgia" w:cs="Georgia" w:eastAsia="Georgia" w:hAnsi="Georgia"/>
          <w:color w:val="2c3e6b"/>
          <w:sz w:val="16"/>
          <w:szCs w:val="16"/>
          <w:vertAlign w:val="superscript"/>
        </w:rPr>
        <w:t xml:space="preserve">[13]</w:t>
      </w:r>
    </w:p>
    <w:p>
      <w:pPr>
        <w:spacing w:before="60" w:after="60"/>
      </w:pPr>
      <w:r>
        <w:t xml:space="preserve"/>
      </w:r>
    </w:p>
    <w:p>
      <w:pPr>
        <w:spacing w:before="100" w:after="140" w:line="320"/>
      </w:pPr>
      <w:r>
        <w:rPr>
          <w:rFonts w:ascii="Georgia" w:cs="Georgia" w:eastAsia="Georgia" w:hAnsi="Georgia"/>
          <w:sz w:val="22"/>
          <w:szCs w:val="22"/>
        </w:rPr>
        <w:t xml:space="preserve">For an economy that needs to build port infrastructure, logistics networks, data centres, and commercial real estate, this is not a threat to manage. It is capacity to consume. The question is not whether Chinese manufacturing overcapacity exists. It does. The question is which economies have the institutional quality to negotiate the contracts, deploy the capacity, and capture the value.</w:t>
      </w:r>
      <w:r>
        <w:rPr>
          <w:rFonts w:ascii="Georgia" w:cs="Georgia" w:eastAsia="Georgia" w:hAnsi="Georgia"/>
          <w:color w:val="2c3e6b"/>
          <w:sz w:val="16"/>
          <w:szCs w:val="16"/>
          <w:vertAlign w:val="superscript"/>
        </w:rPr>
        <w:t xml:space="preserve">[13]</w:t>
      </w:r>
    </w:p>
    <w:p>
      <w:pPr>
        <w:spacing w:before="60" w:after="60"/>
      </w:pPr>
      <w:r>
        <w:t xml:space="preserve"/>
      </w:r>
    </w:p>
    <w:p>
      <w:pPr>
        <w:spacing w:before="100" w:after="140" w:line="320"/>
      </w:pPr>
      <w:r>
        <w:rPr>
          <w:rFonts w:ascii="Georgia" w:cs="Georgia" w:eastAsia="Georgia" w:hAnsi="Georgia"/>
          <w:sz w:val="22"/>
          <w:szCs w:val="22"/>
        </w:rPr>
        <w:t xml:space="preserve">Hohpe’s outsourcing chapter makes the unit of value explicit:</w:t>
      </w:r>
      <w:r>
        <w:rPr>
          <w:rFonts w:ascii="Georgia" w:cs="Georgia" w:eastAsia="Georgia" w:hAnsi="Georgia"/>
          <w:color w:val="2c3e6b"/>
          <w:sz w:val="16"/>
          <w:szCs w:val="16"/>
          <w:vertAlign w:val="superscript"/>
        </w:rPr>
        <w:t xml:space="preserve">[5]</w:t>
      </w:r>
    </w:p>
    <w:p>
      <w:pPr>
        <w:spacing w:before="60" w:after="60"/>
      </w:pPr>
      <w:r>
        <w:t xml:space="preserve"/>
      </w:r>
    </w:p>
    <w:p>
      <w:pPr>
        <w:pBdr>
          <w:left w:val="single" w:color="2c3e6b" w:sz="12" w:space="20"/>
        </w:pBdr>
        <w:spacing w:before="160" w:after="160" w:line="300"/>
        <w:ind w:left="720" w:right="720"/>
      </w:pPr>
      <w:r>
        <w:rPr>
          <w:rFonts w:ascii="Georgia" w:cs="Georgia" w:eastAsia="Georgia" w:hAnsi="Georgia"/>
          <w:i/>
          <w:iCs/>
          <w:color w:val="4a5568"/>
          <w:sz w:val="21"/>
          <w:szCs w:val="21"/>
        </w:rPr>
        <w:t xml:space="preserve">You can lease an electric power generator by the kWh produced or a train engine by the passenger mile traveled. If a train engine doesn’t run, the manufacturer doesn’t get to charge the customer. Instead, the manufacturer takes the hit because the customer won’t pay for the passenger kilometers that could not be achieved.</w:t>
      </w:r>
      <w:r>
        <w:rPr>
          <w:rFonts w:ascii="Georgia" w:cs="Georgia" w:eastAsia="Georgia" w:hAnsi="Georgia"/>
          <w:color w:val="2c3e6b"/>
          <w:sz w:val="16"/>
          <w:szCs w:val="16"/>
          <w:vertAlign w:val="superscript"/>
        </w:rPr>
        <w:t xml:space="preserve">[5]</w:t>
      </w:r>
    </w:p>
    <w:p>
      <w:pPr>
        <w:spacing w:before="60" w:after="60"/>
      </w:pPr>
      <w:r>
        <w:t xml:space="preserve"/>
      </w:r>
    </w:p>
    <w:p>
      <w:pPr>
        <w:spacing w:before="100" w:after="140" w:line="320"/>
      </w:pPr>
      <w:r>
        <w:rPr>
          <w:rFonts w:ascii="Georgia" w:cs="Georgia" w:eastAsia="Georgia" w:hAnsi="Georgia"/>
          <w:sz w:val="22"/>
          <w:szCs w:val="22"/>
        </w:rPr>
        <w:t xml:space="preserve">This is Economies of Speed logic applied to physical infrastructure. In an Economies of Scale world, you own the train and amortise the capital cost over projected passenger demand. In an Economies of Speed world, you buy the rate of output — the passenger kilometre — because the world changes too fast for fixed asset ownership to be the right unit of value. The feedback loop this creates aligns incentives for quality in a way that asset ownership never does.</w:t>
      </w:r>
      <w:r>
        <w:rPr>
          <w:rFonts w:ascii="Georgia" w:cs="Georgia" w:eastAsia="Georgia" w:hAnsi="Georgia"/>
          <w:color w:val="2c3e6b"/>
          <w:sz w:val="16"/>
          <w:szCs w:val="16"/>
          <w:vertAlign w:val="superscript"/>
        </w:rPr>
        <w:t xml:space="preserve">[5]</w:t>
      </w:r>
    </w:p>
    <w:p>
      <w:pPr>
        <w:spacing w:before="60" w:after="60"/>
      </w:pPr>
      <w:r>
        <w:t xml:space="preserve"/>
      </w:r>
    </w:p>
    <w:p>
      <w:pPr>
        <w:spacing w:before="100" w:after="140" w:line="320"/>
      </w:pPr>
      <w:r>
        <w:rPr>
          <w:rFonts w:ascii="Georgia" w:cs="Georgia" w:eastAsia="Georgia" w:hAnsi="Georgia"/>
          <w:sz w:val="22"/>
          <w:szCs w:val="22"/>
        </w:rPr>
        <w:t xml:space="preserve">Tambapanni does not need to own the factory. It needs to consume the manufacturing capacity as a service — building the port, the logistics corridor, the legal and financial infrastructure that turns Chinese overcapacity into Tambapanni-originated value. The unit of measure shifts from asset ownership to output capture.</w:t>
      </w:r>
      <w:r>
        <w:rPr>
          <w:rFonts w:ascii="Georgia" w:cs="Georgia" w:eastAsia="Georgia" w:hAnsi="Georgia"/>
          <w:color w:val="2c3e6b"/>
          <w:sz w:val="16"/>
          <w:szCs w:val="16"/>
          <w:vertAlign w:val="superscript"/>
        </w:rPr>
        <w:t xml:space="preserve">[5]</w:t>
      </w:r>
    </w:p>
    <w:p>
      <w:pPr>
        <w:spacing w:before="60" w:after="60"/>
      </w:pPr>
      <w:r>
        <w:t xml:space="preserve"/>
      </w:r>
    </w:p>
    <w:p>
      <w:pPr>
        <w:pStyle w:val="Heading2"/>
        <w:spacing w:before="320" w:after="160"/>
      </w:pPr>
      <w:bookmarkStart w:name="the_indian_ocean_positioning" w:id="4"/>
      <w:r>
        <w:rPr>
          <w:rFonts w:ascii="Georgia" w:cs="Georgia" w:eastAsia="Georgia" w:hAnsi="Georgia"/>
          <w:b/>
          <w:bCs/>
          <w:color w:val="2c3e6b"/>
          <w:sz w:val="26"/>
          <w:szCs w:val="26"/>
        </w:rPr>
        <w:t xml:space="preserve">The Indian Ocean Positioning</w:t>
      </w:r>
      <w:bookmarkEnd w:id="4"/>
    </w:p>
    <w:p>
      <w:pPr>
        <w:spacing w:before="100" w:after="140" w:line="320"/>
      </w:pPr>
      <w:r>
        <w:rPr>
          <w:rFonts w:ascii="Georgia" w:cs="Georgia" w:eastAsia="Georgia" w:hAnsi="Georgia"/>
          <w:sz w:val="22"/>
          <w:szCs w:val="22"/>
        </w:rPr>
        <w:t xml:space="preserve">Tambapanni sits at the intersection of the two dominant trade corridors of the 21st century Indian Ocean: the East-West corridor from the Strait of Malacca to the Gulf of Aden, and the North-South corridor from the Gulf of Mannar to the Arabian Sea.</w:t>
      </w:r>
      <w:r>
        <w:rPr>
          <w:rFonts w:ascii="Georgia" w:cs="Georgia" w:eastAsia="Georgia" w:hAnsi="Georgia"/>
          <w:color w:val="2c3e6b"/>
          <w:sz w:val="16"/>
          <w:szCs w:val="16"/>
          <w:vertAlign w:val="superscript"/>
        </w:rPr>
        <w:t xml:space="preserve">[22,23]</w:t>
      </w:r>
    </w:p>
    <w:p>
      <w:pPr>
        <w:spacing w:before="60" w:after="60"/>
      </w:pPr>
      <w:r>
        <w:t xml:space="preserve"/>
      </w:r>
    </w:p>
    <w:p>
      <w:pPr>
        <w:spacing w:before="100" w:after="140" w:line="320"/>
      </w:pPr>
      <w:r>
        <w:rPr>
          <w:rFonts w:ascii="Georgia" w:cs="Georgia" w:eastAsia="Georgia" w:hAnsi="Georgia"/>
          <w:sz w:val="22"/>
          <w:szCs w:val="22"/>
        </w:rPr>
        <w:t xml:space="preserve">Colombo port is already one of the top 25 container transhipment hubs in the world by volume. The natural deepwater harbour at Trincomalee is one of the finest in the Indian Ocean and has never been developed to its potential. The island's geographic position cannot be replicated — it is structurally fixed — and it sits between the two largest emerging consumer markets in the world: India and Southeast Asia.</w:t>
      </w:r>
      <w:r>
        <w:rPr>
          <w:rFonts w:ascii="Georgia" w:cs="Georgia" w:eastAsia="Georgia" w:hAnsi="Georgia"/>
          <w:color w:val="2c3e6b"/>
          <w:sz w:val="16"/>
          <w:szCs w:val="16"/>
          <w:vertAlign w:val="superscript"/>
        </w:rPr>
        <w:t xml:space="preserve">[22]</w:t>
      </w:r>
    </w:p>
    <w:p>
      <w:pPr>
        <w:spacing w:before="60" w:after="60"/>
      </w:pPr>
      <w:r>
        <w:t xml:space="preserve"/>
      </w:r>
    </w:p>
    <w:p>
      <w:pPr>
        <w:spacing w:before="100" w:after="140" w:line="320"/>
      </w:pPr>
      <w:r>
        <w:rPr>
          <w:rFonts w:ascii="Georgia" w:cs="Georgia" w:eastAsia="Georgia" w:hAnsi="Georgia"/>
          <w:sz w:val="22"/>
          <w:szCs w:val="22"/>
        </w:rPr>
        <w:t xml:space="preserve">The time-zone position is equally significant and consistently underexploited. Tambapanni sits between Singapore (GMT+8) and Dubai (GMT+4) — covering the gap between the two dominant Asian financial centres. A financial services hub positioned here would provide continuous market coverage that neither Singapore nor Dubai alone can offer.</w:t>
      </w:r>
      <w:r>
        <w:rPr>
          <w:rFonts w:ascii="Georgia" w:cs="Georgia" w:eastAsia="Georgia" w:hAnsi="Georgia"/>
          <w:color w:val="2c3e6b"/>
          <w:sz w:val="16"/>
          <w:szCs w:val="16"/>
          <w:vertAlign w:val="superscript"/>
        </w:rPr>
        <w:t xml:space="preserve">[16]</w:t>
      </w:r>
    </w:p>
    <w:p>
      <w:pPr>
        <w:spacing w:before="60" w:after="60"/>
      </w:pPr>
      <w:r>
        <w:t xml:space="preserve"/>
      </w:r>
    </w:p>
    <w:p>
      <w:pPr>
        <w:pStyle w:val="Heading2"/>
        <w:spacing w:before="320" w:after="160"/>
      </w:pPr>
      <w:bookmarkStart w:name="the_comparisons_what_the_window_looked_l" w:id="5"/>
      <w:r>
        <w:rPr>
          <w:rFonts w:ascii="Georgia" w:cs="Georgia" w:eastAsia="Georgia" w:hAnsi="Georgia"/>
          <w:b/>
          <w:bCs/>
          <w:color w:val="2c3e6b"/>
          <w:sz w:val="26"/>
          <w:szCs w:val="26"/>
        </w:rPr>
        <w:t xml:space="preserve">The Comparisons: What the Window Looked Like Elsewhere</w:t>
      </w:r>
      <w:bookmarkEnd w:id="5"/>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Georgia" w:cs="Georgia" w:eastAsia="Georgia" w:hAnsi="Georgia"/>
                <w:b/>
                <w:bCs/>
                <w:color w:val="FFFFFF"/>
                <w:sz w:val="18"/>
                <w:szCs w:val="18"/>
              </w:rPr>
              <w:t xml:space="preserve">Economy</w:t>
            </w:r>
          </w:p>
        </w:tc>
        <w:tc>
          <w:tcPr>
            <w:tcW w:type="dxa" w:w="234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Georgia" w:cs="Georgia" w:eastAsia="Georgia" w:hAnsi="Georgia"/>
                <w:b/>
                <w:bCs/>
                <w:color w:val="FFFFFF"/>
                <w:sz w:val="18"/>
                <w:szCs w:val="18"/>
              </w:rPr>
              <w:t xml:space="preserve">Starting Point</w:t>
            </w:r>
          </w:p>
        </w:tc>
        <w:tc>
          <w:tcPr>
            <w:tcW w:type="dxa" w:w="234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Georgia" w:cs="Georgia" w:eastAsia="Georgia" w:hAnsi="Georgia"/>
                <w:b/>
                <w:bCs/>
                <w:color w:val="FFFFFF"/>
                <w:sz w:val="18"/>
                <w:szCs w:val="18"/>
              </w:rPr>
              <w:t xml:space="preserve">Starting Conditions</w:t>
            </w:r>
          </w:p>
        </w:tc>
        <w:tc>
          <w:tcPr>
            <w:tcW w:type="dxa" w:w="234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Georgia" w:cs="Georgia" w:eastAsia="Georgia" w:hAnsi="Georgia"/>
                <w:b/>
                <w:bCs/>
                <w:color w:val="FFFFFF"/>
                <w:sz w:val="18"/>
                <w:szCs w:val="18"/>
              </w:rPr>
              <w:t xml:space="preserve">Institutional Lever</w:t>
            </w:r>
          </w:p>
        </w:tc>
      </w:tr>
      <w:tr>
        <w:tc>
          <w:tcPr>
            <w:tcW w:type="dxa" w:w="234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Georgia" w:cs="Georgia" w:eastAsia="Georgia" w:hAnsi="Georgia"/>
                <w:sz w:val="18"/>
                <w:szCs w:val="18"/>
              </w:rPr>
              <w:t xml:space="preserve">Singapore</w:t>
            </w:r>
          </w:p>
        </w:tc>
        <w:tc>
          <w:tcPr>
            <w:tcW w:type="dxa" w:w="234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Georgia" w:cs="Georgia" w:eastAsia="Georgia" w:hAnsi="Georgia"/>
                <w:sz w:val="18"/>
                <w:szCs w:val="18"/>
              </w:rPr>
              <w:t xml:space="preserve">1965</w:t>
            </w:r>
          </w:p>
        </w:tc>
        <w:tc>
          <w:tcPr>
            <w:tcW w:type="dxa" w:w="234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Georgia" w:cs="Georgia" w:eastAsia="Georgia" w:hAnsi="Georgia"/>
                <w:sz w:val="18"/>
                <w:szCs w:val="18"/>
              </w:rPr>
              <w:t xml:space="preserve">Expelled from Malaysia, zero natural resources, ethnic tensions</w:t>
            </w:r>
          </w:p>
        </w:tc>
        <w:tc>
          <w:tcPr>
            <w:tcW w:type="dxa" w:w="234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Georgia" w:cs="Georgia" w:eastAsia="Georgia" w:hAnsi="Georgia"/>
                <w:sz w:val="18"/>
                <w:szCs w:val="18"/>
              </w:rPr>
              <w:t xml:space="preserve">Impartial state, meritocratic civil service, enforceable contracts, strategic trade positioning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18"/>
                <w:szCs w:val="18"/>
              </w:rPr>
              <w:t xml:space="preserve">Estonia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18"/>
                <w:szCs w:val="18"/>
              </w:rPr>
              <w:t xml:space="preserve">1991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18"/>
                <w:szCs w:val="18"/>
              </w:rPr>
              <w:t xml:space="preserve">Soviet collapse, 1.3M population, no institutional inheritance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18"/>
                <w:szCs w:val="18"/>
              </w:rPr>
              <w:t xml:space="preserve">Digital-first government, e-residency, NATO/EU integration, institutional quality as the product</w:t>
            </w:r>
          </w:p>
        </w:tc>
      </w:tr>
      <w:tr>
        <w:tc>
          <w:tcPr>
            <w:tcW w:type="dxa" w:w="234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Georgia" w:cs="Georgia" w:eastAsia="Georgia" w:hAnsi="Georgia"/>
                <w:sz w:val="18"/>
                <w:szCs w:val="18"/>
              </w:rPr>
              <w:t xml:space="preserve">Rwanda</w:t>
            </w:r>
          </w:p>
        </w:tc>
        <w:tc>
          <w:tcPr>
            <w:tcW w:type="dxa" w:w="234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Georgia" w:cs="Georgia" w:eastAsia="Georgia" w:hAnsi="Georgia"/>
                <w:sz w:val="18"/>
                <w:szCs w:val="18"/>
              </w:rPr>
              <w:t xml:space="preserve">1994</w:t>
            </w:r>
          </w:p>
        </w:tc>
        <w:tc>
          <w:tcPr>
            <w:tcW w:type="dxa" w:w="234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Georgia" w:cs="Georgia" w:eastAsia="Georgia" w:hAnsi="Georgia"/>
                <w:sz w:val="18"/>
                <w:szCs w:val="18"/>
              </w:rPr>
              <w:t xml:space="preserve">Post-genocide reconstruction, landlocked, devastated institutions</w:t>
            </w:r>
          </w:p>
        </w:tc>
        <w:tc>
          <w:tcPr>
            <w:tcW w:type="dxa" w:w="234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Georgia" w:cs="Georgia" w:eastAsia="Georgia" w:hAnsi="Georgia"/>
                <w:sz w:val="18"/>
                <w:szCs w:val="18"/>
              </w:rPr>
              <w:t xml:space="preserve">Meritocratic civil service reform, anti-corruption enforcement, regional logistics hub strategy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18"/>
                <w:szCs w:val="18"/>
              </w:rPr>
              <w:t xml:space="preserve">Mauritius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18"/>
                <w:szCs w:val="18"/>
              </w:rPr>
              <w:t xml:space="preserve">1968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18"/>
                <w:szCs w:val="18"/>
              </w:rPr>
              <w:t xml:space="preserve">Small island, plural society, sugar monoculture, colonial legacy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18"/>
                <w:szCs w:val="18"/>
              </w:rPr>
              <w:t xml:space="preserve">Independent judiciary, financial services hub, civic rather than ethnic constitutional settlement</w:t>
            </w:r>
          </w:p>
        </w:tc>
      </w:tr>
    </w:tbl>
    <w:p>
      <w:pPr>
        <w:spacing w:before="60" w:after="60"/>
      </w:pPr>
      <w:r>
        <w:t xml:space="preserve"/>
      </w:r>
    </w:p>
    <w:p>
      <w:pPr>
        <w:spacing w:before="100" w:after="140" w:line="320"/>
      </w:pPr>
      <w:r>
        <w:rPr>
          <w:rFonts w:ascii="Georgia" w:cs="Georgia" w:eastAsia="Georgia" w:hAnsi="Georgia"/>
          <w:sz w:val="22"/>
          <w:szCs w:val="22"/>
        </w:rPr>
        <w:t xml:space="preserve">None of these economies leapt by spending more on infrastructure. Each leapt by building institutional quality first — and then using that quality to attract capital, position in trade flows, and negotiate from strength. The infrastructure followed the institutions, not the other way around.</w:t>
      </w:r>
      <w:r>
        <w:rPr>
          <w:rFonts w:ascii="Georgia" w:cs="Georgia" w:eastAsia="Georgia" w:hAnsi="Georgia"/>
          <w:color w:val="2c3e6b"/>
          <w:sz w:val="16"/>
          <w:szCs w:val="16"/>
          <w:vertAlign w:val="superscript"/>
        </w:rPr>
        <w:t xml:space="preserve">[2,11]</w:t>
      </w:r>
    </w:p>
    <w:p>
      <w:pPr>
        <w:spacing w:before="60" w:after="60"/>
      </w:pPr>
      <w:r>
        <w:t xml:space="preserve"/>
      </w:r>
    </w:p>
    <w:p>
      <w:pPr>
        <w:pBdr>
          <w:bottom w:val="single" w:color="2c3e6b" w:sz="4" w:space="1"/>
        </w:pBdr>
        <w:spacing w:before="240" w:after="240"/>
      </w:pPr>
      <w:r>
        <w:t xml:space="preserve"/>
      </w:r>
    </w:p>
    <w:p>
      <w:pPr>
        <w:pStyle w:val="Heading1"/>
        <w:spacing w:before="480" w:after="200"/>
      </w:pPr>
      <w:bookmarkStart w:name="ia_comparative_advantage_not_competitive" w:id="6"/>
      <w:r>
        <w:rPr>
          <w:rFonts w:ascii="Georgia" w:cs="Georgia" w:eastAsia="Georgia" w:hAnsi="Georgia"/>
          <w:b/>
          <w:bCs/>
          <w:color w:val="1a1a2e"/>
          <w:sz w:val="34"/>
          <w:szCs w:val="34"/>
        </w:rPr>
        <w:t xml:space="preserve">Ia. Comparative Advantage, Not Competitive Advantage</w:t>
      </w:r>
      <w:bookmarkEnd w:id="6"/>
    </w:p>
    <w:p>
      <w:pPr>
        <w:spacing w:before="100" w:after="140" w:line="320"/>
      </w:pPr>
      <w:r>
        <w:rPr>
          <w:rFonts w:ascii="Georgia" w:cs="Georgia" w:eastAsia="Georgia" w:hAnsi="Georgia"/>
          <w:sz w:val="22"/>
          <w:szCs w:val="22"/>
        </w:rPr>
        <w:t xml:space="preserve">Before establishing the hub-and-spoke architecture, a foundational economic distinction must be made — one that development policy in Tambapanni has consistently conflated, at significant cost.</w:t>
      </w:r>
      <w:r>
        <w:rPr>
          <w:rFonts w:ascii="Georgia" w:cs="Georgia" w:eastAsia="Georgia" w:hAnsi="Georgia"/>
          <w:color w:val="2c3e6b"/>
          <w:sz w:val="16"/>
          <w:szCs w:val="16"/>
          <w:vertAlign w:val="superscript"/>
        </w:rPr>
        <w:t xml:space="preserve">[30,31]</w:t>
      </w:r>
    </w:p>
    <w:p>
      <w:pPr>
        <w:spacing w:before="60" w:after="60"/>
      </w:pPr>
      <w:r>
        <w:t xml:space="preserve"/>
      </w:r>
    </w:p>
    <w:p>
      <w:pPr>
        <w:pStyle w:val="Heading2"/>
        <w:spacing w:before="320" w:after="160"/>
      </w:pPr>
      <w:bookmarkStart w:name="the_distinction" w:id="7"/>
      <w:r>
        <w:rPr>
          <w:rFonts w:ascii="Georgia" w:cs="Georgia" w:eastAsia="Georgia" w:hAnsi="Georgia"/>
          <w:b/>
          <w:bCs/>
          <w:color w:val="2c3e6b"/>
          <w:sz w:val="26"/>
          <w:szCs w:val="26"/>
        </w:rPr>
        <w:t xml:space="preserve">The Distinction</w:t>
      </w:r>
      <w:bookmarkEnd w:id="7"/>
    </w:p>
    <w:p>
      <w:pPr>
        <w:spacing w:before="100" w:after="140" w:line="320"/>
      </w:pPr>
      <w:r>
        <w:rPr>
          <w:rFonts w:ascii="Georgia" w:cs="Georgia" w:eastAsia="Georgia" w:hAnsi="Georgia"/>
          <w:sz w:val="22"/>
          <w:szCs w:val="22"/>
        </w:rPr>
        <w:t xml:space="preserve">Comparative advantage, as Ricardo established in 1817, is what you can produce at lower relative opportunity cost than others — given your endowments, your geography, your factor conditions.</w:t>
      </w:r>
      <w:r>
        <w:rPr>
          <w:rFonts w:ascii="Georgia" w:cs="Georgia" w:eastAsia="Georgia" w:hAnsi="Georgia"/>
          <w:color w:val="2c3e6b"/>
          <w:sz w:val="16"/>
          <w:szCs w:val="16"/>
          <w:vertAlign w:val="superscript"/>
        </w:rPr>
        <w:t xml:space="preserve">[30]</w:t>
      </w:r>
    </w:p>
    <w:p>
      <w:pPr>
        <w:spacing w:before="60" w:after="60"/>
      </w:pPr>
      <w:r>
        <w:t xml:space="preserve"/>
      </w:r>
    </w:p>
    <w:p>
      <w:pPr>
        <w:pBdr>
          <w:left w:val="single" w:color="2c3e6b" w:sz="12" w:space="20"/>
        </w:pBdr>
        <w:spacing w:before="160" w:after="160" w:line="300"/>
        <w:ind w:left="720" w:right="720"/>
      </w:pPr>
      <w:r>
        <w:rPr>
          <w:rFonts w:ascii="Georgia" w:cs="Georgia" w:eastAsia="Georgia" w:hAnsi="Georgia"/>
          <w:i/>
          <w:iCs/>
          <w:color w:val="4a5568"/>
          <w:sz w:val="21"/>
          <w:szCs w:val="21"/>
        </w:rPr>
        <w:t xml:space="preserve">It is not by the absolute superiority of production that trade is determined, but by the relative. A country ought to import what it is relatively worse at producing, and export what it is relatively better at.</w:t>
      </w:r>
      <w:r>
        <w:rPr>
          <w:rFonts w:ascii="Georgia" w:cs="Georgia" w:eastAsia="Georgia" w:hAnsi="Georgia"/>
          <w:color w:val="2c3e6b"/>
          <w:sz w:val="16"/>
          <w:szCs w:val="16"/>
          <w:vertAlign w:val="superscript"/>
        </w:rPr>
        <w:t xml:space="preserve">[30]</w:t>
      </w:r>
    </w:p>
    <w:p>
      <w:pPr>
        <w:spacing w:before="60" w:after="60"/>
      </w:pPr>
      <w:r>
        <w:t xml:space="preserve"/>
      </w:r>
    </w:p>
    <w:p>
      <w:pPr>
        <w:spacing w:before="100" w:after="140" w:line="320"/>
      </w:pPr>
      <w:r>
        <w:rPr>
          <w:rFonts w:ascii="Georgia" w:cs="Georgia" w:eastAsia="Georgia" w:hAnsi="Georgia"/>
          <w:sz w:val="22"/>
          <w:szCs w:val="22"/>
        </w:rPr>
        <w:t xml:space="preserve">Competitive advantage, as Porter articulated in 1990, is what you build through deliberate strategy — cluster development, innovation infrastructure, institutional investment. It is manufactured, not endowed. It can be created anywhere with sufficient investment and the right policies.</w:t>
      </w:r>
      <w:r>
        <w:rPr>
          <w:rFonts w:ascii="Georgia" w:cs="Georgia" w:eastAsia="Georgia" w:hAnsi="Georgia"/>
          <w:color w:val="2c3e6b"/>
          <w:sz w:val="16"/>
          <w:szCs w:val="16"/>
          <w:vertAlign w:val="superscript"/>
        </w:rPr>
        <w:t xml:space="preserve">[31]</w:t>
      </w:r>
    </w:p>
    <w:p>
      <w:pPr>
        <w:spacing w:before="60" w:after="60"/>
      </w:pPr>
      <w:r>
        <w:t xml:space="preserve"/>
      </w:r>
    </w:p>
    <w:p>
      <w:pPr>
        <w:spacing w:before="100" w:after="140" w:line="320"/>
      </w:pPr>
      <w:r>
        <w:rPr>
          <w:rFonts w:ascii="Georgia" w:cs="Georgia" w:eastAsia="Georgia" w:hAnsi="Georgia"/>
          <w:sz w:val="22"/>
          <w:szCs w:val="22"/>
        </w:rPr>
        <w:t xml:space="preserve">The distinction matters because they require completely different policy responses. Comparative advantage says: identify what you have that others do not, and build the institutional infrastructure to monetise it. Competitive advantage says: identify what you want to be good at, and invest until you are. Pursuing competitive advantage without first leveraging comparative advantage is the equivalent of building a factory in the wrong location — you are fighting geography rather than using it.</w:t>
      </w:r>
      <w:r>
        <w:rPr>
          <w:rFonts w:ascii="Georgia" w:cs="Georgia" w:eastAsia="Georgia" w:hAnsi="Georgia"/>
          <w:color w:val="2c3e6b"/>
          <w:sz w:val="16"/>
          <w:szCs w:val="16"/>
          <w:vertAlign w:val="superscript"/>
        </w:rPr>
        <w:t xml:space="preserve">[30,31]</w:t>
      </w:r>
    </w:p>
    <w:p>
      <w:pPr>
        <w:spacing w:before="60" w:after="60"/>
      </w:pPr>
      <w:r>
        <w:t xml:space="preserve"/>
      </w:r>
    </w:p>
    <w:p>
      <w:pPr>
        <w:pStyle w:val="Heading2"/>
        <w:spacing w:before="320" w:after="160"/>
      </w:pPr>
      <w:bookmarkStart w:name="tambapanni_s_comparative_advantages_are_" w:id="8"/>
      <w:r>
        <w:rPr>
          <w:rFonts w:ascii="Georgia" w:cs="Georgia" w:eastAsia="Georgia" w:hAnsi="Georgia"/>
          <w:b/>
          <w:bCs/>
          <w:color w:val="2c3e6b"/>
          <w:sz w:val="26"/>
          <w:szCs w:val="26"/>
        </w:rPr>
        <w:t xml:space="preserve">Tambapanni's Comparative Advantages Are Structural and Unearned</w:t>
      </w:r>
      <w:bookmarkEnd w:id="8"/>
    </w:p>
    <w:p>
      <w:pPr>
        <w:spacing w:before="100" w:after="140" w:line="320"/>
      </w:pPr>
      <w:r>
        <w:rPr>
          <w:rFonts w:ascii="Georgia" w:cs="Georgia" w:eastAsia="Georgia" w:hAnsi="Georgia"/>
          <w:sz w:val="22"/>
          <w:szCs w:val="22"/>
        </w:rPr>
        <w:t xml:space="preserve">Tambapanni did not choose its geographic position. It did not earn its location at the intersection of the Indian Ocean's two dominant trade corridors. It did not decide to sit between Singapore and Dubai in the time-zone map of global financial centres. These are endowed advantages — comparative advantages in Ricardo's sense — that exist regardless of what the political system does.</w:t>
      </w:r>
      <w:r>
        <w:rPr>
          <w:rFonts w:ascii="Georgia" w:cs="Georgia" w:eastAsia="Georgia" w:hAnsi="Georgia"/>
          <w:color w:val="2c3e6b"/>
          <w:sz w:val="16"/>
          <w:szCs w:val="16"/>
          <w:vertAlign w:val="superscript"/>
        </w:rPr>
        <w:t xml:space="preserve">[22,23]</w:t>
      </w:r>
    </w:p>
    <w:p>
      <w:pPr>
        <w:spacing w:before="60" w:after="60"/>
      </w:pPr>
      <w:r>
        <w:t xml:space="preserve"/>
      </w:r>
    </w:p>
    <w:p>
      <w:pPr>
        <w:spacing w:before="100" w:after="140" w:line="320"/>
      </w:pPr>
      <w:r>
        <w:rPr>
          <w:rFonts w:ascii="Georgia" w:cs="Georgia" w:eastAsia="Georgia" w:hAnsi="Georgia"/>
          <w:sz w:val="22"/>
          <w:szCs w:val="22"/>
        </w:rPr>
        <w:t xml:space="preserve">The full inventory of structural comparative advantages: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Maritime intersection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The East-West corridor from the Strait of Malacca to Suez and the North-South corridor from the Gulf of Mannar to the Arabian Sea intersect at Tambapanni's doorstep. No policy decision created this. No policy decision can destroy it.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Deep-water natural harbours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Trincomalee is one of the finest natural deep-water harbours in the Indian Ocean. This is geology. It requires investment to realise but not to exist.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Time-zone positioning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GMT+5:30 sits between Singapore (GMT+8) and Dubai (GMT+4). This is a structural financial services advantage that cannot be replicated by any economy that does not occupy this longitude.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Linguistic capital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English-proficient professional workforce at the intersection of South Asian and Southeast Asian cultural networks. This is a human capital comparative advantage built over generations that patronage politics has systematically exported rather than deployed.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Indian Ocean centrality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As the Indian Ocean emerges as the dominant trade theatre of the 21st century — with India and ASEAN as its two poles — Tambapanni's centrality in that theatre increases structurally regardless of domestic policy.</w:t>
            </w:r>
          </w:p>
        </w:tc>
      </w:tr>
    </w:tbl>
    <w:p>
      <w:pPr>
        <w:spacing w:before="60" w:after="60"/>
      </w:pPr>
      <w:r>
        <w:t xml:space="preserve"/>
      </w:r>
    </w:p>
    <w:p>
      <w:pPr>
        <w:pStyle w:val="Heading2"/>
        <w:spacing w:before="320" w:after="160"/>
      </w:pPr>
      <w:bookmarkStart w:name="where_tambapanni_has_been_looking_instea" w:id="9"/>
      <w:r>
        <w:rPr>
          <w:rFonts w:ascii="Georgia" w:cs="Georgia" w:eastAsia="Georgia" w:hAnsi="Georgia"/>
          <w:b/>
          <w:bCs/>
          <w:color w:val="2c3e6b"/>
          <w:sz w:val="26"/>
          <w:szCs w:val="26"/>
        </w:rPr>
        <w:t xml:space="preserve">Where Tambapanni Has Been Looking Instead</w:t>
      </w:r>
      <w:bookmarkEnd w:id="9"/>
    </w:p>
    <w:p>
      <w:pPr>
        <w:spacing w:before="100" w:after="140" w:line="320"/>
      </w:pPr>
      <w:r>
        <w:rPr>
          <w:rFonts w:ascii="Georgia" w:cs="Georgia" w:eastAsia="Georgia" w:hAnsi="Georgia"/>
          <w:sz w:val="22"/>
          <w:szCs w:val="22"/>
        </w:rPr>
        <w:t xml:space="preserve">For the past five decades, Tambapanni's development policy has pursued competitive advantage strategies — garment manufacturing, tea export premium positioning, software services — without first building the institutional infrastructure that converts comparative advantage into economic outcomes.</w:t>
      </w:r>
      <w:r>
        <w:rPr>
          <w:rFonts w:ascii="Georgia" w:cs="Georgia" w:eastAsia="Georgia" w:hAnsi="Georgia"/>
          <w:color w:val="2c3e6b"/>
          <w:sz w:val="16"/>
          <w:szCs w:val="16"/>
          <w:vertAlign w:val="superscript"/>
        </w:rPr>
        <w:t xml:space="preserve">[7,31]</w:t>
      </w:r>
    </w:p>
    <w:p>
      <w:pPr>
        <w:spacing w:before="60" w:after="60"/>
      </w:pPr>
      <w:r>
        <w:t xml:space="preserve"/>
      </w:r>
    </w:p>
    <w:p>
      <w:pPr>
        <w:spacing w:before="100" w:after="140" w:line="320"/>
      </w:pPr>
      <w:r>
        <w:rPr>
          <w:rFonts w:ascii="Georgia" w:cs="Georgia" w:eastAsia="Georgia" w:hAnsi="Georgia"/>
          <w:sz w:val="22"/>
          <w:szCs w:val="22"/>
        </w:rPr>
        <w:t xml:space="preserve">Krugman's critique of competitive advantage thinking in national economic policy is directly applicable here.</w:t>
      </w:r>
      <w:r>
        <w:rPr>
          <w:rFonts w:ascii="Georgia" w:cs="Georgia" w:eastAsia="Georgia" w:hAnsi="Georgia"/>
          <w:color w:val="2c3e6b"/>
          <w:sz w:val="16"/>
          <w:szCs w:val="16"/>
          <w:vertAlign w:val="superscript"/>
        </w:rPr>
        <w:t xml:space="preserve">[32]</w:t>
      </w:r>
    </w:p>
    <w:p>
      <w:pPr>
        <w:spacing w:before="60" w:after="60"/>
      </w:pPr>
      <w:r>
        <w:t xml:space="preserve"/>
      </w:r>
    </w:p>
    <w:p>
      <w:pPr>
        <w:pBdr>
          <w:left w:val="single" w:color="2c3e6b" w:sz="12" w:space="20"/>
        </w:pBdr>
        <w:spacing w:before="160" w:after="160" w:line="300"/>
        <w:ind w:left="720" w:right="720"/>
      </w:pPr>
      <w:r>
        <w:rPr>
          <w:rFonts w:ascii="Georgia" w:cs="Georgia" w:eastAsia="Georgia" w:hAnsi="Georgia"/>
          <w:i/>
          <w:iCs/>
          <w:color w:val="4a5568"/>
          <w:sz w:val="21"/>
          <w:szCs w:val="21"/>
        </w:rPr>
        <w:t xml:space="preserve">Competitiveness is a dangerous obsession. Nations do not compete the way firms do. A nation that tries to become competitive — rather than productive — misallocates its resources chasing what it has decided it should be good at, rather than what it is structurally positioned to do.</w:t>
      </w:r>
      <w:r>
        <w:rPr>
          <w:rFonts w:ascii="Georgia" w:cs="Georgia" w:eastAsia="Georgia" w:hAnsi="Georgia"/>
          <w:color w:val="2c3e6b"/>
          <w:sz w:val="16"/>
          <w:szCs w:val="16"/>
          <w:vertAlign w:val="superscript"/>
        </w:rPr>
        <w:t xml:space="preserve">[32]</w:t>
      </w:r>
    </w:p>
    <w:p>
      <w:pPr>
        <w:spacing w:before="60" w:after="60"/>
      </w:pPr>
      <w:r>
        <w:t xml:space="preserve"/>
      </w:r>
    </w:p>
    <w:p>
      <w:pPr>
        <w:spacing w:before="100" w:after="140" w:line="320"/>
      </w:pPr>
      <w:r>
        <w:rPr>
          <w:rFonts w:ascii="Georgia" w:cs="Georgia" w:eastAsia="Georgia" w:hAnsi="Georgia"/>
          <w:sz w:val="22"/>
          <w:szCs w:val="22"/>
        </w:rPr>
        <w:t xml:space="preserve">Tambapanni has been trying to compete in garments against Bangladesh and Vietnam — which have lower labour costs. It has been trying to compete in tea against Kenya and India — which have larger scale. It has been trying to build a technology sector against India and the Philippines — which have larger talent pools and more established client relationships.</w:t>
      </w:r>
      <w:r>
        <w:rPr>
          <w:rFonts w:ascii="Georgia" w:cs="Georgia" w:eastAsia="Georgia" w:hAnsi="Georgia"/>
          <w:color w:val="2c3e6b"/>
          <w:sz w:val="16"/>
          <w:szCs w:val="16"/>
          <w:vertAlign w:val="superscript"/>
        </w:rPr>
        <w:t xml:space="preserve">[7]</w:t>
      </w:r>
    </w:p>
    <w:p>
      <w:pPr>
        <w:spacing w:before="60" w:after="60"/>
      </w:pPr>
      <w:r>
        <w:t xml:space="preserve"/>
      </w:r>
    </w:p>
    <w:p>
      <w:pPr>
        <w:spacing w:before="100" w:after="140" w:line="320"/>
      </w:pPr>
      <w:r>
        <w:rPr>
          <w:rFonts w:ascii="Georgia" w:cs="Georgia" w:eastAsia="Georgia" w:hAnsi="Georgia"/>
          <w:sz w:val="22"/>
          <w:szCs w:val="22"/>
        </w:rPr>
        <w:t xml:space="preserve">None of these are wrong sectors. But pursuing them as competitive advantage plays — rather than as expressions of comparative advantage — means fighting against relative disadvantage rather than building on relative advantage. It is the economic equivalent of the constitutional transplantation problem LKY identified: trying to be something you are not structured to be, rather than building on what you are structurally positioned to become.</w:t>
      </w:r>
      <w:r>
        <w:rPr>
          <w:rFonts w:ascii="Georgia" w:cs="Georgia" w:eastAsia="Georgia" w:hAnsi="Georgia"/>
          <w:color w:val="2c3e6b"/>
          <w:sz w:val="16"/>
          <w:szCs w:val="16"/>
          <w:vertAlign w:val="superscript"/>
        </w:rPr>
        <w:t xml:space="preserve">[3,31]</w:t>
      </w:r>
    </w:p>
    <w:p>
      <w:pPr>
        <w:spacing w:before="60" w:after="60"/>
      </w:pPr>
      <w:r>
        <w:t xml:space="preserve"/>
      </w:r>
    </w:p>
    <w:p>
      <w:pPr>
        <w:pStyle w:val="Heading2"/>
        <w:spacing w:before="320" w:after="160"/>
      </w:pPr>
      <w:bookmarkStart w:name="the_correct_frame_converting_comparative" w:id="10"/>
      <w:r>
        <w:rPr>
          <w:rFonts w:ascii="Georgia" w:cs="Georgia" w:eastAsia="Georgia" w:hAnsi="Georgia"/>
          <w:b/>
          <w:bCs/>
          <w:color w:val="2c3e6b"/>
          <w:sz w:val="26"/>
          <w:szCs w:val="26"/>
        </w:rPr>
        <w:t xml:space="preserve">The Correct Frame: Converting Comparative Into Competitive</w:t>
      </w:r>
      <w:bookmarkEnd w:id="10"/>
    </w:p>
    <w:p>
      <w:pPr>
        <w:spacing w:before="100" w:after="140" w:line="320"/>
      </w:pPr>
      <w:r>
        <w:rPr>
          <w:rFonts w:ascii="Georgia" w:cs="Georgia" w:eastAsia="Georgia" w:hAnsi="Georgia"/>
          <w:sz w:val="22"/>
          <w:szCs w:val="22"/>
        </w:rPr>
        <w:t xml:space="preserve">The Ricardo-to-Porter pathway is the correct development sequence for Tambapanni. It has three steps:</w:t>
      </w:r>
      <w:r>
        <w:rPr>
          <w:rFonts w:ascii="Georgia" w:cs="Georgia" w:eastAsia="Georgia" w:hAnsi="Georgia"/>
          <w:color w:val="2c3e6b"/>
          <w:sz w:val="16"/>
          <w:szCs w:val="16"/>
          <w:vertAlign w:val="superscript"/>
        </w:rPr>
        <w:t xml:space="preserve">[30,31,33]</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Step 1: Identify the comparative advantages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Geographic position, natural harbours, time-zone, linguistic capital, Indian Ocean centrality. These exist now. They require no investment to be real.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Step 2: Build the institutional infrastructure to monetise them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The impartial state, credible dispute resolution, meritocratic civil service, civic constitutional settlement. These convert comparative advantage into accessible value. Without this step, the comparative advantages exist but cannot be captured.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Step 3: Layer competitive advantage on the comparative base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Once the institutional infrastructure exists and the comparative advantages are monetised, invest in the sectors — technology services, financial services, advanced logistics, digital economy — that build genuine competitive advantages within the hub architecture.</w:t>
            </w:r>
          </w:p>
        </w:tc>
      </w:tr>
    </w:tbl>
    <w:p>
      <w:pPr>
        <w:spacing w:before="60" w:after="60"/>
      </w:pPr>
      <w:r>
        <w:t xml:space="preserve"/>
      </w:r>
    </w:p>
    <w:p>
      <w:pPr>
        <w:spacing w:before="100" w:after="140" w:line="320"/>
      </w:pPr>
      <w:r>
        <w:rPr>
          <w:rFonts w:ascii="Georgia" w:cs="Georgia" w:eastAsia="Georgia" w:hAnsi="Georgia"/>
          <w:sz w:val="22"/>
          <w:szCs w:val="22"/>
        </w:rPr>
        <w:t xml:space="preserve">What Tambapanni has been doing is attempting Step 3 without completing Steps 1 and 2. The competitive advantage investments — tourism infrastructure, technology parks, export processing zones — sit on an institutional foundation that cannot support them. The investments produce assets. The assets cannot generate returns at scale because the institutional operating system to run them does not exist.</w:t>
      </w:r>
      <w:r>
        <w:rPr>
          <w:rFonts w:ascii="Georgia" w:cs="Georgia" w:eastAsia="Georgia" w:hAnsi="Georgia"/>
          <w:color w:val="2c3e6b"/>
          <w:sz w:val="16"/>
          <w:szCs w:val="16"/>
          <w:vertAlign w:val="superscript"/>
        </w:rPr>
        <w:t xml:space="preserve">[11,7]</w:t>
      </w:r>
    </w:p>
    <w:p>
      <w:pPr>
        <w:spacing w:before="60" w:after="60"/>
      </w:pPr>
      <w:r>
        <w:t xml:space="preserve"/>
      </w:r>
    </w:p>
    <w:p>
      <w:pPr>
        <w:spacing w:before="100" w:after="140" w:line="320"/>
      </w:pPr>
      <w:r>
        <w:rPr>
          <w:rFonts w:ascii="Georgia" w:cs="Georgia" w:eastAsia="Georgia" w:hAnsi="Georgia"/>
          <w:sz w:val="22"/>
          <w:szCs w:val="22"/>
        </w:rPr>
        <w:t xml:space="preserve">Hausmann, Hwang, and Rodrik's empirical work on export complexity establishes the underlying principle: what you export reveals the productive capabilities you have already built. The Harvard Growth Lab's Economic Complexity Index makes this measurable. The data validates the argument directly.</w:t>
      </w:r>
      <w:r>
        <w:rPr>
          <w:rFonts w:ascii="Georgia" w:cs="Georgia" w:eastAsia="Georgia" w:hAnsi="Georgia"/>
          <w:color w:val="2c3e6b"/>
          <w:sz w:val="16"/>
          <w:szCs w:val="16"/>
          <w:vertAlign w:val="superscript"/>
        </w:rPr>
        <w:t xml:space="preserve">[33,38]</w:t>
      </w:r>
    </w:p>
    <w:p>
      <w:pPr>
        <w:spacing w:before="60" w:after="60"/>
      </w:pPr>
      <w:r>
        <w:t xml:space="preserve"/>
      </w:r>
    </w:p>
    <w:p>
      <w:pPr>
        <w:spacing w:before="80" w:after="120"/>
      </w:pPr>
      <w:r>
        <w:rPr>
          <w:rFonts w:ascii="Georgia" w:cs="Georgia" w:eastAsia="Georgia" w:hAnsi="Georgia"/>
          <w:b/>
          <w:bCs/>
          <w:color w:val="2c3e6b"/>
          <w:sz w:val="20"/>
          <w:szCs w:val="20"/>
        </w:rPr>
        <w:t xml:space="preserve">Economic Complexity Index (ECI) Rankings, 2021  —  Harvard Growth Lab / Observatory of Economic Complexity (OEC)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Singapore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ECI +1.83  —  ranked 5th globally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Malaysia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ECI +0.95  —  ranked 28th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India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ECI +0.48  —  ranked 43rd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Mauritius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ECI −0.17  —  ranked 74th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Sri Lanka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ECI −0.24  —  ranked 83rd  (below global average)</w:t>
            </w:r>
          </w:p>
        </w:tc>
      </w:tr>
    </w:tbl>
    <w:p>
      <w:pPr>
        <w:spacing w:before="60" w:after="60"/>
      </w:pPr>
      <w:r>
        <w:t xml:space="preserve"/>
      </w:r>
    </w:p>
    <w:p>
      <w:pPr>
        <w:spacing w:before="100" w:after="140" w:line="320"/>
      </w:pPr>
      <w:r>
        <w:rPr>
          <w:rFonts w:ascii="Georgia" w:cs="Georgia" w:eastAsia="Georgia" w:hAnsi="Georgia"/>
          <w:sz w:val="22"/>
          <w:szCs w:val="22"/>
        </w:rPr>
        <w:t xml:space="preserve">Sri Lanka's export basket confirms the ECI score precisely. Garments and textiles constitute 52% of merchandise exports; tea 17%; rubber 8%. The five largest individual export lines by value in 2023 were brassieres, tea, solid rubber tyres, knitted gloves, and T-shirts — all low-complexity, highly replicable commodity products that require no meaningful institutional infrastructure to produce. The ECI is not a judgment. It is a readout.</w:t>
      </w:r>
      <w:r>
        <w:rPr>
          <w:rFonts w:ascii="Georgia" w:cs="Georgia" w:eastAsia="Georgia" w:hAnsi="Georgia"/>
          <w:color w:val="2c3e6b"/>
          <w:sz w:val="16"/>
          <w:szCs w:val="16"/>
          <w:vertAlign w:val="superscript"/>
        </w:rPr>
        <w:t xml:space="preserve">[38]</w:t>
      </w:r>
    </w:p>
    <w:p>
      <w:pPr>
        <w:spacing w:before="60" w:after="60"/>
      </w:pPr>
      <w:r>
        <w:t xml:space="preserve"/>
      </w:r>
    </w:p>
    <w:p>
      <w:pPr>
        <w:spacing w:before="100" w:after="140" w:line="320"/>
      </w:pPr>
      <w:r>
        <w:rPr>
          <w:rFonts w:ascii="Georgia" w:cs="Georgia" w:eastAsia="Georgia" w:hAnsi="Georgia"/>
          <w:sz w:val="22"/>
          <w:szCs w:val="22"/>
        </w:rPr>
        <w:t xml:space="preserve">One further signal is worth naming directly. Remittances from Sri Lankan workers abroad run at approximately $6–7 billion annually — larger than any single merchandise export category. Remittances do not appear in the ECI because they are not traded goods. Their scale relative to merchandise exports is itself a complexity signal: the most productive economic output Tambapanni currently sends to the world is its people's labour, not its manufactured or knowledge-intensive goods.</w:t>
      </w:r>
      <w:r>
        <w:rPr>
          <w:rFonts w:ascii="Georgia" w:cs="Georgia" w:eastAsia="Georgia" w:hAnsi="Georgia"/>
          <w:color w:val="2c3e6b"/>
          <w:sz w:val="16"/>
          <w:szCs w:val="16"/>
          <w:vertAlign w:val="superscript"/>
        </w:rPr>
        <w:t xml:space="preserve">[7,38]</w:t>
      </w:r>
    </w:p>
    <w:p>
      <w:pPr>
        <w:spacing w:before="60" w:after="60"/>
      </w:pPr>
      <w:r>
        <w:t xml:space="preserve"/>
      </w:r>
    </w:p>
    <w:p>
      <w:pPr>
        <w:spacing w:before="100" w:after="140" w:line="320"/>
      </w:pPr>
      <w:r>
        <w:rPr>
          <w:rFonts w:ascii="Georgia" w:cs="Georgia" w:eastAsia="Georgia" w:hAnsi="Georgia"/>
          <w:sz w:val="22"/>
          <w:szCs w:val="22"/>
        </w:rPr>
        <w:t xml:space="preserve">The ECI data adds a nuance that the document's argument requires. Sri Lanka's Complexity Outlook Index — which measures how many more complex products are structurally 'nearby' given a country's current capabilities — is +0.59. A positive COI with a negative ECI is precisely the profile the Growth Lab identifies as having the strongest potential for complexity-driven growth. The productive capabilities for more complex exports exist in latent form. The constraint is not capability. It is institutional. This is the empirical version of the same argument this paper makes from first principles: the comparative advantage is real, the potential is measurable, and the binding constraint is the institutional infrastructure that would allow it to be realised.</w:t>
      </w:r>
      <w:r>
        <w:rPr>
          <w:rFonts w:ascii="Georgia" w:cs="Georgia" w:eastAsia="Georgia" w:hAnsi="Georgia"/>
          <w:color w:val="2c3e6b"/>
          <w:sz w:val="16"/>
          <w:szCs w:val="16"/>
          <w:vertAlign w:val="superscript"/>
        </w:rPr>
        <w:t xml:space="preserve">[33,38]</w:t>
      </w:r>
    </w:p>
    <w:p>
      <w:pPr>
        <w:spacing w:before="60" w:after="60"/>
      </w:pPr>
      <w:r>
        <w:t xml:space="preserve"/>
      </w:r>
    </w:p>
    <w:p>
      <w:pPr>
        <w:spacing w:before="100" w:after="140" w:line="320"/>
      </w:pPr>
      <w:r>
        <w:rPr>
          <w:rFonts w:ascii="Georgia" w:cs="Georgia" w:eastAsia="Georgia" w:hAnsi="Georgia"/>
          <w:sz w:val="22"/>
          <w:szCs w:val="22"/>
        </w:rPr>
        <w:t xml:space="preserve">The hub-and-spoke model is fundamentally a comparative advantage play. It says: use what you have — the geographic position, the maritime intersection, the time-zone gap — and build the institutional infrastructure that makes those endowments productive. The COI data says the same thing from the export complexity direction: the capabilities are adjacent. Institution-building is what converts the COI potential into ECI reality.</w:t>
      </w:r>
      <w:r>
        <w:rPr>
          <w:rFonts w:ascii="Georgia" w:cs="Georgia" w:eastAsia="Georgia" w:hAnsi="Georgia"/>
          <w:color w:val="2c3e6b"/>
          <w:sz w:val="16"/>
          <w:szCs w:val="16"/>
          <w:vertAlign w:val="superscript"/>
        </w:rPr>
        <w:t xml:space="preserve">[5,22,38]</w:t>
      </w:r>
    </w:p>
    <w:p>
      <w:pPr>
        <w:spacing w:before="60" w:after="60"/>
      </w:pPr>
      <w:r>
        <w:t xml:space="preserve"/>
      </w:r>
    </w:p>
    <w:p>
      <w:pPr>
        <w:pBdr>
          <w:bottom w:val="single" w:color="2c3e6b" w:sz="4" w:space="1"/>
        </w:pBdr>
        <w:spacing w:before="240" w:after="240"/>
      </w:pPr>
      <w:r>
        <w:t xml:space="preserve"/>
      </w:r>
    </w:p>
    <w:p>
      <w:pPr>
        <w:pStyle w:val="Heading1"/>
        <w:spacing w:before="480" w:after="200"/>
      </w:pPr>
      <w:bookmarkStart w:name="ic_the_education_trap_what_the_remittanc" w:id="11"/>
      <w:r>
        <w:rPr>
          <w:rFonts w:ascii="Georgia" w:cs="Georgia" w:eastAsia="Georgia" w:hAnsi="Georgia"/>
          <w:b/>
          <w:bCs/>
          <w:color w:val="1a1a2e"/>
          <w:sz w:val="34"/>
          <w:szCs w:val="34"/>
        </w:rPr>
        <w:t xml:space="preserve">Ic. The Education Trap: What the Remittance Signal Obscures</w:t>
      </w:r>
      <w:bookmarkEnd w:id="11"/>
    </w:p>
    <w:p>
      <w:pPr>
        <w:spacing w:before="100" w:after="140" w:line="320"/>
      </w:pPr>
      <w:r>
        <w:rPr>
          <w:rFonts w:ascii="Georgia" w:cs="Georgia" w:eastAsia="Georgia" w:hAnsi="Georgia"/>
          <w:sz w:val="22"/>
          <w:szCs w:val="22"/>
        </w:rPr>
        <w:t xml:space="preserve">The standard account of Tambapanni's brain drain runs as follows: the state trains valuable human capital, that capital emigrates, and remittances partially compensate for the loss. The policy instinct this generates is retention — keep more graduates in country, and the problem is solved.</w:t>
      </w:r>
      <w:r>
        <w:rPr>
          <w:rFonts w:ascii="Georgia" w:cs="Georgia" w:eastAsia="Georgia" w:hAnsi="Georgia"/>
          <w:color w:val="2c3e6b"/>
          <w:sz w:val="16"/>
          <w:szCs w:val="16"/>
          <w:vertAlign w:val="superscript"/>
        </w:rPr>
        <w:t xml:space="preserve">[42]</w:t>
      </w:r>
    </w:p>
    <w:p>
      <w:pPr>
        <w:spacing w:before="60" w:after="60"/>
      </w:pPr>
      <w:r>
        <w:t xml:space="preserve"/>
      </w:r>
    </w:p>
    <w:p>
      <w:pPr>
        <w:spacing w:before="100" w:after="140" w:line="320"/>
      </w:pPr>
      <w:r>
        <w:rPr>
          <w:rFonts w:ascii="Georgia" w:cs="Georgia" w:eastAsia="Georgia" w:hAnsi="Georgia"/>
          <w:sz w:val="22"/>
          <w:szCs w:val="22"/>
        </w:rPr>
        <w:t xml:space="preserve">This framing is wrong in two directions simultaneously, and the empirical evidence makes both errors measurable.</w:t>
      </w:r>
      <w:r>
        <w:rPr>
          <w:rFonts w:ascii="Georgia" w:cs="Georgia" w:eastAsia="Georgia" w:hAnsi="Georgia"/>
          <w:color w:val="2c3e6b"/>
          <w:sz w:val="16"/>
          <w:szCs w:val="16"/>
          <w:vertAlign w:val="superscript"/>
        </w:rPr>
        <w:t xml:space="preserve">[39,40,41,42]</w:t>
      </w:r>
    </w:p>
    <w:p>
      <w:pPr>
        <w:spacing w:before="60" w:after="60"/>
      </w:pPr>
      <w:r>
        <w:t xml:space="preserve"/>
      </w:r>
    </w:p>
    <w:p>
      <w:pPr>
        <w:pStyle w:val="Heading2"/>
        <w:spacing w:before="320" w:after="160"/>
      </w:pPr>
      <w:bookmarkStart w:name="what_the_university_system_actually_prod" w:id="12"/>
      <w:r>
        <w:rPr>
          <w:rFonts w:ascii="Georgia" w:cs="Georgia" w:eastAsia="Georgia" w:hAnsi="Georgia"/>
          <w:b/>
          <w:bCs/>
          <w:color w:val="2c3e6b"/>
          <w:sz w:val="26"/>
          <w:szCs w:val="26"/>
        </w:rPr>
        <w:t xml:space="preserve">What the University System Actually Produces</w:t>
      </w:r>
      <w:bookmarkEnd w:id="12"/>
    </w:p>
    <w:p>
      <w:pPr>
        <w:spacing w:before="100" w:after="140" w:line="320"/>
      </w:pPr>
      <w:r>
        <w:rPr>
          <w:rFonts w:ascii="Georgia" w:cs="Georgia" w:eastAsia="Georgia" w:hAnsi="Georgia"/>
          <w:sz w:val="22"/>
          <w:szCs w:val="22"/>
        </w:rPr>
        <w:t xml:space="preserve">The University of Colombo, Tambapanni's highest-ranked institution, sits between 951st and 1,000th in the QS World University Rankings 2025 — out of over 1,500 ranked institutions globally. Only three Sri Lankan universities appear in the rankings at all. No Sri Lankan institution appears in any subject-specific global top 500.</w:t>
      </w:r>
      <w:r>
        <w:rPr>
          <w:rFonts w:ascii="Georgia" w:cs="Georgia" w:eastAsia="Georgia" w:hAnsi="Georgia"/>
          <w:color w:val="2c3e6b"/>
          <w:sz w:val="16"/>
          <w:szCs w:val="16"/>
          <w:vertAlign w:val="superscript"/>
        </w:rPr>
        <w:t xml:space="preserve">[39]</w:t>
      </w:r>
    </w:p>
    <w:p>
      <w:pPr>
        <w:spacing w:before="60" w:after="60"/>
      </w:pPr>
      <w:r>
        <w:t xml:space="preserve"/>
      </w:r>
    </w:p>
    <w:p>
      <w:pPr>
        <w:spacing w:before="80" w:after="120"/>
      </w:pPr>
      <w:r>
        <w:rPr>
          <w:rFonts w:ascii="Georgia" w:cs="Georgia" w:eastAsia="Georgia" w:hAnsi="Georgia"/>
          <w:b/>
          <w:bCs/>
          <w:color w:val="2c3e6b"/>
          <w:sz w:val="20"/>
          <w:szCs w:val="20"/>
        </w:rPr>
        <w:t xml:space="preserve">QS World University Rankings 2025  —  Regional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Singapore (NUS)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Ranked 8th globally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Malaysia (UM)</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Ranked in the 60s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India (IITs)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Ranked 150s–200s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Sri Lanka (University of Colombo)</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Ranked 951st–1,000th</w:t>
            </w:r>
          </w:p>
        </w:tc>
      </w:tr>
    </w:tbl>
    <w:p>
      <w:pPr>
        <w:spacing w:before="60" w:after="60"/>
      </w:pPr>
      <w:r>
        <w:t xml:space="preserve"/>
      </w:r>
    </w:p>
    <w:p>
      <w:pPr>
        <w:spacing w:before="100" w:after="140" w:line="320"/>
      </w:pPr>
      <w:r>
        <w:rPr>
          <w:rFonts w:ascii="Georgia" w:cs="Georgia" w:eastAsia="Georgia" w:hAnsi="Georgia"/>
          <w:sz w:val="22"/>
          <w:szCs w:val="22"/>
        </w:rPr>
        <w:t xml:space="preserve">The ranking gap reflects a structural research deficit. Sri Lanka spent 0.12% of Gross Domestic Product (GDP) on research and development in 2020 — confirmed by the National Science Foundation's own Statistical Handbook. Of that figure, the higher education sector contributes only 26.7%, meaning universities generate roughly 0.032% of GDP in research activity. The highest the national Gross Expenditure on Research and Development (GERD) figure has ever reached in the data record was 0.184%, in 1996. It has declined since. Comparative figures for Singapore (2.2%), Malaysia (1.0%), India (0.6%), and Vietnam (0.4%) are drawn from UNESCO Institute for Statistics data for 2020.</w:t>
      </w:r>
      <w:r>
        <w:rPr>
          <w:rFonts w:ascii="Georgia" w:cs="Georgia" w:eastAsia="Georgia" w:hAnsi="Georgia"/>
          <w:color w:val="2c3e6b"/>
          <w:sz w:val="16"/>
          <w:szCs w:val="16"/>
          <w:vertAlign w:val="superscript"/>
        </w:rPr>
        <w:t xml:space="preserve">[40,45]</w:t>
      </w:r>
    </w:p>
    <w:p>
      <w:pPr>
        <w:spacing w:before="60" w:after="60"/>
      </w:pPr>
      <w:r>
        <w:t xml:space="preserve"/>
      </w:r>
    </w:p>
    <w:p>
      <w:pPr>
        <w:spacing w:before="80" w:after="120"/>
      </w:pPr>
      <w:r>
        <w:rPr>
          <w:rFonts w:ascii="Georgia" w:cs="Georgia" w:eastAsia="Georgia" w:hAnsi="Georgia"/>
          <w:b/>
          <w:bCs/>
          <w:color w:val="2c3e6b"/>
          <w:sz w:val="20"/>
          <w:szCs w:val="20"/>
        </w:rPr>
        <w:t xml:space="preserve">R&amp;D Expenditure (GERD) as % of GDP  —  Regional Comparison  [UNESCO UIS 2020 data; NSF Sri Lanka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Singapore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2.2%</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Malaysia</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1.0%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India</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0.6%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Vietnam</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0.4%</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Sri Lanka</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0.12%  (universities: ~0.032%)</w:t>
            </w:r>
          </w:p>
        </w:tc>
      </w:tr>
    </w:tbl>
    <w:p>
      <w:pPr>
        <w:spacing w:before="60" w:after="60"/>
      </w:pPr>
      <w:r>
        <w:t xml:space="preserve"/>
      </w:r>
    </w:p>
    <w:p>
      <w:pPr>
        <w:spacing w:before="100" w:after="140" w:line="320"/>
      </w:pPr>
      <w:r>
        <w:rPr>
          <w:rFonts w:ascii="Georgia" w:cs="Georgia" w:eastAsia="Georgia" w:hAnsi="Georgia"/>
          <w:sz w:val="22"/>
          <w:szCs w:val="22"/>
        </w:rPr>
        <w:t xml:space="preserve">These are not indicators of a knowledge-producing system. They are indicators of an examination-processing system that carries the institutional form of a university without the productive function.</w:t>
      </w:r>
      <w:r>
        <w:rPr>
          <w:rFonts w:ascii="Georgia" w:cs="Georgia" w:eastAsia="Georgia" w:hAnsi="Georgia"/>
          <w:color w:val="2c3e6b"/>
          <w:sz w:val="16"/>
          <w:szCs w:val="16"/>
          <w:vertAlign w:val="superscript"/>
        </w:rPr>
        <w:t xml:space="preserve">[40]</w:t>
      </w:r>
    </w:p>
    <w:p>
      <w:pPr>
        <w:spacing w:before="60" w:after="60"/>
      </w:pPr>
      <w:r>
        <w:t xml:space="preserve"/>
      </w:r>
    </w:p>
    <w:p>
      <w:pPr>
        <w:pStyle w:val="Heading2"/>
        <w:spacing w:before="320" w:after="160"/>
      </w:pPr>
      <w:bookmarkStart w:name="the_curriculum_problem_rote_learning_as_" w:id="13"/>
      <w:r>
        <w:rPr>
          <w:rFonts w:ascii="Georgia" w:cs="Georgia" w:eastAsia="Georgia" w:hAnsi="Georgia"/>
          <w:b/>
          <w:bCs/>
          <w:color w:val="2c3e6b"/>
          <w:sz w:val="26"/>
          <w:szCs w:val="26"/>
        </w:rPr>
        <w:t xml:space="preserve">The Curriculum Problem: Rote Learning as Economic Policy</w:t>
      </w:r>
      <w:bookmarkEnd w:id="13"/>
    </w:p>
    <w:p>
      <w:pPr>
        <w:spacing w:before="100" w:after="140" w:line="320"/>
      </w:pPr>
      <w:r>
        <w:rPr>
          <w:rFonts w:ascii="Georgia" w:cs="Georgia" w:eastAsia="Georgia" w:hAnsi="Georgia"/>
          <w:sz w:val="22"/>
          <w:szCs w:val="22"/>
        </w:rPr>
        <w:t xml:space="preserve">In 2022, only 23% of college-age Sri Lankans were enrolled in programmes that equip students with critical thinking, language competence, and the applied skills that employers value. In 2019, only one third of all university students were in Science, Technology, Engineering and Mathematics (STEM). Of those, more than half chose biological sciences — the most exam-compatible, least industry-linked field. Sri Lanka records the highest share of Humanities and Social Sciences enrolment among comparable economies, and one of the lowest shares of Science and Engineering.</w:t>
      </w:r>
      <w:r>
        <w:rPr>
          <w:rFonts w:ascii="Georgia" w:cs="Georgia" w:eastAsia="Georgia" w:hAnsi="Georgia"/>
          <w:color w:val="2c3e6b"/>
          <w:sz w:val="16"/>
          <w:szCs w:val="16"/>
          <w:vertAlign w:val="superscript"/>
        </w:rPr>
        <w:t xml:space="preserve">[41]</w:t>
      </w:r>
    </w:p>
    <w:p>
      <w:pPr>
        <w:spacing w:before="60" w:after="60"/>
      </w:pPr>
      <w:r>
        <w:t xml:space="preserve"/>
      </w:r>
    </w:p>
    <w:p>
      <w:pPr>
        <w:spacing w:before="100" w:after="140" w:line="320"/>
      </w:pPr>
      <w:r>
        <w:rPr>
          <w:rFonts w:ascii="Georgia" w:cs="Georgia" w:eastAsia="Georgia" w:hAnsi="Georgia"/>
          <w:sz w:val="22"/>
          <w:szCs w:val="22"/>
        </w:rPr>
        <w:t xml:space="preserve">This is not accidental. It is the downstream consequence of a school system built entirely around three high-stakes examinations — Grade 5, O/Levels, A/Levels — each of which rewards memorisation and penalises divergence. Students arrive at university already shaped by a decade of exam-optimised learning. The curriculum they encounter there has been described in peer-reviewed literature as “outdated, rigid, and disconnected from the realities of the 21st-century global economy” — prioritising rote memorisation over critical thinking, theoretical knowledge over practical application, and conformity over creativity.</w:t>
      </w:r>
      <w:r>
        <w:rPr>
          <w:rFonts w:ascii="Georgia" w:cs="Georgia" w:eastAsia="Georgia" w:hAnsi="Georgia"/>
          <w:color w:val="2c3e6b"/>
          <w:sz w:val="16"/>
          <w:szCs w:val="16"/>
          <w:vertAlign w:val="superscript"/>
        </w:rPr>
        <w:t xml:space="preserve">[41,42]</w:t>
      </w:r>
    </w:p>
    <w:p>
      <w:pPr>
        <w:spacing w:before="60" w:after="60"/>
      </w:pPr>
      <w:r>
        <w:t xml:space="preserve"/>
      </w:r>
    </w:p>
    <w:p>
      <w:pPr>
        <w:spacing w:before="100" w:after="140" w:line="320"/>
      </w:pPr>
      <w:r>
        <w:rPr>
          <w:rFonts w:ascii="Georgia" w:cs="Georgia" w:eastAsia="Georgia" w:hAnsi="Georgia"/>
          <w:sz w:val="22"/>
          <w:szCs w:val="22"/>
        </w:rPr>
        <w:t xml:space="preserve">Faculty have no systematic channel for industry knowledge to enter the classroom. Curricula are designed by academics without structured private sector input. The International Labour Organization (ILO) identified the skills mismatch between university output and employer requirements in Sri Lanka in the early 1970s. Fifty years later, multiple independent employer surveys confirm the mismatch has deepened. Graduates consistently score below employer expectations on problem-solving, adaptability, and applied capability — and above expectations on technical knowledge retention. The system is producing exactly what it was designed to produce: disciplined fact-memorisers, not critical-thinking practitioners.</w:t>
      </w:r>
      <w:r>
        <w:rPr>
          <w:rFonts w:ascii="Georgia" w:cs="Georgia" w:eastAsia="Georgia" w:hAnsi="Georgia"/>
          <w:color w:val="2c3e6b"/>
          <w:sz w:val="16"/>
          <w:szCs w:val="16"/>
          <w:vertAlign w:val="superscript"/>
        </w:rPr>
        <w:t xml:space="preserve">[41,42]</w:t>
      </w:r>
    </w:p>
    <w:p>
      <w:pPr>
        <w:spacing w:before="60" w:after="60"/>
      </w:pPr>
      <w:r>
        <w:t xml:space="preserve"/>
      </w:r>
    </w:p>
    <w:p>
      <w:pPr>
        <w:spacing w:before="100" w:after="140" w:line="320"/>
      </w:pPr>
      <w:r>
        <w:rPr>
          <w:rFonts w:ascii="Georgia" w:cs="Georgia" w:eastAsia="Georgia" w:hAnsi="Georgia"/>
          <w:sz w:val="22"/>
          <w:szCs w:val="22"/>
        </w:rPr>
        <w:t xml:space="preserve">Low priority is given to research across the majority of higher education institutions, with emphasis placed on teaching undergraduates and delivering taught postgraduate programmes with no research component. PhD production is structurally decoupled from national problem-solving. The incentive system rewards publications in local journals and civil service promotion — neither of which requires that research address local problems, produce applied insights, or enter policy conversation. Universities do not systematically survey national problems or produce research designed to move them. The knowledge production function is, in practice, absent.</w:t>
      </w:r>
      <w:r>
        <w:rPr>
          <w:rFonts w:ascii="Georgia" w:cs="Georgia" w:eastAsia="Georgia" w:hAnsi="Georgia"/>
          <w:color w:val="2c3e6b"/>
          <w:sz w:val="16"/>
          <w:szCs w:val="16"/>
          <w:vertAlign w:val="superscript"/>
        </w:rPr>
        <w:t xml:space="preserve">[42]</w:t>
      </w:r>
    </w:p>
    <w:p>
      <w:pPr>
        <w:spacing w:before="60" w:after="60"/>
      </w:pPr>
      <w:r>
        <w:t xml:space="preserve"/>
      </w:r>
    </w:p>
    <w:p>
      <w:pPr>
        <w:spacing w:before="100" w:after="140" w:line="320"/>
      </w:pPr>
      <w:r>
        <w:rPr>
          <w:rFonts w:ascii="Georgia" w:cs="Georgia" w:eastAsia="Georgia" w:hAnsi="Georgia"/>
          <w:sz w:val="22"/>
          <w:szCs w:val="22"/>
        </w:rPr>
        <w:t xml:space="preserve">The system also lacks any planning mechanism that maps national professional requirements to production targets. Intake is allocated by examination performance across fixed streams. No process asks: how many of what kind of professional does this economy need? The result is chronic overproduction in politically favoured fields and structural underproduction in fields the economy needs. Universities continue graduating engineers for whom there is no domestic employment while rural hospitals collapse for want of practitioners willing to serve outside Colombo.</w:t>
      </w:r>
      <w:r>
        <w:rPr>
          <w:rFonts w:ascii="Georgia" w:cs="Georgia" w:eastAsia="Georgia" w:hAnsi="Georgia"/>
          <w:color w:val="2c3e6b"/>
          <w:sz w:val="16"/>
          <w:szCs w:val="16"/>
          <w:vertAlign w:val="superscript"/>
        </w:rPr>
        <w:t xml:space="preserve">[41,42]</w:t>
      </w:r>
    </w:p>
    <w:p>
      <w:pPr>
        <w:spacing w:before="60" w:after="60"/>
      </w:pPr>
      <w:r>
        <w:t xml:space="preserve"/>
      </w:r>
    </w:p>
    <w:p>
      <w:pPr>
        <w:pStyle w:val="Heading2"/>
        <w:spacing w:before="320" w:after="160"/>
      </w:pPr>
      <w:bookmarkStart w:name="the_remittance_misreading" w:id="14"/>
      <w:r>
        <w:rPr>
          <w:rFonts w:ascii="Georgia" w:cs="Georgia" w:eastAsia="Georgia" w:hAnsi="Georgia"/>
          <w:b/>
          <w:bCs/>
          <w:color w:val="2c3e6b"/>
          <w:sz w:val="26"/>
          <w:szCs w:val="26"/>
        </w:rPr>
        <w:t xml:space="preserve">The Remittance Misreading</w:t>
      </w:r>
      <w:bookmarkEnd w:id="14"/>
    </w:p>
    <w:p>
      <w:pPr>
        <w:spacing w:before="100" w:after="140" w:line="320"/>
      </w:pPr>
      <w:r>
        <w:rPr>
          <w:rFonts w:ascii="Georgia" w:cs="Georgia" w:eastAsia="Georgia" w:hAnsi="Georgia"/>
          <w:sz w:val="22"/>
          <w:szCs w:val="22"/>
        </w:rPr>
        <w:t xml:space="preserve">The remittance flow — approximately $6–7 billion annually, larger than any single merchandise export category — is routinely cited as evidence that Tambapanni's education system is producing globally competitive graduates. This reading is wrong, and the error is consequential. But the error runs deeper than the general argument about labour arbitrage. It begins with a misreading of who is actually sending the money.</w:t>
      </w:r>
      <w:r>
        <w:rPr>
          <w:rFonts w:ascii="Georgia" w:cs="Georgia" w:eastAsia="Georgia" w:hAnsi="Georgia"/>
          <w:color w:val="2c3e6b"/>
          <w:sz w:val="16"/>
          <w:szCs w:val="16"/>
          <w:vertAlign w:val="superscript"/>
        </w:rPr>
        <w:t xml:space="preserve">[7,42,43]</w:t>
      </w:r>
    </w:p>
    <w:p>
      <w:pPr>
        <w:spacing w:before="60" w:after="60"/>
      </w:pPr>
      <w:r>
        <w:t xml:space="preserve"/>
      </w:r>
    </w:p>
    <w:p>
      <w:pPr>
        <w:spacing w:before="100" w:after="140" w:line="320"/>
      </w:pPr>
      <w:r>
        <w:rPr>
          <w:rFonts w:ascii="Georgia" w:cs="Georgia" w:eastAsia="Georgia" w:hAnsi="Georgia"/>
          <w:sz w:val="22"/>
          <w:szCs w:val="22"/>
        </w:rPr>
        <w:t xml:space="preserve">The largest single source of Sri Lanka's remittance income is not doctors in the United Kingdom, engineers in Australia, or technology workers in the United States. It is domestic helpers — housekeepers, cooks, and caregivers — working in Middle Eastern households.</w:t>
      </w:r>
      <w:r>
        <w:rPr>
          <w:rFonts w:ascii="Georgia" w:cs="Georgia" w:eastAsia="Georgia" w:hAnsi="Georgia"/>
          <w:color w:val="2c3e6b"/>
          <w:sz w:val="16"/>
          <w:szCs w:val="16"/>
          <w:vertAlign w:val="superscript"/>
        </w:rPr>
        <w:t xml:space="preserve">[47,48,49]</w:t>
      </w:r>
    </w:p>
    <w:p>
      <w:pPr>
        <w:spacing w:before="60" w:after="60"/>
      </w:pPr>
      <w:r>
        <w:t xml:space="preserve"/>
      </w:r>
    </w:p>
    <w:p>
      <w:pPr>
        <w:spacing w:before="100" w:after="140" w:line="320"/>
      </w:pPr>
      <w:r>
        <w:rPr>
          <w:rFonts w:ascii="Georgia" w:cs="Georgia" w:eastAsia="Georgia" w:hAnsi="Georgia"/>
          <w:sz w:val="22"/>
          <w:szCs w:val="22"/>
        </w:rPr>
        <w:t xml:space="preserve">The SLBFE's own occupational breakdown makes this precise. Of the 311,056 Sri Lankans who departed for foreign employment in 2022, domestic housekeeping assistants alone accounted for 78,140 — 25.12% of all departures. When the full semi-skilled and low-skilled categories are combined, including construction workers, cleaners, and manual labourers, the figure reaches 183,649 departures — 59% of the total. Professional-level departures were 14,307, representing 4.6%. In the same year, 76.5% of all migrant departures were destined for the Middle East.</w:t>
      </w:r>
      <w:r>
        <w:rPr>
          <w:rFonts w:ascii="Georgia" w:cs="Georgia" w:eastAsia="Georgia" w:hAnsi="Georgia"/>
          <w:color w:val="2c3e6b"/>
          <w:sz w:val="16"/>
          <w:szCs w:val="16"/>
          <w:vertAlign w:val="superscript"/>
        </w:rPr>
        <w:t xml:space="preserve">[47,48]</w:t>
      </w:r>
    </w:p>
    <w:p>
      <w:pPr>
        <w:spacing w:before="60" w:after="60"/>
      </w:pPr>
      <w:r>
        <w:t xml:space="preserve"/>
      </w:r>
    </w:p>
    <w:p>
      <w:pPr>
        <w:spacing w:before="100" w:after="140" w:line="320"/>
      </w:pPr>
      <w:r>
        <w:rPr>
          <w:rFonts w:ascii="Georgia" w:cs="Georgia" w:eastAsia="Georgia" w:hAnsi="Georgia"/>
          <w:sz w:val="22"/>
          <w:szCs w:val="22"/>
        </w:rPr>
        <w:t xml:space="preserve">The geographic concentration of remittance origin confirms the occupational profile. In Q2 2023, the top sources of remittance inflow were Kuwait (11%), Qatar (10.6%), UAE (10.1%), and Saudi Arabia (9.3%) — Gulf states accounting for over 40% of tracked remittance origin. Academic analysis of the data by Withers (2024) in the Journal of Sociology establishes that approximately 51.5% of all remittances in 2019 originated from workers in West Asia, a workforce whose vast majority are in low-wage occupational categories by SLBFE classification.</w:t>
      </w:r>
      <w:r>
        <w:rPr>
          <w:rFonts w:ascii="Georgia" w:cs="Georgia" w:eastAsia="Georgia" w:hAnsi="Georgia"/>
          <w:color w:val="2c3e6b"/>
          <w:sz w:val="16"/>
          <w:szCs w:val="16"/>
          <w:vertAlign w:val="superscript"/>
        </w:rPr>
        <w:t xml:space="preserve">[48,49]</w:t>
      </w:r>
    </w:p>
    <w:p>
      <w:pPr>
        <w:spacing w:before="60" w:after="60"/>
      </w:pPr>
      <w:r>
        <w:t xml:space="preserve"/>
      </w:r>
    </w:p>
    <w:p>
      <w:pPr>
        <w:spacing w:before="100" w:after="140" w:line="320"/>
      </w:pPr>
      <w:r>
        <w:rPr>
          <w:rFonts w:ascii="Georgia" w:cs="Georgia" w:eastAsia="Georgia" w:hAnsi="Georgia"/>
          <w:sz w:val="22"/>
          <w:szCs w:val="22"/>
        </w:rPr>
        <w:t xml:space="preserve">This is not a peripheral feature of the remittance picture. It is the central feature. The majority of Sri Lanka's foreign exchange earnings from labour migration comes from women doing domestic work in Gulf households — work that requires no university degree, no professional credential, and no knowledge economy capability. The education system's output is largely irrelevant to the mechanism that generates the remittance flow.</w:t>
      </w:r>
      <w:r>
        <w:rPr>
          <w:rFonts w:ascii="Georgia" w:cs="Georgia" w:eastAsia="Georgia" w:hAnsi="Georgia"/>
          <w:color w:val="2c3e6b"/>
          <w:sz w:val="16"/>
          <w:szCs w:val="16"/>
          <w:vertAlign w:val="superscript"/>
        </w:rPr>
        <w:t xml:space="preserve">[47,48,49]</w:t>
      </w:r>
    </w:p>
    <w:p>
      <w:pPr>
        <w:spacing w:before="60" w:after="60"/>
      </w:pPr>
      <w:r>
        <w:t xml:space="preserve"/>
      </w:r>
    </w:p>
    <w:p>
      <w:pPr>
        <w:spacing w:before="100" w:after="140" w:line="320"/>
      </w:pPr>
      <w:r>
        <w:rPr>
          <w:rFonts w:ascii="Georgia" w:cs="Georgia" w:eastAsia="Georgia" w:hAnsi="Georgia"/>
          <w:sz w:val="22"/>
          <w:szCs w:val="22"/>
        </w:rPr>
        <w:t xml:space="preserve">Advanced economies also absorb Sri Lankan credentialled workers — but not because they are exceptional. They absorb them because they are adequate, cheaper than domestic equivalents, and fit the specific profile that large organisations are optimised to use: disciplined, credential-bearing, English-proficient, and institutionally deferential. A Sri Lankan doctor working as a locum consultant in the UK — a position requiring far fewer skills than their training prepared them for, as the Government Medical Officers' Association (GMOA) itself has documented — is not a signal that the UK is capturing Tambapanni's best minds. It is a signal that the UK has demand for reliable, trained, interchangeable clinical labour, and Tambapanni is supplying it at below-market cost. Doctors in the UK and Australia earn 20 to 30 times the Sri Lankan public sector salary. The migration is rational. It is not a validation of excellence.</w:t>
      </w:r>
      <w:r>
        <w:rPr>
          <w:rFonts w:ascii="Georgia" w:cs="Georgia" w:eastAsia="Georgia" w:hAnsi="Georgia"/>
          <w:color w:val="2c3e6b"/>
          <w:sz w:val="16"/>
          <w:szCs w:val="16"/>
          <w:vertAlign w:val="superscript"/>
        </w:rPr>
        <w:t xml:space="preserve">[42]</w:t>
      </w:r>
    </w:p>
    <w:p>
      <w:pPr>
        <w:spacing w:before="60" w:after="60"/>
      </w:pPr>
      <w:r>
        <w:t xml:space="preserve"/>
      </w:r>
    </w:p>
    <w:p>
      <w:pPr>
        <w:spacing w:before="100" w:after="140" w:line="320"/>
      </w:pPr>
      <w:r>
        <w:rPr>
          <w:rFonts w:ascii="Georgia" w:cs="Georgia" w:eastAsia="Georgia" w:hAnsi="Georgia"/>
          <w:sz w:val="22"/>
          <w:szCs w:val="22"/>
        </w:rPr>
        <w:t xml:space="preserve">Remittances therefore measure two separate things at once, and the aggregate figure conceals the distinction. The majority flow measures something close to the export of household labour — a real and significant contribution to foreign exchange, but one that has no relationship to the knowledge economy argument. The minority flow, from credentialled workers in advanced economies, measures labour arbitrage: the wage differential that makes it rational for adequately trained graduates to leave. Neither flow is evidence that the education system is producing the quality of mind required to build economic complexity at home. The aggregate remittance figure is being used to validate a claim that neither of its components actually supports.</w:t>
      </w:r>
      <w:r>
        <w:rPr>
          <w:rFonts w:ascii="Georgia" w:cs="Georgia" w:eastAsia="Georgia" w:hAnsi="Georgia"/>
          <w:color w:val="2c3e6b"/>
          <w:sz w:val="16"/>
          <w:szCs w:val="16"/>
          <w:vertAlign w:val="superscript"/>
        </w:rPr>
        <w:t xml:space="preserve">[38,42,47,49]</w:t>
      </w:r>
    </w:p>
    <w:p>
      <w:pPr>
        <w:spacing w:before="60" w:after="60"/>
      </w:pPr>
      <w:r>
        <w:t xml:space="preserve"/>
      </w:r>
    </w:p>
    <w:p>
      <w:pPr>
        <w:pStyle w:val="Heading2"/>
        <w:spacing w:before="320" w:after="160"/>
      </w:pPr>
      <w:bookmarkStart w:name="the_second_binding_constraint" w:id="15"/>
      <w:r>
        <w:rPr>
          <w:rFonts w:ascii="Georgia" w:cs="Georgia" w:eastAsia="Georgia" w:hAnsi="Georgia"/>
          <w:b/>
          <w:bCs/>
          <w:color w:val="2c3e6b"/>
          <w:sz w:val="26"/>
          <w:szCs w:val="26"/>
        </w:rPr>
        <w:t xml:space="preserve">The Second Binding Constraint</w:t>
      </w:r>
      <w:bookmarkEnd w:id="15"/>
    </w:p>
    <w:p>
      <w:pPr>
        <w:spacing w:before="100" w:after="140" w:line="320"/>
      </w:pPr>
      <w:r>
        <w:rPr>
          <w:rFonts w:ascii="Georgia" w:cs="Georgia" w:eastAsia="Georgia" w:hAnsi="Georgia"/>
          <w:sz w:val="22"/>
          <w:szCs w:val="22"/>
        </w:rPr>
        <w:t xml:space="preserve">The COI's positive score (+0.59) is frequently interpreted as evidence that the productive capabilities for complexity growth exist and are waiting to be unlocked by institutional reform. This interpretation is correct in principle but incomplete in practice.</w:t>
      </w:r>
      <w:r>
        <w:rPr>
          <w:rFonts w:ascii="Georgia" w:cs="Georgia" w:eastAsia="Georgia" w:hAnsi="Georgia"/>
          <w:color w:val="2c3e6b"/>
          <w:sz w:val="16"/>
          <w:szCs w:val="16"/>
          <w:vertAlign w:val="superscript"/>
        </w:rPr>
        <w:t xml:space="preserve">[33,38]</w:t>
      </w:r>
    </w:p>
    <w:p>
      <w:pPr>
        <w:spacing w:before="60" w:after="60"/>
      </w:pPr>
      <w:r>
        <w:t xml:space="preserve"/>
      </w:r>
    </w:p>
    <w:p>
      <w:pPr>
        <w:spacing w:before="100" w:after="140" w:line="320"/>
      </w:pPr>
      <w:r>
        <w:rPr>
          <w:rFonts w:ascii="Georgia" w:cs="Georgia" w:eastAsia="Georgia" w:hAnsi="Georgia"/>
          <w:sz w:val="22"/>
          <w:szCs w:val="22"/>
        </w:rPr>
        <w:t xml:space="preserve">Capabilities are not only technical knowledge. They include the institutional and cognitive habits required to organise knowledge into complex production: the ability to diagnose problems without being told the answer, to design systems under uncertainty, to iterate based on feedback, to challenge received frameworks. An economy that memorises its way to credentials but does not train inquiry, iteration, and applied problem-solving cannot convert the COI's potential into ECI reality — even with the institutional reforms this paper prescribes.</w:t>
      </w:r>
      <w:r>
        <w:rPr>
          <w:rFonts w:ascii="Georgia" w:cs="Georgia" w:eastAsia="Georgia" w:hAnsi="Georgia"/>
          <w:color w:val="2c3e6b"/>
          <w:sz w:val="16"/>
          <w:szCs w:val="16"/>
          <w:vertAlign w:val="superscript"/>
        </w:rPr>
        <w:t xml:space="preserve">[33,38,41]</w:t>
      </w:r>
    </w:p>
    <w:p>
      <w:pPr>
        <w:spacing w:before="60" w:after="60"/>
      </w:pPr>
      <w:r>
        <w:t xml:space="preserve"/>
      </w:r>
    </w:p>
    <w:p>
      <w:pPr>
        <w:spacing w:before="100" w:after="140" w:line="320"/>
      </w:pPr>
      <w:r>
        <w:rPr>
          <w:rFonts w:ascii="Georgia" w:cs="Georgia" w:eastAsia="Georgia" w:hAnsi="Georgia"/>
          <w:sz w:val="22"/>
          <w:szCs w:val="22"/>
        </w:rPr>
        <w:t xml:space="preserve">The institutional constraint and the educational constraint are related but not identical. Institutional reform creates the conditions for talent retention and productive deployment. Educational reform creates the quality of talent to deploy. Fixing the first without the second produces a well-functioning bureaucracy populated by disciplined credentialists. Fixing the second without the first produces capable people who leave. Both are required, and neither is sufficient alone.</w:t>
      </w:r>
      <w:r>
        <w:rPr>
          <w:rFonts w:ascii="Georgia" w:cs="Georgia" w:eastAsia="Georgia" w:hAnsi="Georgia"/>
          <w:color w:val="2c3e6b"/>
          <w:sz w:val="16"/>
          <w:szCs w:val="16"/>
          <w:vertAlign w:val="superscript"/>
        </w:rPr>
        <w:t xml:space="preserve">[33,38,41,42]</w:t>
      </w:r>
    </w:p>
    <w:p>
      <w:pPr>
        <w:spacing w:before="60" w:after="60"/>
      </w:pPr>
      <w:r>
        <w:t xml:space="preserve"/>
      </w:r>
    </w:p>
    <w:p>
      <w:pPr>
        <w:pStyle w:val="Heading2"/>
        <w:spacing w:before="320" w:after="160"/>
      </w:pPr>
      <w:bookmarkStart w:name="the_diaspora_as_first_capital" w:id="16"/>
      <w:r>
        <w:rPr>
          <w:rFonts w:ascii="Georgia" w:cs="Georgia" w:eastAsia="Georgia" w:hAnsi="Georgia"/>
          <w:b/>
          <w:bCs/>
          <w:color w:val="2c3e6b"/>
          <w:sz w:val="26"/>
          <w:szCs w:val="26"/>
        </w:rPr>
        <w:t xml:space="preserve">The Diaspora as First Capital</w:t>
      </w:r>
      <w:bookmarkEnd w:id="16"/>
    </w:p>
    <w:p>
      <w:pPr>
        <w:spacing w:before="100" w:after="140" w:line="320"/>
      </w:pPr>
      <w:r>
        <w:rPr>
          <w:rFonts w:ascii="Georgia" w:cs="Georgia" w:eastAsia="Georgia" w:hAnsi="Georgia"/>
          <w:sz w:val="22"/>
          <w:szCs w:val="22"/>
        </w:rPr>
        <w:t xml:space="preserve">The correct policy response is not retention. The diaspora cannot be retained in a system that still has the push factors active: institutional non-meritocracy, salary arbitrage, corruption, and the absence of an economy where their skills are legible at their actual value. Attempting retention without addressing those factors produces the perverse incentive of the five-year leave circular — a policy designed to preserve the option of return that in practice subsidises departure for the most qualified public servants.</w:t>
      </w:r>
      <w:r>
        <w:rPr>
          <w:rFonts w:ascii="Georgia" w:cs="Georgia" w:eastAsia="Georgia" w:hAnsi="Georgia"/>
          <w:color w:val="2c3e6b"/>
          <w:sz w:val="16"/>
          <w:szCs w:val="16"/>
          <w:vertAlign w:val="superscript"/>
        </w:rPr>
        <w:t xml:space="preserve">[42]</w:t>
      </w:r>
    </w:p>
    <w:p>
      <w:pPr>
        <w:spacing w:before="60" w:after="60"/>
      </w:pPr>
      <w:r>
        <w:t xml:space="preserve"/>
      </w:r>
    </w:p>
    <w:p>
      <w:pPr>
        <w:spacing w:before="100" w:after="140" w:line="320"/>
      </w:pPr>
      <w:r>
        <w:rPr>
          <w:rFonts w:ascii="Georgia" w:cs="Georgia" w:eastAsia="Georgia" w:hAnsi="Georgia"/>
          <w:sz w:val="22"/>
          <w:szCs w:val="22"/>
        </w:rPr>
        <w:t xml:space="preserve">Taiwan, India, and Ireland are the relevant comparators. Each converted brain drain to brain circulation not by preventing exit but by building an economy sophisticated enough that internationally trained returnees' experience commanded a premium. Taiwan's semiconductor ecosystem was built in substantial part by US-educated engineers who returned when Taiwanese industry reached the sophistication level their capabilities could address. India's technology sector was catalysed by returnees from Silicon Valley once liberalisation created a domestic market for their skills. Ireland's recovery after 1987 created a return cycle precisely because the economy improved to the point where return was rational.</w:t>
      </w:r>
      <w:r>
        <w:rPr>
          <w:rFonts w:ascii="Georgia" w:cs="Georgia" w:eastAsia="Georgia" w:hAnsi="Georgia"/>
          <w:color w:val="2c3e6b"/>
          <w:sz w:val="16"/>
          <w:szCs w:val="16"/>
          <w:vertAlign w:val="superscript"/>
        </w:rPr>
        <w:t xml:space="preserve">[42]</w:t>
      </w:r>
    </w:p>
    <w:p>
      <w:pPr>
        <w:spacing w:before="60" w:after="60"/>
      </w:pPr>
      <w:r>
        <w:t xml:space="preserve"/>
      </w:r>
    </w:p>
    <w:p>
      <w:pPr>
        <w:spacing w:before="100" w:after="140" w:line="320"/>
      </w:pPr>
      <w:r>
        <w:rPr>
          <w:rFonts w:ascii="Georgia" w:cs="Georgia" w:eastAsia="Georgia" w:hAnsi="Georgia"/>
          <w:sz w:val="22"/>
          <w:szCs w:val="22"/>
        </w:rPr>
        <w:t xml:space="preserve">The diaspora is not a depleted asset. It is the first tranche of the hub economy's human capital — already trained, already carrying international networks and credentials, already fluent in the institutional languages of the economies Tambapanni needs to engage. A Tambapanni hub — credible dispute resolution, meritocratic institutions, international connectivity — is exactly the kind of economy that makes return rational for a doctor or engineer calculating whether to come home from Melbourne or London. The diaspora is not the problem the hub must solve. It is the population that will build the hub, if the institutional conditions are made attractive enough.</w:t>
      </w:r>
      <w:r>
        <w:rPr>
          <w:rFonts w:ascii="Georgia" w:cs="Georgia" w:eastAsia="Georgia" w:hAnsi="Georgia"/>
          <w:color w:val="2c3e6b"/>
          <w:sz w:val="16"/>
          <w:szCs w:val="16"/>
          <w:vertAlign w:val="superscript"/>
        </w:rPr>
        <w:t xml:space="preserve">[42]</w:t>
      </w:r>
    </w:p>
    <w:p>
      <w:pPr>
        <w:spacing w:before="60" w:after="60"/>
      </w:pPr>
      <w:r>
        <w:t xml:space="preserve"/>
      </w:r>
    </w:p>
    <w:p>
      <w:pPr>
        <w:spacing w:before="100" w:after="140" w:line="320"/>
      </w:pPr>
      <w:r>
        <w:rPr>
          <w:rFonts w:ascii="Georgia" w:cs="Georgia" w:eastAsia="Georgia" w:hAnsi="Georgia"/>
          <w:sz w:val="22"/>
          <w:szCs w:val="22"/>
        </w:rPr>
        <w:t xml:space="preserve">The education system reform is the longer-horizon work. Curriculum redesign, industry integration, research incentives, and planning-based intake require a decade of sustained commitment and a government insulated enough from political pressure to sustain it. That insulation requires exactly the institutional reform prescribed in Section V. The two arguments arrive at the same place from different directions.</w:t>
      </w:r>
      <w:r>
        <w:rPr>
          <w:rFonts w:ascii="Georgia" w:cs="Georgia" w:eastAsia="Georgia" w:hAnsi="Georgia"/>
          <w:color w:val="2c3e6b"/>
          <w:sz w:val="16"/>
          <w:szCs w:val="16"/>
          <w:vertAlign w:val="superscript"/>
        </w:rPr>
        <w:t xml:space="preserve">[41,42]</w:t>
      </w:r>
    </w:p>
    <w:p>
      <w:pPr>
        <w:spacing w:before="60" w:after="60"/>
      </w:pPr>
      <w:r>
        <w:t xml:space="preserve"/>
      </w:r>
    </w:p>
    <w:p>
      <w:pPr>
        <w:pBdr>
          <w:bottom w:val="single" w:color="2c3e6b" w:sz="4" w:space="1"/>
        </w:pBdr>
        <w:spacing w:before="240" w:after="240"/>
      </w:pPr>
      <w:r>
        <w:t xml:space="preserve"/>
      </w:r>
    </w:p>
    <w:p>
      <w:pPr>
        <w:pStyle w:val="Heading1"/>
        <w:spacing w:before="480" w:after="200"/>
      </w:pPr>
      <w:bookmarkStart w:name="ib_the_architecture_hub_and_spoke_and_po" w:id="17"/>
      <w:r>
        <w:rPr>
          <w:rFonts w:ascii="Georgia" w:cs="Georgia" w:eastAsia="Georgia" w:hAnsi="Georgia"/>
          <w:b/>
          <w:bCs/>
          <w:color w:val="1a1a2e"/>
          <w:sz w:val="34"/>
          <w:szCs w:val="34"/>
        </w:rPr>
        <w:t xml:space="preserve">Ib. The Architecture: Hub-and-Spoke and Pooling</w:t>
      </w:r>
      <w:bookmarkEnd w:id="17"/>
    </w:p>
    <w:p>
      <w:pPr>
        <w:spacing w:before="100" w:after="140" w:line="320"/>
      </w:pPr>
      <w:r>
        <w:rPr>
          <w:rFonts w:ascii="Georgia" w:cs="Georgia" w:eastAsia="Georgia" w:hAnsi="Georgia"/>
          <w:sz w:val="22"/>
          <w:szCs w:val="22"/>
        </w:rPr>
        <w:t xml:space="preserve">Two mental models define the economic architecture this paper proposes. They are not metaphors. They are structural frameworks that determine what kind of institution-building to prioritise, what partnerships to seek, and what the unit of value actually is.</w:t>
      </w:r>
      <w:r>
        <w:rPr>
          <w:rFonts w:ascii="Georgia" w:cs="Georgia" w:eastAsia="Georgia" w:hAnsi="Georgia"/>
          <w:color w:val="2c3e6b"/>
          <w:sz w:val="16"/>
          <w:szCs w:val="16"/>
          <w:vertAlign w:val="superscript"/>
        </w:rPr>
        <w:t xml:space="preserve">[5,29]</w:t>
      </w:r>
    </w:p>
    <w:p>
      <w:pPr>
        <w:spacing w:before="60" w:after="60"/>
      </w:pPr>
      <w:r>
        <w:t xml:space="preserve"/>
      </w:r>
    </w:p>
    <w:p>
      <w:pPr>
        <w:pStyle w:val="Heading2"/>
        <w:spacing w:before="320" w:after="160"/>
      </w:pPr>
      <w:bookmarkStart w:name="mental_model_one_hub_and_spoke" w:id="18"/>
      <w:r>
        <w:rPr>
          <w:rFonts w:ascii="Georgia" w:cs="Georgia" w:eastAsia="Georgia" w:hAnsi="Georgia"/>
          <w:b/>
          <w:bCs/>
          <w:color w:val="2c3e6b"/>
          <w:sz w:val="26"/>
          <w:szCs w:val="26"/>
        </w:rPr>
        <w:t xml:space="preserve">Mental Model One: Hub-and-Spoke</w:t>
      </w:r>
      <w:bookmarkEnd w:id="18"/>
    </w:p>
    <w:p>
      <w:pPr>
        <w:spacing w:before="100" w:after="140" w:line="320"/>
      </w:pPr>
      <w:r>
        <w:rPr>
          <w:rFonts w:ascii="Georgia" w:cs="Georgia" w:eastAsia="Georgia" w:hAnsi="Georgia"/>
          <w:sz w:val="22"/>
          <w:szCs w:val="22"/>
        </w:rPr>
        <w:t xml:space="preserve">In a hub-and-spoke architecture, the hub does not produce the goods that flow through it. It orchestrates them. It provides the platform — the port, the legal framework, the financial clearing, the logistics coordination, the dispute resolution — through which value created elsewhere is processed, combined, and redistributed.</w:t>
      </w:r>
      <w:r>
        <w:rPr>
          <w:rFonts w:ascii="Georgia" w:cs="Georgia" w:eastAsia="Georgia" w:hAnsi="Georgia"/>
          <w:color w:val="2c3e6b"/>
          <w:sz w:val="16"/>
          <w:szCs w:val="16"/>
          <w:vertAlign w:val="superscript"/>
        </w:rPr>
        <w:t xml:space="preserve">[5,22]</w:t>
      </w:r>
    </w:p>
    <w:p>
      <w:pPr>
        <w:spacing w:before="60" w:after="60"/>
      </w:pPr>
      <w:r>
        <w:t xml:space="preserve"/>
      </w:r>
    </w:p>
    <w:p>
      <w:pPr>
        <w:spacing w:before="100" w:after="140" w:line="320"/>
      </w:pPr>
      <w:r>
        <w:rPr>
          <w:rFonts w:ascii="Georgia" w:cs="Georgia" w:eastAsia="Georgia" w:hAnsi="Georgia"/>
          <w:sz w:val="22"/>
          <w:szCs w:val="22"/>
        </w:rPr>
        <w:t xml:space="preserve">Tambapanni's geographic position makes it a structurally natural hub for the Indian Ocean. The spokes are already there: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India Spoke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The world's fastest-growing large economy, 1.4 billion consumers, manufacturing ambition requiring logistics infrastructure it cannot yet fully provide domestically.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ASEAN/Singapore Spoke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The world's most sophisticated regional trade architecture, financial services depth, and technology services ecosystem — with whom Tambapanni shares the Colombo Plan founding history and the Indian Ocean corridor.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Gulf Spoke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Capital surplus economies with infrastructure investment mandates, an estimated 2.5 million-strong Tambapanni diaspora (SLBFE, 2023) providing human capital and remittance flows, and an energy transition requiring new supply chain architecture.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East Africa Spoke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The fastest-growing consumer frontier in the world, chronically underserved by financial and logistics infrastructure, within the same Indian Ocean trade corridor.</w:t>
            </w:r>
          </w:p>
        </w:tc>
      </w:tr>
    </w:tbl>
    <w:p>
      <w:pPr>
        <w:spacing w:before="60" w:after="60"/>
      </w:pPr>
      <w:r>
        <w:t xml:space="preserve"/>
      </w:r>
    </w:p>
    <w:p>
      <w:pPr>
        <w:spacing w:before="100" w:after="140" w:line="320"/>
      </w:pPr>
      <w:r>
        <w:rPr>
          <w:rFonts w:ascii="Georgia" w:cs="Georgia" w:eastAsia="Georgia" w:hAnsi="Georgia"/>
          <w:sz w:val="22"/>
          <w:szCs w:val="22"/>
        </w:rPr>
        <w:t xml:space="preserve">A hub does not need to compete with any of these spokes. It needs to be more useful to all of them than they are to each other directly. That usefulness is entirely a function of institutional quality — the reliability, impartiality, and predictability that makes the hub trustworthy as an intermediary.</w:t>
      </w:r>
      <w:r>
        <w:rPr>
          <w:rFonts w:ascii="Georgia" w:cs="Georgia" w:eastAsia="Georgia" w:hAnsi="Georgia"/>
          <w:color w:val="2c3e6b"/>
          <w:sz w:val="16"/>
          <w:szCs w:val="16"/>
          <w:vertAlign w:val="superscript"/>
        </w:rPr>
        <w:t xml:space="preserve">[22,23]</w:t>
      </w:r>
    </w:p>
    <w:p>
      <w:pPr>
        <w:spacing w:before="60" w:after="60"/>
      </w:pPr>
      <w:r>
        <w:t xml:space="preserve"/>
      </w:r>
    </w:p>
    <w:p>
      <w:pPr>
        <w:spacing w:before="100" w:after="140" w:line="320"/>
      </w:pPr>
      <w:r>
        <w:rPr>
          <w:rFonts w:ascii="Georgia" w:cs="Georgia" w:eastAsia="Georgia" w:hAnsi="Georgia"/>
          <w:sz w:val="22"/>
          <w:szCs w:val="22"/>
        </w:rPr>
        <w:t xml:space="preserve">The current constraint is precisely that Tambapanni has the geographic position of a hub but not the institutional quality. A hub that cannot enforce contracts, cannot provide impartial dispute resolution, and cannot make credible long-term commitments is not a hub. It is a waypoint that more reliable alternatives will bypass.</w:t>
      </w:r>
      <w:r>
        <w:rPr>
          <w:rFonts w:ascii="Georgia" w:cs="Georgia" w:eastAsia="Georgia" w:hAnsi="Georgia"/>
          <w:color w:val="2c3e6b"/>
          <w:sz w:val="16"/>
          <w:szCs w:val="16"/>
          <w:vertAlign w:val="superscript"/>
        </w:rPr>
        <w:t xml:space="preserve">[11]</w:t>
      </w:r>
    </w:p>
    <w:p>
      <w:pPr>
        <w:spacing w:before="60" w:after="60"/>
      </w:pPr>
      <w:r>
        <w:t xml:space="preserve"/>
      </w:r>
    </w:p>
    <w:p>
      <w:pPr>
        <w:pStyle w:val="Heading2"/>
        <w:spacing w:before="320" w:after="160"/>
      </w:pPr>
      <w:bookmarkStart w:name="mental_model_two_pooling" w:id="19"/>
      <w:r>
        <w:rPr>
          <w:rFonts w:ascii="Georgia" w:cs="Georgia" w:eastAsia="Georgia" w:hAnsi="Georgia"/>
          <w:b/>
          <w:bCs/>
          <w:color w:val="2c3e6b"/>
          <w:sz w:val="26"/>
          <w:szCs w:val="26"/>
        </w:rPr>
        <w:t xml:space="preserve">Mental Model Two: Pooling</w:t>
      </w:r>
      <w:bookmarkEnd w:id="19"/>
    </w:p>
    <w:p>
      <w:pPr>
        <w:spacing w:before="100" w:after="140" w:line="320"/>
      </w:pPr>
      <w:r>
        <w:rPr>
          <w:rFonts w:ascii="Georgia" w:cs="Georgia" w:eastAsia="Georgia" w:hAnsi="Georgia"/>
          <w:sz w:val="22"/>
          <w:szCs w:val="22"/>
        </w:rPr>
        <w:t xml:space="preserve">The pooling model is one of the most misread concepts in development economics. It is treated as a matter of scale — how many parties, how large the fund. Scale is a consequence. The prior question is character: what kind of thing is a pool, and how is it different from a large number of independent transactions? The answer to that question determines everything that follows — why individual rational behaviour can produce collective catastrophe, why the stronger party should sometimes give more than it receives, and why Tambapanni’s instinct toward institutional self-sufficiency is the worst available strategy for a small open economy in a non-ergodic world.</w:t>
      </w:r>
    </w:p>
    <w:p>
      <w:pPr>
        <w:spacing w:before="60" w:after="60"/>
      </w:pPr>
      <w:r>
        <w:t xml:space="preserve"/>
      </w:r>
    </w:p>
    <w:p>
      <w:pPr>
        <w:spacing w:before="240" w:after="100"/>
      </w:pPr>
      <w:bookmarkStart w:name="the_character_of_pooling_redistribution_" w:id="20"/>
      <w:r>
        <w:rPr>
          <w:rFonts w:ascii="Georgia" w:cs="Georgia" w:eastAsia="Georgia" w:hAnsi="Georgia"/>
          <w:b/>
          <w:bCs/>
          <w:i/>
          <w:iCs/>
          <w:color w:val="4a5568"/>
          <w:sz w:val="22"/>
          <w:szCs w:val="22"/>
        </w:rPr>
        <w:t xml:space="preserve">The Character of Pooling: Redistribution, Not Transaction</w:t>
      </w:r>
      <w:bookmarkEnd w:id="20"/>
    </w:p>
    <w:p>
      <w:pPr>
        <w:spacing w:before="100" w:after="140" w:line="320"/>
      </w:pPr>
      <w:r>
        <w:rPr>
          <w:rFonts w:ascii="Georgia" w:cs="Georgia" w:eastAsia="Georgia" w:hAnsi="Georgia"/>
          <w:sz w:val="22"/>
          <w:szCs w:val="22"/>
        </w:rPr>
        <w:t xml:space="preserve">A transaction transfers value between two specific parties in exchange for something specific. What makes a pool categorically different is the transformation it performs: individual contributions enter a common fund that is then redistributed according to need, risk, or collective priority — not according to the terms of the original contribution. The transformation is the point. Pooling does not just aggregate. It changes the nature of what is possible.</w:t>
      </w:r>
    </w:p>
    <w:p>
      <w:pPr>
        <w:spacing w:before="60" w:after="60"/>
      </w:pPr>
      <w:r>
        <w:t xml:space="preserve"/>
      </w:r>
    </w:p>
    <w:p>
      <w:pPr>
        <w:spacing w:before="100" w:after="140" w:line="320"/>
      </w:pPr>
      <w:r>
        <w:rPr>
          <w:rFonts w:ascii="Georgia" w:cs="Georgia" w:eastAsia="Georgia" w:hAnsi="Georgia"/>
          <w:sz w:val="22"/>
          <w:szCs w:val="22"/>
        </w:rPr>
        <w:t xml:space="preserve">This principle appears across institutions so familiar that their common character is rarely named. Taxation is pooling: contributions to a common fund that finances infrastructure no individual taxpayer could procure. Insurance is pooling: premiums from the many cover the losses of the few, so no individual bears the full cost of a catastrophic event. An index fund is pooling: small investors access the diversification that would require enormous capital if pursued through independent transactions. Each operates on the same principle — the common fund does something categorically unavailable to the individual acting alone.</w:t>
      </w:r>
    </w:p>
    <w:p>
      <w:pPr>
        <w:spacing w:before="60" w:after="60"/>
      </w:pPr>
      <w:r>
        <w:t xml:space="preserve"/>
      </w:r>
    </w:p>
    <w:p>
      <w:pPr>
        <w:spacing w:before="100" w:after="140" w:line="320"/>
      </w:pPr>
      <w:r>
        <w:rPr>
          <w:rFonts w:ascii="Georgia" w:cs="Georgia" w:eastAsia="Georgia" w:hAnsi="Georgia"/>
          <w:sz w:val="22"/>
          <w:szCs w:val="22"/>
        </w:rPr>
        <w:t xml:space="preserve">Public transport makes this visible at urban scale. A bus route does not exist because each passenger independently contracted for it. It exists because the pooled fares of many passengers, combined with infrastructure capital, produce a service whose cost per user is a fraction of what each would pay by private means. A family without public transport in Phnom Penh does not save the bus fare by owning a motorcycle. It pays several times more — in capital cost, fuel, maintenance, risk, and time — to achieve an inferior result. The sum of individual transport costs across a city with no pooled infrastructure can easily exceed by an order of magnitude what a functioning transit system would cost to build and operate. The individual solution is not cheaper. It is more expensive and less effective, measured across the whole population and over any meaningful time horizon.</w:t>
      </w:r>
    </w:p>
    <w:p>
      <w:pPr>
        <w:spacing w:before="60" w:after="60"/>
      </w:pPr>
      <w:r>
        <w:t xml:space="preserve"/>
      </w:r>
    </w:p>
    <w:p>
      <w:pPr>
        <w:spacing w:before="100" w:after="140" w:line="320"/>
      </w:pPr>
      <w:r>
        <w:rPr>
          <w:rFonts w:ascii="Georgia" w:cs="Georgia" w:eastAsia="Georgia" w:hAnsi="Georgia"/>
          <w:sz w:val="22"/>
          <w:szCs w:val="22"/>
        </w:rPr>
        <w:t xml:space="preserve">Tambapanni’s private bus network illustrates the inverse failure: the pool present in form but absent in character. Sri Lanka has buses. But the operating model on most routes places each operator in direct competition with every other operator on the same route, collecting fares independently on each trip. The consequences follow with mathematical precision. An operator whose revenue depends on the number of passengers per trip will not run off-peak services where passenger density is low — those trips are unprofitable. He will dwell at busy stops far longer than a schedule requires, to collect as many passengers as possible before a competitor arrives. He will race between stops to reach the next cluster of waiting passengers before a rival bus does. He will skip stops where the wait cost exceeds the fare yield. The result is the service that any rider in Colombo recognises: dangerous overtaking, irregular intervals, overcrowded peak runs alongside absent off-peak coverage, no schedule a passenger can rely on.</w:t>
      </w:r>
    </w:p>
    <w:p>
      <w:pPr>
        <w:spacing w:before="60" w:after="60"/>
      </w:pPr>
      <w:r>
        <w:t xml:space="preserve"/>
      </w:r>
    </w:p>
    <w:p>
      <w:pPr>
        <w:spacing w:before="100" w:after="140" w:line="320"/>
      </w:pPr>
      <w:r>
        <w:rPr>
          <w:rFonts w:ascii="Georgia" w:cs="Georgia" w:eastAsia="Georgia" w:hAnsi="Georgia"/>
          <w:sz w:val="22"/>
          <w:szCs w:val="22"/>
        </w:rPr>
        <w:t xml:space="preserve">These are not the consequences of bad drivers or weak regulation. They are the rational, individually correct responses to a per-transaction incentive applied to what should be a pooled operation. Each operator, optimising his own revenue, produces a collective outcome that is worse for every passenger, worse for road safety, and worse for the operator himself — because the racing and bunching destroys the schedule reliability that would attract more passengers to the system overall. The pool is being treated as a market. The market logic destroys the pool.</w:t>
      </w:r>
    </w:p>
    <w:p>
      <w:pPr>
        <w:spacing w:before="60" w:after="60"/>
      </w:pPr>
      <w:r>
        <w:t xml:space="preserve"/>
      </w:r>
    </w:p>
    <w:p>
      <w:pPr>
        <w:spacing w:before="100" w:after="140" w:line="320"/>
      </w:pPr>
      <w:r>
        <w:rPr>
          <w:rFonts w:ascii="Georgia" w:cs="Georgia" w:eastAsia="Georgia" w:hAnsi="Georgia"/>
          <w:sz w:val="22"/>
          <w:szCs w:val="22"/>
        </w:rPr>
        <w:t xml:space="preserve">The solution is a change of character, not of scale. Transport economists call it the gross cost contract: the operator is paid to run the schedule — a fixed fee per kilometre operated — rather than to collect fares. Fare revenue goes to a common pool administered by the route authority and distributed across operators by kilometres run. The individual operator’s incentive shifts entirely: racing disappears because arriving early earns nothing extra; bunching disappears because dwelling at a stop adds nothing to revenue; off-peak services become viable because the kilometre is compensated regardless of load. Schedule adherence becomes the only metric that matters. Singapore and London both operate on this model. The pooling character is in the contract structure, not the ownership. Tambapanni has the operators. It is missing the contract structure that would give them the pooling character.</w:t>
      </w:r>
      <w:r>
        <w:rPr>
          <w:rFonts w:ascii="Georgia" w:cs="Georgia" w:eastAsia="Georgia" w:hAnsi="Georgia"/>
          <w:color w:val="2c3e6b"/>
          <w:sz w:val="16"/>
          <w:szCs w:val="16"/>
          <w:vertAlign w:val="superscript"/>
        </w:rPr>
        <w:t xml:space="preserve">[11]</w:t>
      </w:r>
    </w:p>
    <w:p>
      <w:pPr>
        <w:spacing w:before="60" w:after="60"/>
      </w:pPr>
      <w:r>
        <w:t xml:space="preserve"/>
      </w:r>
    </w:p>
    <w:p>
      <w:pPr>
        <w:spacing w:before="100" w:after="140" w:line="320"/>
      </w:pPr>
      <w:r>
        <w:rPr>
          <w:rFonts w:ascii="Georgia" w:cs="Georgia" w:eastAsia="Georgia" w:hAnsi="Georgia"/>
          <w:sz w:val="22"/>
          <w:szCs w:val="22"/>
        </w:rPr>
        <w:t xml:space="preserve">The family unit illustrates the governance dimension that makes pooling more than accounting. A father earns; the household eats. As children grow and begin to earn, they contribute to the family pool. If those contributions are managed as a common fund — single decision-making authority, shared view of priorities, resources allocated by need rather than by who contributed this month — the family has the character of a pool. It can absorb a medical emergency, invest in a child’s education, weather a period of unemployment. If contributions are treated as transactions — each member chips in when there is a specific need, negotiates what they owe, withdraws when their own situation is tight — the family has the character of a series of bilateral agreements. It looks similar from the outside. It is not. The transactional family cannot do what the pooled family can.</w:t>
      </w:r>
    </w:p>
    <w:p>
      <w:pPr>
        <w:spacing w:before="60" w:after="60"/>
      </w:pPr>
      <w:r>
        <w:t xml:space="preserve"/>
      </w:r>
    </w:p>
    <w:p>
      <w:pPr>
        <w:spacing w:before="100" w:after="140" w:line="320"/>
      </w:pPr>
      <w:r>
        <w:rPr>
          <w:rFonts w:ascii="Georgia" w:cs="Georgia" w:eastAsia="Georgia" w:hAnsi="Georgia"/>
          <w:sz w:val="22"/>
          <w:szCs w:val="22"/>
        </w:rPr>
        <w:t xml:space="preserve">The governance dimension matters as much as the pooling itself. No one person is good at everything. The member who earns the most is not necessarily the member with the skills to manage, invest, or grow the common fund. If governance is concentrated in the highest earner because they contributed most, the pool loses the benefit of specialisation. The person with financial judgment, the person with long-horizon thinking, the person who understands risk — these are not always the same person as the highest contributor. A well-governed pool separates contribution from management. A badly governed one conflates them, and the family collectively remains in survival mode — or, in Dellanna’s terms, runs an elevated risk of the sequence ending badly for everyone.</w:t>
      </w:r>
    </w:p>
    <w:p>
      <w:pPr>
        <w:spacing w:before="60" w:after="60"/>
      </w:pPr>
      <w:r>
        <w:t xml:space="preserve"/>
      </w:r>
    </w:p>
    <w:p>
      <w:pPr>
        <w:spacing w:before="100" w:after="140" w:line="320"/>
      </w:pPr>
      <w:r>
        <w:rPr>
          <w:rFonts w:ascii="Georgia" w:cs="Georgia" w:eastAsia="Georgia" w:hAnsi="Georgia"/>
          <w:sz w:val="22"/>
          <w:szCs w:val="22"/>
        </w:rPr>
        <w:t xml:space="preserve">Banking makes the same argument at the scale of an economy. If every household keeps its savings in a safe at home, the money exists but it does not move. Deposit £100 into a bank and the bank lends £90 to someone else, who deposits it, from which £81 is lent again, and so on. The original £100 has become several hundred pounds of circulating capital — funding a business, a home, a piece of equipment — without any individual saver surrendering their deposit. This is what an economy means: money in circulation, not money in storage. Large-scale projects — a highway, a port, a power grid — become fundable not because any individual accumulated enough, but because the pool created the liquidity that made the scale possible. An economy of mattress savers has given up on every project that requires more capital than a single household can hold. The cost does not show in any individual’s balance sheet. It shows in the absence of the infrastructure that pooled capital would have built.</w:t>
      </w:r>
    </w:p>
    <w:p>
      <w:pPr>
        <w:spacing w:before="60" w:after="60"/>
      </w:pPr>
      <w:r>
        <w:t xml:space="preserve"/>
      </w:r>
    </w:p>
    <w:p>
      <w:pPr>
        <w:spacing w:before="100" w:after="140" w:line="320"/>
      </w:pPr>
      <w:r>
        <w:rPr>
          <w:rFonts w:ascii="Georgia" w:cs="Georgia" w:eastAsia="Georgia" w:hAnsi="Georgia"/>
          <w:sz w:val="22"/>
          <w:szCs w:val="22"/>
        </w:rPr>
        <w:t xml:space="preserve">What all of these institutions share — tax, insurance, index fund, public transit, family pool, bank — is that the pooled form produces outcomes categorically unavailable to the sum of their independent equivalents. This is not a quantitative difference. It is a qualitative one. The pool is not ten times larger than the individual. It is a different kind of entity, capable of different kinds of action. Tambapanni’s resistance to institutional pooling — with ASEAN, with Singapore’s arbitration infrastructure, with regional regulatory frameworks — is the equivalent of keeping the savings in a safe at home. The individual costs of non-participation are low and visible. The collective cost of the absent pool is large and invisible: it is the industry, the investment, the credibility, and the developmental trajectory that the pool would have made possible.</w:t>
      </w:r>
    </w:p>
    <w:p>
      <w:pPr>
        <w:spacing w:before="60" w:after="60"/>
      </w:pPr>
      <w:r>
        <w:t xml:space="preserve"/>
      </w:r>
    </w:p>
    <w:p>
      <w:pPr>
        <w:spacing w:before="240" w:after="100"/>
      </w:pPr>
      <w:bookmarkStart w:name="when_pooling_is_rational_even_when_you_a" w:id="21"/>
      <w:r>
        <w:rPr>
          <w:rFonts w:ascii="Georgia" w:cs="Georgia" w:eastAsia="Georgia" w:hAnsi="Georgia"/>
          <w:b/>
          <w:bCs/>
          <w:i/>
          <w:iCs/>
          <w:color w:val="4a5568"/>
          <w:sz w:val="22"/>
          <w:szCs w:val="22"/>
        </w:rPr>
        <w:t xml:space="preserve">When Pooling Is Rational Even When You Are Giving More Than You Receive</w:t>
      </w:r>
      <w:bookmarkEnd w:id="21"/>
    </w:p>
    <w:p>
      <w:pPr>
        <w:spacing w:before="100" w:after="140" w:line="320"/>
      </w:pPr>
      <w:r>
        <w:rPr>
          <w:rFonts w:ascii="Georgia" w:cs="Georgia" w:eastAsia="Georgia" w:hAnsi="Georgia"/>
          <w:sz w:val="22"/>
          <w:szCs w:val="22"/>
        </w:rPr>
        <w:t xml:space="preserve">The most common objection to the pooling model is intuitive and politically powerful: if Tambapanni pools with Singapore’s institutional frameworks, it is contributing legitimacy and trade flow to a system it does not control and from which it receives less than it gives. The objection sounds like sovereignty. It is actually a reasoning error about non-ergodic systems.</w:t>
      </w:r>
      <w:r>
        <w:rPr>
          <w:rFonts w:ascii="Georgia" w:cs="Georgia" w:eastAsia="Georgia" w:hAnsi="Georgia"/>
          <w:color w:val="2c3e6b"/>
          <w:sz w:val="16"/>
          <w:szCs w:val="16"/>
          <w:vertAlign w:val="superscript"/>
        </w:rPr>
        <w:t xml:space="preserve">[37]</w:t>
      </w:r>
    </w:p>
    <w:p>
      <w:pPr>
        <w:spacing w:before="60" w:after="60"/>
      </w:pPr>
      <w:r>
        <w:t xml:space="preserve"/>
      </w:r>
    </w:p>
    <w:p>
      <w:pPr>
        <w:spacing w:before="100" w:after="140" w:line="320"/>
      </w:pPr>
      <w:r>
        <w:rPr>
          <w:rFonts w:ascii="Georgia" w:cs="Georgia" w:eastAsia="Georgia" w:hAnsi="Georgia"/>
          <w:sz w:val="22"/>
          <w:szCs w:val="22"/>
        </w:rPr>
        <w:t xml:space="preserve">Luca Dellanna’s ergodicity framework provides the analytical response. In a non-ergodic world — where irreversible losses absorb future gains — pooling is often the rational strategy even when you are the stronger party. The model that demonstrates this is simple. You start with $100. Each round you shoot a basketball: if you make the shot, your money doubles; if you miss, it halves. Your shooting accuracy is 60 percent. Your partner shoots at 50 percent — objectively worse than you. After each round you have the option to pool your money with your partner and split it evenly. The question Dellanna poses: would you take the pooling option, even though you are the better player transferring advantage to a weaker counterpart?</w:t>
      </w:r>
      <w:r>
        <w:rPr>
          <w:rFonts w:ascii="Georgia" w:cs="Georgia" w:eastAsia="Georgia" w:hAnsi="Georgia"/>
          <w:color w:val="2c3e6b"/>
          <w:sz w:val="16"/>
          <w:szCs w:val="16"/>
          <w:vertAlign w:val="superscript"/>
        </w:rPr>
        <w:t xml:space="preserve">[37]</w:t>
      </w:r>
    </w:p>
    <w:p>
      <w:pPr>
        <w:spacing w:before="60" w:after="60"/>
      </w:pPr>
      <w:r>
        <w:t xml:space="preserve"/>
      </w:r>
    </w:p>
    <w:p>
      <w:pPr>
        <w:spacing w:before="100" w:after="140" w:line="320"/>
      </w:pPr>
      <w:r>
        <w:rPr>
          <w:rFonts w:ascii="Georgia" w:cs="Georgia" w:eastAsia="Georgia" w:hAnsi="Georgia"/>
          <w:sz w:val="22"/>
          <w:szCs w:val="22"/>
        </w:rPr>
        <w:t xml:space="preserve">The intuitive answer is no. You are better. Pooling dilutes your edge and transfers value to someone performing below your level. This is the reasoning that drives Tambapanni’s resistance to regional institutional pooling — we would be subsidising frameworks we did not build, run by partners who have more leverage in the arrangement. The mathematically correct answer is yes. The reason is non-ergodicity.</w:t>
      </w:r>
      <w:r>
        <w:rPr>
          <w:rFonts w:ascii="Georgia" w:cs="Georgia" w:eastAsia="Georgia" w:hAnsi="Georgia"/>
          <w:color w:val="2c3e6b"/>
          <w:sz w:val="16"/>
          <w:szCs w:val="16"/>
          <w:vertAlign w:val="superscript"/>
        </w:rPr>
        <w:t xml:space="preserve">[37]</w:t>
      </w:r>
    </w:p>
    <w:p>
      <w:pPr>
        <w:spacing w:before="60" w:after="60"/>
      </w:pPr>
      <w:r>
        <w:t xml:space="preserve"/>
      </w:r>
    </w:p>
    <w:p>
      <w:pPr>
        <w:spacing w:before="100" w:after="140" w:line="320"/>
      </w:pPr>
      <w:r>
        <w:rPr>
          <w:rFonts w:ascii="Georgia" w:cs="Georgia" w:eastAsia="Georgia" w:hAnsi="Georgia"/>
          <w:sz w:val="22"/>
          <w:szCs w:val="22"/>
        </w:rPr>
        <w:t xml:space="preserve">In a non-ergodic system, a single catastrophic loss — your money halving at the wrong moment in a sequence — absorbs all the future gains your 60 percent accuracy would otherwise produce. The irreversibility of the loss is what kills the long-term trajectory, not the average outcome. Your average outcome across many parallel universes is positive. Your likely outcome across the single sequential path through time is not — because the sequence of losses and gains matters, not just their average.</w:t>
      </w:r>
      <w:r>
        <w:rPr>
          <w:rFonts w:ascii="Georgia" w:cs="Georgia" w:eastAsia="Georgia" w:hAnsi="Georgia"/>
          <w:color w:val="2c3e6b"/>
          <w:sz w:val="16"/>
          <w:szCs w:val="16"/>
          <w:vertAlign w:val="superscript"/>
        </w:rPr>
        <w:t xml:space="preserve">[37]</w:t>
      </w:r>
    </w:p>
    <w:p>
      <w:pPr>
        <w:spacing w:before="60" w:after="60"/>
      </w:pPr>
      <w:r>
        <w:t xml:space="preserve"/>
      </w:r>
    </w:p>
    <w:p>
      <w:pPr>
        <w:pBdr>
          <w:left w:val="single" w:color="2c3e6b" w:sz="12" w:space="20"/>
        </w:pBdr>
        <w:spacing w:before="160" w:after="160" w:line="300"/>
        <w:ind w:left="720" w:right="720"/>
      </w:pPr>
      <w:r>
        <w:rPr>
          <w:rFonts w:ascii="Georgia" w:cs="Georgia" w:eastAsia="Georgia" w:hAnsi="Georgia"/>
          <w:i/>
          <w:iCs/>
          <w:color w:val="4a5568"/>
          <w:sz w:val="21"/>
          <w:szCs w:val="21"/>
        </w:rPr>
        <w:t xml:space="preserve">Pool your money with your partner after each round. Even though you are giving more than you are receiving in expected value terms, the pooling absorbs the worst of each player’s variance. Neither player goes to zero. Both players survive to benefit from future rounds. Survival dominates performance.</w:t>
      </w:r>
      <w:r>
        <w:rPr>
          <w:rFonts w:ascii="Georgia" w:cs="Georgia" w:eastAsia="Georgia" w:hAnsi="Georgia"/>
          <w:color w:val="2c3e6b"/>
          <w:sz w:val="16"/>
          <w:szCs w:val="16"/>
          <w:vertAlign w:val="superscript"/>
        </w:rPr>
        <w:t xml:space="preserve">[37]</w:t>
      </w:r>
    </w:p>
    <w:p>
      <w:pPr>
        <w:spacing w:before="60" w:after="60"/>
      </w:pPr>
      <w:r>
        <w:t xml:space="preserve"/>
      </w:r>
    </w:p>
    <w:p>
      <w:pPr>
        <w:spacing w:before="100" w:after="140" w:line="320"/>
      </w:pPr>
      <w:r>
        <w:rPr>
          <w:rFonts w:ascii="Georgia" w:cs="Georgia" w:eastAsia="Georgia" w:hAnsi="Georgia"/>
          <w:sz w:val="22"/>
          <w:szCs w:val="22"/>
        </w:rPr>
        <w:t xml:space="preserve">The basketball coaching comparison sharpens the principle. A bad coach gives feedback based on whether the ball goes in — outcome-dependent. A good coach gives feedback based on whether the movement was correct, regardless of the outcome — because correct movement repeated enough times produces baskets at the rate the player’s actual skill warrants. The bad coach optimises for the single round. The good coach optimises for the long sequence.</w:t>
      </w:r>
      <w:r>
        <w:rPr>
          <w:rFonts w:ascii="Georgia" w:cs="Georgia" w:eastAsia="Georgia" w:hAnsi="Georgia"/>
          <w:color w:val="2c3e6b"/>
          <w:sz w:val="16"/>
          <w:szCs w:val="16"/>
          <w:vertAlign w:val="superscript"/>
        </w:rPr>
        <w:t xml:space="preserve">[37]</w:t>
      </w:r>
    </w:p>
    <w:p>
      <w:pPr>
        <w:spacing w:before="60" w:after="60"/>
      </w:pPr>
      <w:r>
        <w:t xml:space="preserve"/>
      </w:r>
    </w:p>
    <w:p>
      <w:pPr>
        <w:spacing w:before="100" w:after="140" w:line="320"/>
      </w:pPr>
      <w:r>
        <w:rPr>
          <w:rFonts w:ascii="Georgia" w:cs="Georgia" w:eastAsia="Georgia" w:hAnsi="Georgia"/>
          <w:sz w:val="22"/>
          <w:szCs w:val="22"/>
        </w:rPr>
        <w:t xml:space="preserve">The policy translation is direct. Tambapanni’s instinct to preserve institutional independence — to build its own frameworks rather than pool with ASEAN or Singapore — is the bad coach’s reasoning applied to national strategy. It optimises for the single round: maximum sovereignty, maximum control, minimum transfer to others. But in the actual sequential path that national development follows, a single institutional failure — a regulatory collapse, a credibility loss with international capital, a political crisis that reverses a decade of reform — absorbs all the future gains that the instinct toward independence was protecting.</w:t>
      </w:r>
      <w:r>
        <w:rPr>
          <w:rFonts w:ascii="Georgia" w:cs="Georgia" w:eastAsia="Georgia" w:hAnsi="Georgia"/>
          <w:color w:val="2c3e6b"/>
          <w:sz w:val="16"/>
          <w:szCs w:val="16"/>
          <w:vertAlign w:val="superscript"/>
        </w:rPr>
        <w:t xml:space="preserve">[37,2]</w:t>
      </w:r>
    </w:p>
    <w:p>
      <w:pPr>
        <w:spacing w:before="60" w:after="60"/>
      </w:pPr>
      <w:r>
        <w:t xml:space="preserve"/>
      </w:r>
    </w:p>
    <w:p>
      <w:pPr>
        <w:spacing w:before="240" w:after="100"/>
      </w:pPr>
      <w:bookmarkStart w:name="the_three_conditions_under_which_pooling" w:id="22"/>
      <w:r>
        <w:rPr>
          <w:rFonts w:ascii="Georgia" w:cs="Georgia" w:eastAsia="Georgia" w:hAnsi="Georgia"/>
          <w:b/>
          <w:bCs/>
          <w:i/>
          <w:iCs/>
          <w:color w:val="4a5568"/>
          <w:sz w:val="22"/>
          <w:szCs w:val="22"/>
        </w:rPr>
        <w:t xml:space="preserve">The Three Conditions Under Which Pooling Is Rational</w:t>
      </w:r>
      <w:bookmarkEnd w:id="22"/>
    </w:p>
    <w:p>
      <w:pPr>
        <w:spacing w:before="100" w:after="140" w:line="320"/>
      </w:pPr>
      <w:r>
        <w:rPr>
          <w:rFonts w:ascii="Georgia" w:cs="Georgia" w:eastAsia="Georgia" w:hAnsi="Georgia"/>
          <w:sz w:val="22"/>
          <w:szCs w:val="22"/>
        </w:rPr>
        <w:t xml:space="preserve">Dellanna’s argument is powerful but not unconditional. Pooling is the mathematically correct strategy when three conditions hold simultaneously. Understanding where the conditions fail is as important as understanding where they hold — because the failure conditions determine precisely when a stronger party will rationally decline to pool at all.</w:t>
      </w:r>
      <w:r>
        <w:rPr>
          <w:rFonts w:ascii="Georgia" w:cs="Georgia" w:eastAsia="Georgia" w:hAnsi="Georgia"/>
          <w:color w:val="2c3e6b"/>
          <w:sz w:val="16"/>
          <w:szCs w:val="16"/>
          <w:vertAlign w:val="superscript"/>
        </w:rPr>
        <w:t xml:space="preserve">[37]</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Condition 1: The world must be non-ergodic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Pooling earns its value through variance reduction across a sequence. If the system were ergodic — if losses were reversible, if time-averaging and ensemble-averaging converged — there would be no premium for survival. You could simply run the sequence, absorb the losses, and recover. It is precisely because losses compound irreversibly in the real world that pooling is worth giving more than you receive.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Condition 2: You cannot pool with a catastrophically bad player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The basketball partner shoots at 50 percent — worse than you, but not ruinously so. The pooling bet reduces variance for both parties. If your partner shoots at 5 percent, or shoots unpredictably — sometimes 60 percent, sometimes 5 percent, with no reliable pattern — pooling does not reduce your variance. It imports your partner’s catastrophic variance into your own trajectory. There is a partner quality floor below which pooling flips from rational to irrational.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Condition 3: The distribution need not be equal, but some distribution is required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The stronger party does not require a 50/50 split to make pooling attractive. The variance reduction benefit alone may justify accepting a smaller share than strict performance would award. But the distribution cannot be zero. A pool that transfers nothing to the weaker party is not a pool — it is two independent players who happen to stand near each other. The minimum condition is that some distribution exists and is reliable enough to be factored into the sequential calculation.</w:t>
            </w:r>
          </w:p>
        </w:tc>
      </w:tr>
    </w:tbl>
    <w:p>
      <w:pPr>
        <w:spacing w:before="60" w:after="60"/>
      </w:pPr>
      <w:r>
        <w:t xml:space="preserve"/>
      </w:r>
    </w:p>
    <w:p>
      <w:pPr>
        <w:spacing w:before="100" w:after="140" w:line="320"/>
      </w:pPr>
      <w:r>
        <w:rPr>
          <w:rFonts w:ascii="Georgia" w:cs="Georgia" w:eastAsia="Georgia" w:hAnsi="Georgia"/>
          <w:sz w:val="22"/>
          <w:szCs w:val="22"/>
        </w:rPr>
        <w:t xml:space="preserve">These three conditions frame every pooling decision in this paper. The practical question for each opportunity is not whether pooling is conceptually sound — it is which conditions are met, which are missing, and what it would take to meet them.</w:t>
      </w:r>
      <w:r>
        <w:rPr>
          <w:rFonts w:ascii="Georgia" w:cs="Georgia" w:eastAsia="Georgia" w:hAnsi="Georgia"/>
          <w:color w:val="2c3e6b"/>
          <w:sz w:val="16"/>
          <w:szCs w:val="16"/>
          <w:vertAlign w:val="superscript"/>
        </w:rPr>
        <w:t xml:space="preserve">[37]</w:t>
      </w:r>
    </w:p>
    <w:p>
      <w:pPr>
        <w:spacing w:before="60" w:after="60"/>
      </w:pPr>
      <w:r>
        <w:t xml:space="preserve"/>
      </w:r>
    </w:p>
    <w:p>
      <w:pPr>
        <w:spacing w:before="240" w:after="100"/>
      </w:pPr>
      <w:bookmarkStart w:name="the_new_york_convention_the_foundation_a" w:id="23"/>
      <w:r>
        <w:rPr>
          <w:rFonts w:ascii="Georgia" w:cs="Georgia" w:eastAsia="Georgia" w:hAnsi="Georgia"/>
          <w:b/>
          <w:bCs/>
          <w:i/>
          <w:iCs/>
          <w:color w:val="4a5568"/>
          <w:sz w:val="22"/>
          <w:szCs w:val="22"/>
        </w:rPr>
        <w:t xml:space="preserve">The New York Convention: The Foundation Already Laid</w:t>
      </w:r>
      <w:bookmarkEnd w:id="23"/>
    </w:p>
    <w:p>
      <w:pPr>
        <w:spacing w:before="100" w:after="140" w:line="320"/>
      </w:pPr>
      <w:r>
        <w:rPr>
          <w:rFonts w:ascii="Georgia" w:cs="Georgia" w:eastAsia="Georgia" w:hAnsi="Georgia"/>
          <w:sz w:val="22"/>
          <w:szCs w:val="22"/>
        </w:rPr>
        <w:t xml:space="preserve">Sri Lanka acceded to the New York Convention on 9 April 1962 without reservations — making it a party for over 63 years. This is the foundational pooling instrument for international arbitration credibility. The Arbitration Act implements the Convention’s provisions, and Sri Lankan courts have established a gradually more arbitration-friendly jurisprudence.</w:t>
      </w:r>
      <w:r>
        <w:rPr>
          <w:rFonts w:ascii="Georgia" w:cs="Georgia" w:eastAsia="Georgia" w:hAnsi="Georgia"/>
          <w:color w:val="2c3e6b"/>
          <w:sz w:val="16"/>
          <w:szCs w:val="16"/>
          <w:vertAlign w:val="superscript"/>
        </w:rPr>
        <w:t xml:space="preserve">[3,10]</w:t>
      </w:r>
    </w:p>
    <w:p>
      <w:pPr>
        <w:spacing w:before="60" w:after="60"/>
      </w:pPr>
      <w:r>
        <w:t xml:space="preserve"/>
      </w:r>
    </w:p>
    <w:p>
      <w:pPr>
        <w:spacing w:before="100" w:after="140" w:line="320"/>
      </w:pPr>
      <w:r>
        <w:rPr>
          <w:rFonts w:ascii="Georgia" w:cs="Georgia" w:eastAsia="Georgia" w:hAnsi="Georgia"/>
          <w:sz w:val="22"/>
          <w:szCs w:val="22"/>
        </w:rPr>
        <w:t xml:space="preserve">The pooling bet here has already been made. The problem is that it has not been exploited. International capital does not automatically trust a jurisdiction because it has signed the New York Convention — 167 countries have signed it. The signal that attracts capital is consistent judicial enforcement, speed, predictability, and absence of political interference in arbitral outcomes. Signing is the necessary condition. It is not the sufficient condition. Tambapanni has the necessary condition and lacks the sufficient one.</w:t>
      </w:r>
      <w:r>
        <w:rPr>
          <w:rFonts w:ascii="Georgia" w:cs="Georgia" w:eastAsia="Georgia" w:hAnsi="Georgia"/>
          <w:color w:val="2c3e6b"/>
          <w:sz w:val="16"/>
          <w:szCs w:val="16"/>
          <w:vertAlign w:val="superscript"/>
        </w:rPr>
        <w:t xml:space="preserve">[10]</w:t>
      </w:r>
    </w:p>
    <w:p>
      <w:pPr>
        <w:spacing w:before="60" w:after="60"/>
      </w:pPr>
      <w:r>
        <w:t xml:space="preserve"/>
      </w:r>
    </w:p>
    <w:p>
      <w:pPr>
        <w:spacing w:before="240" w:after="100"/>
      </w:pPr>
      <w:bookmarkStart w:name="siac_available_in_law_incomplete_in_prac" w:id="24"/>
      <w:r>
        <w:rPr>
          <w:rFonts w:ascii="Georgia" w:cs="Georgia" w:eastAsia="Georgia" w:hAnsi="Georgia"/>
          <w:b/>
          <w:bCs/>
          <w:i/>
          <w:iCs/>
          <w:color w:val="4a5568"/>
          <w:sz w:val="22"/>
          <w:szCs w:val="22"/>
        </w:rPr>
        <w:t xml:space="preserve">SIAC: Available in Law, Incomplete in Practice</w:t>
      </w:r>
      <w:bookmarkEnd w:id="24"/>
    </w:p>
    <w:p>
      <w:pPr>
        <w:spacing w:before="100" w:after="140" w:line="320"/>
      </w:pPr>
      <w:r>
        <w:rPr>
          <w:rFonts w:ascii="Georgia" w:cs="Georgia" w:eastAsia="Georgia" w:hAnsi="Georgia"/>
          <w:sz w:val="22"/>
          <w:szCs w:val="22"/>
        </w:rPr>
        <w:t xml:space="preserve">Sri Lankan private parties can already elect Singapore International Arbitration Centre jurisdiction by written contract clause. The Arbitration Act No. 11 of 1995 — the first arbitration statute in South Asia based on the UNCITRAL Model Law — already requires Sri Lankan courts to stay proceedings and defer to a valid arbitration agreement. Foreign SIAC awards are already enforceable under the New York Convention. No new legislation is required for this mechanism to operate.</w:t>
      </w:r>
      <w:r>
        <w:rPr>
          <w:rFonts w:ascii="Georgia" w:cs="Georgia" w:eastAsia="Georgia" w:hAnsi="Georgia"/>
          <w:color w:val="2c3e6b"/>
          <w:sz w:val="16"/>
          <w:szCs w:val="16"/>
          <w:vertAlign w:val="superscript"/>
        </w:rPr>
        <w:t xml:space="preserve">[17]</w:t>
      </w:r>
    </w:p>
    <w:p>
      <w:pPr>
        <w:spacing w:before="60" w:after="60"/>
      </w:pPr>
      <w:r>
        <w:t xml:space="preserve"/>
      </w:r>
    </w:p>
    <w:p>
      <w:pPr>
        <w:spacing w:before="100" w:after="140" w:line="320"/>
      </w:pPr>
      <w:r>
        <w:rPr>
          <w:rFonts w:ascii="Georgia" w:cs="Georgia" w:eastAsia="Georgia" w:hAnsi="Georgia"/>
          <w:sz w:val="22"/>
          <w:szCs w:val="22"/>
        </w:rPr>
        <w:t xml:space="preserve">The pooling model says: do not replicate what Singapore has already built. Pool with it. Access Singapore’s institutional infrastructure as a service — the Hohpe shift applied to governance rather than manufacturing. The mechanism already exists. The gap is not the legal framework. It is in two places: judicial culture and institutional commitment.</w:t>
      </w:r>
      <w:r>
        <w:rPr>
          <w:rFonts w:ascii="Georgia" w:cs="Georgia" w:eastAsia="Georgia" w:hAnsi="Georgia"/>
          <w:color w:val="2c3e6b"/>
          <w:sz w:val="16"/>
          <w:szCs w:val="16"/>
          <w:vertAlign w:val="superscript"/>
        </w:rPr>
        <w:t xml:space="preserve">[5,17]</w:t>
      </w:r>
    </w:p>
    <w:p>
      <w:pPr>
        <w:spacing w:before="60" w:after="60"/>
      </w:pPr>
      <w:r>
        <w:t xml:space="preserve"/>
      </w:r>
    </w:p>
    <w:p>
      <w:pPr>
        <w:spacing w:before="100" w:after="140" w:line="320"/>
      </w:pPr>
      <w:r>
        <w:rPr>
          <w:rFonts w:ascii="Georgia" w:cs="Georgia" w:eastAsia="Georgia" w:hAnsi="Georgia"/>
          <w:sz w:val="22"/>
          <w:szCs w:val="22"/>
        </w:rPr>
        <w:t xml:space="preserve">Sri Lankan courts have a documented history of resistance to arbitration clauses — the 2001 case of the Board of Control for Cricket in Sri Lanka against a Singaporean company illustrates courts attempting to exercise jurisdiction despite a clear SIAC clause. The trend has improved, but the enforcement track record is not yet consistent enough to give international counterparties automatic confidence without specialist legal advice on each contract. Second, there is no government-level signal that SIAC election is standard practice and actively supported — no model contract clauses, no official promotion, no Commercial High Court specialisation in arbitration enforcement.</w:t>
      </w:r>
      <w:r>
        <w:rPr>
          <w:rFonts w:ascii="Georgia" w:cs="Georgia" w:eastAsia="Georgia" w:hAnsi="Georgia"/>
          <w:color w:val="2c3e6b"/>
          <w:sz w:val="16"/>
          <w:szCs w:val="16"/>
          <w:vertAlign w:val="superscript"/>
        </w:rPr>
        <w:t xml:space="preserve">[17]</w:t>
      </w:r>
    </w:p>
    <w:p>
      <w:pPr>
        <w:spacing w:before="60" w:after="60"/>
      </w:pPr>
      <w:r>
        <w:t xml:space="preserve"/>
      </w:r>
    </w:p>
    <w:p>
      <w:pPr>
        <w:spacing w:before="100" w:after="140" w:line="320"/>
      </w:pPr>
      <w:r>
        <w:rPr>
          <w:rFonts w:ascii="Georgia" w:cs="Georgia" w:eastAsia="Georgia" w:hAnsi="Georgia"/>
          <w:sz w:val="22"/>
          <w:szCs w:val="22"/>
        </w:rPr>
        <w:t xml:space="preserve">The SIAC mechanism is available by contract. The credibility that comes from consistent, fast, interference-free enforcement over a sustained period is what must be built — and that is a function of judicial culture and government commitment, not legislative drafting. Similarly, aligning Tambapanni’s financial services regulatory framework with ASEAN standards — rather than negotiating bilateral agreements with each counterparty individually — pools the credibility that the ASEAN regulatory architecture has already built. The pooling model is not subordination. It is the same logic that makes accession to the New York Convention more attractive to international capital than building a domestic arbitration system from scratch. You consume institutional credibility as a service. You build your own institutional quality incrementally within that framework.</w:t>
      </w:r>
      <w:r>
        <w:rPr>
          <w:rFonts w:ascii="Georgia" w:cs="Georgia" w:eastAsia="Georgia" w:hAnsi="Georgia"/>
          <w:color w:val="2c3e6b"/>
          <w:sz w:val="16"/>
          <w:szCs w:val="16"/>
          <w:vertAlign w:val="superscript"/>
        </w:rPr>
        <w:t xml:space="preserve">[17,26]</w:t>
      </w:r>
    </w:p>
    <w:p>
      <w:pPr>
        <w:spacing w:before="60" w:after="60"/>
      </w:pPr>
      <w:r>
        <w:t xml:space="preserve"/>
      </w:r>
    </w:p>
    <w:p>
      <w:pPr>
        <w:spacing w:before="100" w:after="140" w:line="320"/>
      </w:pPr>
      <w:r>
        <w:rPr>
          <w:rFonts w:ascii="Georgia" w:cs="Georgia" w:eastAsia="Georgia" w:hAnsi="Georgia"/>
          <w:sz w:val="22"/>
          <w:szCs w:val="22"/>
        </w:rPr>
        <w:t xml:space="preserve">The SICC — the Singapore International Commercial Court — is a different instrument: a court, not an arbitration body. Electing foreign court jurisdiction is more complex than electing foreign arbitration, and Sri Lankan courts do not automatically cede jurisdiction to a foreign court in the way they must to a valid arbitration agreement. The SICC is the aspiration for a future specialist commercial court of Tambapanni’s own — not the immediate pooling mechanism.</w:t>
      </w:r>
      <w:r>
        <w:rPr>
          <w:rFonts w:ascii="Georgia" w:cs="Georgia" w:eastAsia="Georgia" w:hAnsi="Georgia"/>
          <w:color w:val="2c3e6b"/>
          <w:sz w:val="16"/>
          <w:szCs w:val="16"/>
          <w:vertAlign w:val="superscript"/>
        </w:rPr>
        <w:t xml:space="preserve">[17]</w:t>
      </w:r>
    </w:p>
    <w:p>
      <w:pPr>
        <w:spacing w:before="60" w:after="60"/>
      </w:pPr>
      <w:r>
        <w:t xml:space="preserve"/>
      </w:r>
    </w:p>
    <w:p>
      <w:pPr>
        <w:spacing w:before="240" w:after="100"/>
      </w:pPr>
      <w:bookmarkStart w:name="asean_the_pooling_opportunity_that_was_r" w:id="25"/>
      <w:r>
        <w:rPr>
          <w:rFonts w:ascii="Georgia" w:cs="Georgia" w:eastAsia="Georgia" w:hAnsi="Georgia"/>
          <w:b/>
          <w:bCs/>
          <w:i/>
          <w:iCs/>
          <w:color w:val="4a5568"/>
          <w:sz w:val="22"/>
          <w:szCs w:val="22"/>
        </w:rPr>
        <w:t xml:space="preserve">ASEAN: The Pooling Opportunity That Was Refused Twice</w:t>
      </w:r>
      <w:bookmarkEnd w:id="25"/>
    </w:p>
    <w:p>
      <w:pPr>
        <w:spacing w:before="100" w:after="140" w:line="320"/>
      </w:pPr>
      <w:r>
        <w:rPr>
          <w:rFonts w:ascii="Georgia" w:cs="Georgia" w:eastAsia="Georgia" w:hAnsi="Georgia"/>
          <w:sz w:val="22"/>
          <w:szCs w:val="22"/>
        </w:rPr>
        <w:t xml:space="preserve">The most consequential pooling failure in Tambapanni’s modern economic history is not a missed opportunity. It is a refused one.</w:t>
      </w:r>
      <w:r>
        <w:rPr>
          <w:rFonts w:ascii="Georgia" w:cs="Georgia" w:eastAsia="Georgia" w:hAnsi="Georgia"/>
          <w:color w:val="2c3e6b"/>
          <w:sz w:val="16"/>
          <w:szCs w:val="16"/>
          <w:vertAlign w:val="superscript"/>
        </w:rPr>
        <w:t xml:space="preserve">[26]</w:t>
      </w:r>
    </w:p>
    <w:p>
      <w:pPr>
        <w:spacing w:before="60" w:after="60"/>
      </w:pPr>
      <w:r>
        <w:t xml:space="preserve"/>
      </w:r>
    </w:p>
    <w:p>
      <w:pPr>
        <w:spacing w:before="100" w:after="140" w:line="320"/>
      </w:pPr>
      <w:r>
        <w:rPr>
          <w:rFonts w:ascii="Georgia" w:cs="Georgia" w:eastAsia="Georgia" w:hAnsi="Georgia"/>
          <w:sz w:val="22"/>
          <w:szCs w:val="22"/>
        </w:rPr>
        <w:t xml:space="preserve">Sri Lanka was invited to be a founding member of ASEAN on 8 August 1967. It declined — on the grounds that ASEAN was pro-Western and Sri Lanka was committed to non-alignment. Singapore’s delegation explicitly cited concerns about domestic instability arising from ethnic tensions as a reason to block the membership. Sri Lanka tried again in 1981. Blocked again. As of 2026, Sri Lanka is not a member, not an observer, and Singapore continues to oppose full membership on the same grounds it cited in 1967: ethnic political instability makes Tambapanni an unreliable partner.</w:t>
      </w:r>
      <w:r>
        <w:rPr>
          <w:rFonts w:ascii="Georgia" w:cs="Georgia" w:eastAsia="Georgia" w:hAnsi="Georgia"/>
          <w:color w:val="2c3e6b"/>
          <w:sz w:val="16"/>
          <w:szCs w:val="16"/>
          <w:vertAlign w:val="superscript"/>
        </w:rPr>
        <w:t xml:space="preserve">[26]</w:t>
      </w:r>
    </w:p>
    <w:p>
      <w:pPr>
        <w:spacing w:before="60" w:after="60"/>
      </w:pPr>
      <w:r>
        <w:t xml:space="preserve"/>
      </w:r>
    </w:p>
    <w:p>
      <w:pPr>
        <w:spacing w:before="100" w:after="140" w:line="320"/>
      </w:pPr>
      <w:r>
        <w:rPr>
          <w:rFonts w:ascii="Georgia" w:cs="Georgia" w:eastAsia="Georgia" w:hAnsi="Georgia"/>
          <w:sz w:val="22"/>
          <w:szCs w:val="22"/>
        </w:rPr>
        <w:t xml:space="preserve">The 1967 refusal was Tambapanni’s error. The 1981 and ongoing blocked applications are Singapore’s application of Condition 2.</w:t>
      </w:r>
      <w:r>
        <w:rPr>
          <w:rFonts w:ascii="Georgia" w:cs="Georgia" w:eastAsia="Georgia" w:hAnsi="Georgia"/>
          <w:color w:val="2c3e6b"/>
          <w:sz w:val="16"/>
          <w:szCs w:val="16"/>
          <w:vertAlign w:val="superscript"/>
        </w:rPr>
        <w:t xml:space="preserve">[26,37]</w:t>
      </w:r>
    </w:p>
    <w:p>
      <w:pPr>
        <w:spacing w:before="60" w:after="60"/>
      </w:pPr>
      <w:r>
        <w:t xml:space="preserve"/>
      </w:r>
    </w:p>
    <w:p>
      <w:pPr>
        <w:spacing w:before="100" w:after="140" w:line="320"/>
      </w:pPr>
      <w:r>
        <w:rPr>
          <w:rFonts w:ascii="Georgia" w:cs="Georgia" w:eastAsia="Georgia" w:hAnsi="Georgia"/>
          <w:sz w:val="22"/>
          <w:szCs w:val="22"/>
        </w:rPr>
        <w:t xml:space="preserve">Singapore is not objecting that Sri Lanka is a weaker economy. A weaker economy is exactly the kind of partner the ergodicity argument endorses — the 50 percent shooter in a pool with a 60 percent shooter. The objection is not to weakness. It is to unpredictability of a specific kind: an economy whose political architecture produces contract reversals after elections, communal violence that disrupts supply chains, and governments that renegotiate infrastructure agreements because the patronage calculation changes. This is not a 50 percent shooter. This is a player whose shot percentage is unknown in advance and has historically included rounds in which the ball was thrown at the audience. That is not below Singapore’s performance threshold. It is below Singapore’s partner quality threshold — and the distinction matters.</w:t>
      </w:r>
      <w:r>
        <w:rPr>
          <w:rFonts w:ascii="Georgia" w:cs="Georgia" w:eastAsia="Georgia" w:hAnsi="Georgia"/>
          <w:color w:val="2c3e6b"/>
          <w:sz w:val="16"/>
          <w:szCs w:val="16"/>
          <w:vertAlign w:val="superscript"/>
        </w:rPr>
        <w:t xml:space="preserve">[26,37,2]</w:t>
      </w:r>
    </w:p>
    <w:p>
      <w:pPr>
        <w:spacing w:before="60" w:after="60"/>
      </w:pPr>
      <w:r>
        <w:t xml:space="preserve"/>
      </w:r>
    </w:p>
    <w:p>
      <w:pPr>
        <w:spacing w:before="100" w:after="140" w:line="320"/>
      </w:pPr>
      <w:r>
        <w:rPr>
          <w:rFonts w:ascii="Georgia" w:cs="Georgia" w:eastAsia="Georgia" w:hAnsi="Georgia"/>
          <w:sz w:val="22"/>
          <w:szCs w:val="22"/>
        </w:rPr>
        <w:t xml:space="preserve">The rational decision for a stronger player confronting a partner who fails Condition 2 is not to pool. Not because pooling is conceptually wrong, but because the specific partner’s variance profile makes pooling irrational in this instance. Singapore is not making an ideological argument about Sri Lanka’s sovereignty. It is making a mathematically correct argument about partner quality. An ASEAN whose pooled credibility includes an economy capable of reversing bilateral commitments under communal political pressure is a pool whose variance Singapore is rational to avoid absorbing.</w:t>
      </w:r>
      <w:r>
        <w:rPr>
          <w:rFonts w:ascii="Georgia" w:cs="Georgia" w:eastAsia="Georgia" w:hAnsi="Georgia"/>
          <w:color w:val="2c3e6b"/>
          <w:sz w:val="16"/>
          <w:szCs w:val="16"/>
          <w:vertAlign w:val="superscript"/>
        </w:rPr>
        <w:t xml:space="preserve">[26,37]</w:t>
      </w:r>
    </w:p>
    <w:p>
      <w:pPr>
        <w:spacing w:before="60" w:after="60"/>
      </w:pPr>
      <w:r>
        <w:t xml:space="preserve"/>
      </w:r>
    </w:p>
    <w:p>
      <w:pPr>
        <w:spacing w:before="100" w:after="140" w:line="320"/>
      </w:pPr>
      <w:r>
        <w:rPr>
          <w:rFonts w:ascii="Georgia" w:cs="Georgia" w:eastAsia="Georgia" w:hAnsi="Georgia"/>
          <w:sz w:val="22"/>
          <w:szCs w:val="22"/>
        </w:rPr>
        <w:t xml:space="preserve">The implication is precise. Institutional reform — the civic constitutional settlement, the impartial state apparatus, the credible dispute resolution — is not only the precondition for Tambapanni’s own hub architecture. It is the precondition for clearing Condition 2. It is the move that changes Tambapanni’s variance profile from ‘unpredictably catastrophic’ to ‘reliably weaker’ — the profile that makes pooling rational for the stronger partner. The institutional reform and the ASEAN bid are not two separate arguments. They are one argument: build the institutional quality that brings Tambapanni above the partner quality floor, and Singapore’s stated objection dissolves on its own analytical terms.</w:t>
      </w:r>
      <w:r>
        <w:rPr>
          <w:rFonts w:ascii="Georgia" w:cs="Georgia" w:eastAsia="Georgia" w:hAnsi="Georgia"/>
          <w:color w:val="2c3e6b"/>
          <w:sz w:val="16"/>
          <w:szCs w:val="16"/>
          <w:vertAlign w:val="superscript"/>
        </w:rPr>
        <w:t xml:space="preserve">[2,26,37]</w:t>
      </w:r>
    </w:p>
    <w:p>
      <w:pPr>
        <w:spacing w:before="60" w:after="60"/>
      </w:pPr>
      <w:r>
        <w:t xml:space="preserve"/>
      </w:r>
    </w:p>
    <w:p>
      <w:pPr>
        <w:spacing w:before="100" w:after="140" w:line="320"/>
      </w:pPr>
      <w:r>
        <w:rPr>
          <w:rFonts w:ascii="Georgia" w:cs="Georgia" w:eastAsia="Georgia" w:hAnsi="Georgia"/>
          <w:sz w:val="22"/>
          <w:szCs w:val="22"/>
        </w:rPr>
        <w:t xml:space="preserve">The opportunity has not closed. ASEAN observer status remains available. The Treaty of Amity and Cooperation remains open for accession. Condition 3 is available — ASEAN’s distribution terms for smaller members are well established and have produced demonstrated benefit for every economy that has used them. Condition 1 holds — the world in which small open economies operate is irreducibly non-ergodic. The only missing condition is Condition 2. And Condition 2 is entirely within Tambapanni’s own institutional architecture to address.</w:t>
      </w:r>
      <w:r>
        <w:rPr>
          <w:rFonts w:ascii="Georgia" w:cs="Georgia" w:eastAsia="Georgia" w:hAnsi="Georgia"/>
          <w:color w:val="2c3e6b"/>
          <w:sz w:val="16"/>
          <w:szCs w:val="16"/>
          <w:vertAlign w:val="superscript"/>
        </w:rPr>
        <w:t xml:space="preserve">[26,37]</w:t>
      </w:r>
    </w:p>
    <w:p>
      <w:pPr>
        <w:spacing w:before="60" w:after="60"/>
      </w:pPr>
      <w:r>
        <w:t xml:space="preserve"/>
      </w:r>
    </w:p>
    <w:p>
      <w:pPr>
        <w:spacing w:before="100" w:after="140" w:line="320"/>
      </w:pPr>
      <w:r>
        <w:rPr>
          <w:rFonts w:ascii="Georgia" w:cs="Georgia" w:eastAsia="Georgia" w:hAnsi="Georgia"/>
          <w:sz w:val="22"/>
          <w:szCs w:val="22"/>
        </w:rPr>
        <w:t xml:space="preserve">This is not idealism. It is the mathematically correct strategy for a small economy operating in a non-ergodic institutional development environment. The expected value of full independence is positive in the average case. The expected value of pooled survival is positive in the sequential case that actually exists. Tambapanni chose the average case in 1967. Singapore is declining the pool until Condition 2 is met. Meeting Condition 2 is the work.</w:t>
      </w:r>
      <w:r>
        <w:rPr>
          <w:rFonts w:ascii="Georgia" w:cs="Georgia" w:eastAsia="Georgia" w:hAnsi="Georgia"/>
          <w:color w:val="2c3e6b"/>
          <w:sz w:val="16"/>
          <w:szCs w:val="16"/>
          <w:vertAlign w:val="superscript"/>
        </w:rPr>
        <w:t xml:space="preserve">[37]</w:t>
      </w:r>
    </w:p>
    <w:p>
      <w:pPr>
        <w:spacing w:before="60" w:after="60"/>
      </w:pPr>
      <w:r>
        <w:t xml:space="preserve"/>
      </w:r>
    </w:p>
    <w:p>
      <w:pPr>
        <w:spacing w:before="240" w:after="100"/>
      </w:pPr>
      <w:bookmarkStart w:name="domestic_pooling_the_same_logic_at_a_dif" w:id="26"/>
      <w:r>
        <w:rPr>
          <w:rFonts w:ascii="Georgia" w:cs="Georgia" w:eastAsia="Georgia" w:hAnsi="Georgia"/>
          <w:b/>
          <w:bCs/>
          <w:i/>
          <w:iCs/>
          <w:color w:val="4a5568"/>
          <w:sz w:val="22"/>
          <w:szCs w:val="22"/>
        </w:rPr>
        <w:t xml:space="preserve">Domestic Pooling: The Same Logic at a Different Scale</w:t>
      </w:r>
      <w:bookmarkEnd w:id="26"/>
    </w:p>
    <w:p>
      <w:pPr>
        <w:spacing w:before="100" w:after="140" w:line="320"/>
      </w:pPr>
      <w:r>
        <w:rPr>
          <w:rFonts w:ascii="Georgia" w:cs="Georgia" w:eastAsia="Georgia" w:hAnsi="Georgia"/>
          <w:sz w:val="22"/>
          <w:szCs w:val="22"/>
        </w:rPr>
        <w:t xml:space="preserve">Every example above operates at the level of international institutional architecture — a small economy accessing Singapore’s arbitration infrastructure, binding into ASEAN’s regulatory credibility, contributing to a common fund that produces outcomes unavailable to any member acting alone. But the pooling argument does not change when the scale changes. The same structural logic applies wherever fragmentation is the constraint. The most direct domestic illustration is agricultural.</w:t>
      </w:r>
    </w:p>
    <w:p>
      <w:pPr>
        <w:spacing w:before="60" w:after="60"/>
      </w:pPr>
      <w:r>
        <w:t xml:space="preserve"/>
      </w:r>
    </w:p>
    <w:p>
      <w:pPr>
        <w:spacing w:before="100" w:after="140" w:line="320"/>
      </w:pPr>
      <w:r>
        <w:rPr>
          <w:rFonts w:ascii="Georgia" w:cs="Georgia" w:eastAsia="Georgia" w:hAnsi="Georgia"/>
          <w:sz w:val="22"/>
          <w:szCs w:val="22"/>
        </w:rPr>
        <w:t xml:space="preserve">Paddy cultivation in the northern districts of Tambapanni — the Jaffna peninsula and the Vanni — is organised around individual smallholder plots. Land holding data for Jaffna District shows that of 84,416 agricultural allotments, 73,483 — 87% of all holdings — average only 0.12 hectares (approximately 48 perches). Many individual paddy plots are smaller still: the Department of Census and Statistics classifies holdings below 40 perches as marginal homesteads producing for home consumption only, and a substantial share of Jaffna paddy land falls at or near that threshold. At this scale, the fixed costs of mechanised cultivation — a transplanter, a combine harvester, irrigation pump infrastructure — cannot be amortised. The capital cannot be deployed. The economies of scale that determine whether paddy cultivation is economically viable are simply not available at the individual smallholder level.</w:t>
      </w:r>
      <w:r>
        <w:rPr>
          <w:rFonts w:ascii="Georgia" w:cs="Georgia" w:eastAsia="Georgia" w:hAnsi="Georgia"/>
          <w:color w:val="2c3e6b"/>
          <w:sz w:val="16"/>
          <w:szCs w:val="16"/>
          <w:vertAlign w:val="superscript"/>
        </w:rPr>
        <w:t xml:space="preserve">[46]</w:t>
      </w:r>
    </w:p>
    <w:p>
      <w:pPr>
        <w:spacing w:before="60" w:after="60"/>
      </w:pPr>
      <w:r>
        <w:t xml:space="preserve"/>
      </w:r>
    </w:p>
    <w:p>
      <w:pPr>
        <w:spacing w:before="100" w:after="140" w:line="320"/>
      </w:pPr>
      <w:r>
        <w:rPr>
          <w:rFonts w:ascii="Georgia" w:cs="Georgia" w:eastAsia="Georgia" w:hAnsi="Georgia"/>
          <w:sz w:val="22"/>
          <w:szCs w:val="22"/>
        </w:rPr>
        <w:t xml:space="preserve">The fragmentation problem is compounded by a seasonal constraint that the national aggregate data obscures. Most of Sri Lanka cultivates paddy in two seasons — Maha (northeast monsoon, October to March) and Yala (southwest monsoon, May to August). The northern districts cultivate in one. The Jaffna peninsula and the Vanni are rain-fed almost entirely on the northeast monsoon; the absence of perennial irrigation infrastructure means paddy land in the north lies fallow for roughly half the year. A smallholder who cannot amortise mechanised equipment across sufficient area also cannot amortise it across sufficient time. The fixed cost problem operates on both dimensions simultaneously. A transplanter that sits idle for six months on a plot too small to justify its deployment in the months it does operate is not an investment failure — it is a structural impossibility at the individual holding level.</w:t>
      </w:r>
      <w:r>
        <w:rPr>
          <w:rFonts w:ascii="Georgia" w:cs="Georgia" w:eastAsia="Georgia" w:hAnsi="Georgia"/>
          <w:color w:val="2c3e6b"/>
          <w:sz w:val="16"/>
          <w:szCs w:val="16"/>
          <w:vertAlign w:val="superscript"/>
        </w:rPr>
        <w:t xml:space="preserve">[46]</w:t>
      </w:r>
    </w:p>
    <w:p>
      <w:pPr>
        <w:spacing w:before="60" w:after="60"/>
      </w:pPr>
      <w:r>
        <w:t xml:space="preserve"/>
      </w:r>
    </w:p>
    <w:p>
      <w:pPr>
        <w:spacing w:before="100" w:after="140" w:line="320"/>
      </w:pPr>
      <w:r>
        <w:rPr>
          <w:rFonts w:ascii="Georgia" w:cs="Georgia" w:eastAsia="Georgia" w:hAnsi="Georgia"/>
          <w:sz w:val="22"/>
          <w:szCs w:val="22"/>
        </w:rPr>
        <w:t xml:space="preserve">The result is visible in the data. Northern Province paddy yields remain below the national average and well below the yields achievable with full mechanisation. Agricultural households in the north depend on remittances to supplement farm income — making them structurally dependent on the same labour arbitrage dynamic that the education section of this paper identifies as a systemic trap. The farm is not viable. The family member abroad makes it tolerable. This is not a solution. It is the absence of one.</w:t>
      </w:r>
      <w:r>
        <w:rPr>
          <w:rFonts w:ascii="Georgia" w:cs="Georgia" w:eastAsia="Georgia" w:hAnsi="Georgia"/>
          <w:color w:val="2c3e6b"/>
          <w:sz w:val="16"/>
          <w:szCs w:val="16"/>
          <w:vertAlign w:val="superscript"/>
        </w:rPr>
        <w:t xml:space="preserve">[46]</w:t>
      </w:r>
    </w:p>
    <w:p>
      <w:pPr>
        <w:spacing w:before="60" w:after="60"/>
      </w:pPr>
      <w:r>
        <w:t xml:space="preserve"/>
      </w:r>
    </w:p>
    <w:p>
      <w:pPr>
        <w:spacing w:before="100" w:after="140" w:line="320"/>
      </w:pPr>
      <w:r>
        <w:rPr>
          <w:rFonts w:ascii="Georgia" w:cs="Georgia" w:eastAsia="Georgia" w:hAnsi="Georgia"/>
          <w:sz w:val="22"/>
          <w:szCs w:val="22"/>
        </w:rPr>
        <w:t xml:space="preserve">The pooling prescription addresses all three constraints simultaneously. Aggregate the fragmented landholdings under a single operating entity — a social cooperative or non-profit agricultural organisation — that holds the land collectively, deploys heavy mechanised equipment at hectare scale, achieves the yield per unit of input that individual smallholders cannot, and distributes the surplus to constituent member-owners in proportion to their contributed landholding. The land remains theirs. The cooperative as a whole can also pursue infrastructure investment — tank rehabilitation, bore-well irrigation, micro-reservoir development — that opens a second cultivation season, the one constraint that no individual holding, however large, could address alone. The machinery that cannot be justified for a 48-perch plot used four months a year is entirely justifiable for a cooperative operating at 40 hectares across two seasons.</w:t>
      </w:r>
    </w:p>
    <w:p>
      <w:pPr>
        <w:spacing w:before="60" w:after="60"/>
      </w:pPr>
      <w:r>
        <w:t xml:space="preserve"/>
      </w:r>
    </w:p>
    <w:p>
      <w:pPr>
        <w:spacing w:before="100" w:after="140" w:line="320"/>
      </w:pPr>
      <w:r>
        <w:rPr>
          <w:rFonts w:ascii="Georgia" w:cs="Georgia" w:eastAsia="Georgia" w:hAnsi="Georgia"/>
          <w:sz w:val="22"/>
          <w:szCs w:val="22"/>
        </w:rPr>
        <w:t xml:space="preserve">This is the school-of-fish principle applied to land. Individual fish are individually vulnerable — too small to deter predation, too small to generate their own current, too small to navigate efficiently. A school of fish mimics a large organism by coordinating the movement of many small ones. No individual fish becomes a large fish. The school as a whole acquires the functional properties of scale that none of its members possesses alone. The smallholder cooperative is structurally identical: no individual farmer gives up ownership of their land. The cooperative as a whole acquires the operational properties of a large farm that none of its members could individually achieve.</w:t>
      </w:r>
    </w:p>
    <w:p>
      <w:pPr>
        <w:spacing w:before="60" w:after="60"/>
      </w:pPr>
      <w:r>
        <w:t xml:space="preserve"/>
      </w:r>
    </w:p>
    <w:p>
      <w:pPr>
        <w:spacing w:before="100" w:after="140" w:line="320"/>
      </w:pPr>
      <w:r>
        <w:rPr>
          <w:rFonts w:ascii="Georgia" w:cs="Georgia" w:eastAsia="Georgia" w:hAnsi="Georgia"/>
          <w:sz w:val="22"/>
          <w:szCs w:val="22"/>
        </w:rPr>
        <w:t xml:space="preserve">The Iranamadu tank dispute makes concrete what happens when the cooperative logic is absent. Iranamadu is the largest reservoir in the Northern Province, located in Kilinochchi, fed by the Kanakarayan Aru. It irrigates over 8,400 hectares of paddy in the Vanni, on which 9,100 families — 40% of Kilinochchi district — depend. But in an average rainfall year the tank holds only enough water to support 30% of its command area during Yala. The Jaffna peninsula, which has no rivers and whose limestone aquifer is increasingly saline from seawater intrusion, requires an external surface water source for drinking. The ADB-backed Jaffna and Kilinochchi Water Supply project proposed drawing from Iranamadu and pumping it 60 kilometres to Jaffna. The Vanni farmers objected immediately: any diversion would eliminate Yala cultivation entirely, destroying the second season that barely exists already. The objection was sustained, and the project was redesigned at considerably greater cost around a reverse osmosis desalination plant on the Jaffna coast.</w:t>
      </w:r>
      <w:r>
        <w:rPr>
          <w:rFonts w:ascii="Georgia" w:cs="Georgia" w:eastAsia="Georgia" w:hAnsi="Georgia"/>
          <w:color w:val="2c3e6b"/>
          <w:sz w:val="16"/>
          <w:szCs w:val="16"/>
          <w:vertAlign w:val="superscript"/>
        </w:rPr>
        <w:t xml:space="preserve">[46]</w:t>
      </w:r>
    </w:p>
    <w:p>
      <w:pPr>
        <w:spacing w:before="60" w:after="60"/>
      </w:pPr>
      <w:r>
        <w:t xml:space="preserve"/>
      </w:r>
    </w:p>
    <w:p>
      <w:pPr>
        <w:spacing w:before="100" w:after="140" w:line="320"/>
      </w:pPr>
      <w:r>
        <w:rPr>
          <w:rFonts w:ascii="Georgia" w:cs="Georgia" w:eastAsia="Georgia" w:hAnsi="Georgia"/>
          <w:sz w:val="22"/>
          <w:szCs w:val="22"/>
        </w:rPr>
        <w:t xml:space="preserve">The standard reading of this dispute is Jaffna versus Vanni — peninsula versus mainland, two communities with incompatible water claims. This reading is politically convenient and analytically wrong. Approximately 60% of the paddy landowners at Iranamadu are residents of Jaffna peninsula. The same Jaffna households demanding the water supply pipeline are the farmers whose Yala crop would be destroyed by it. The conflict does not run between two communities. It runs through the same individuals, who hold incompatible interests simultaneously and have no institutional mechanism for resolving them except political pressure. Without a governance body that can account for both interests together, the only available resolution is the one that actually occurred: abandon the integrated solution, spend more money on a separate one, leave both water problems only partially solved.</w:t>
      </w:r>
      <w:r>
        <w:rPr>
          <w:rFonts w:ascii="Georgia" w:cs="Georgia" w:eastAsia="Georgia" w:hAnsi="Georgia"/>
          <w:color w:val="2c3e6b"/>
          <w:sz w:val="16"/>
          <w:szCs w:val="16"/>
          <w:vertAlign w:val="superscript"/>
        </w:rPr>
        <w:t xml:space="preserve">[46]</w:t>
      </w:r>
    </w:p>
    <w:p>
      <w:pPr>
        <w:spacing w:before="60" w:after="60"/>
      </w:pPr>
      <w:r>
        <w:t xml:space="preserve"/>
      </w:r>
    </w:p>
    <w:p>
      <w:pPr>
        <w:spacing w:before="100" w:after="140" w:line="320"/>
      </w:pPr>
      <w:r>
        <w:rPr>
          <w:rFonts w:ascii="Georgia" w:cs="Georgia" w:eastAsia="Georgia" w:hAnsi="Georgia"/>
          <w:sz w:val="22"/>
          <w:szCs w:val="22"/>
        </w:rPr>
        <w:t xml:space="preserve">A regional agricultural and water cooperative spanning Kilinochchi and Jaffna could change the terms of the problem. University of Jaffna engineering analysis of the Iranamadu system shows that current channel conveyance losses are catastrophic — the result of decades of war damage and neglected maintenance. Rehabilitation of the irrigation channel network alone could raise cropping intensity from 1.18 to 1.35 seasons. The scarcity that made the pipeline politically impossible was not a natural limit of the catchment. It was a management failure. A cooperative with unified governance over the tank, its channels, and its command area could capture the efficiency gains that neither the Vanni farming community nor the Jaffna municipal authority can individually pursue — and allocate the resulting surplus between irrigation and supply without the zero-sum framing that paralysed the infrastructure project.</w:t>
      </w:r>
      <w:r>
        <w:rPr>
          <w:rFonts w:ascii="Georgia" w:cs="Georgia" w:eastAsia="Georgia" w:hAnsi="Georgia"/>
          <w:color w:val="2c3e6b"/>
          <w:sz w:val="16"/>
          <w:szCs w:val="16"/>
          <w:vertAlign w:val="superscript"/>
        </w:rPr>
        <w:t xml:space="preserve">[46]</w:t>
      </w:r>
    </w:p>
    <w:p>
      <w:pPr>
        <w:spacing w:before="60" w:after="60"/>
      </w:pPr>
      <w:r>
        <w:t xml:space="preserve"/>
      </w:r>
    </w:p>
    <w:p>
      <w:pPr>
        <w:spacing w:before="100" w:after="140" w:line="320"/>
      </w:pPr>
      <w:r>
        <w:rPr>
          <w:rFonts w:ascii="Georgia" w:cs="Georgia" w:eastAsia="Georgia" w:hAnsi="Georgia"/>
          <w:sz w:val="22"/>
          <w:szCs w:val="22"/>
        </w:rPr>
        <w:t xml:space="preserve">The Iranamadu case also demonstrates the failure mode that the non-cooperative approach produces. When water governance is politically contested between factions rather than administered by a body with defined membership interests and enforceable allocation rules, rational solutions cannot be reached even when they exist. Each faction advocates for its immediate claim. The shared interest in efficient management — which would benefit both parties — has no voice because it has no institutional representation. The antagonism is not irrational from each party’s individual perspective. It is the predictable result of the absence of a collective unit.</w:t>
      </w:r>
    </w:p>
    <w:p>
      <w:pPr>
        <w:spacing w:before="60" w:after="60"/>
      </w:pPr>
      <w:r>
        <w:t xml:space="preserve"/>
      </w:r>
    </w:p>
    <w:p>
      <w:pPr>
        <w:spacing w:before="100" w:after="140" w:line="320"/>
      </w:pPr>
      <w:r>
        <w:rPr>
          <w:rFonts w:ascii="Georgia" w:cs="Georgia" w:eastAsia="Georgia" w:hAnsi="Georgia"/>
          <w:sz w:val="22"/>
          <w:szCs w:val="22"/>
        </w:rPr>
        <w:t xml:space="preserve">The Vanni farmers’ position is not unreasonable, and it is important to understand it precisely. Their objection to the Jaffna pipeline is not that the engineering is wrong. It is that they do not trust the state to honour their water rights in a drought year once the pipe is built. In an average year, the tank is already at 30% Yala capacity. In a drought year it will be lower. The question is not whether Jaffna will receive water in an average year — it is whether the Vanni’s Maha cultivation will be curtailed to supply Jaffna when the tank runs short. That question requires a binding, enforceable, politically insulated allocation rule administered by an institution the farmers have reason to trust. No such institution exists. The state that would administer the pipeline is the same state that has historically made commitments to the north and broken them under political pressure. Rational farmers, with no legal recourse and no history of impartial administration to rely on, refused the arrangement. This is not obstruction. It is the correct response to an absent institutional precondition.</w:t>
      </w:r>
      <w:r>
        <w:rPr>
          <w:rFonts w:ascii="Georgia" w:cs="Georgia" w:eastAsia="Georgia" w:hAnsi="Georgia"/>
          <w:color w:val="2c3e6b"/>
          <w:sz w:val="16"/>
          <w:szCs w:val="16"/>
          <w:vertAlign w:val="superscript"/>
        </w:rPr>
        <w:t xml:space="preserve">[46]</w:t>
      </w:r>
    </w:p>
    <w:p>
      <w:pPr>
        <w:spacing w:before="60" w:after="60"/>
      </w:pPr>
      <w:r>
        <w:t xml:space="preserve"/>
      </w:r>
    </w:p>
    <w:p>
      <w:pPr>
        <w:spacing w:before="100" w:after="140" w:line="320"/>
      </w:pPr>
      <w:r>
        <w:rPr>
          <w:rFonts w:ascii="Georgia" w:cs="Georgia" w:eastAsia="Georgia" w:hAnsi="Georgia"/>
          <w:sz w:val="22"/>
          <w:szCs w:val="22"/>
        </w:rPr>
        <w:t xml:space="preserve">This is the Fukuyama sequencing argument at its most concrete. The pipeline is not the problem. The allocation mechanism is not the problem. The engineering of the channel rehabilitation is not the problem. All of these are solvable at the technical level. The problem is that none of them can be implemented until the rule of law — enforceable rights, impartial administration, credible commitment by the state — exists in a form that gives the Vanni farmers reason to believe their Maha season will be protected. The institutional reform is not an addendum to the water policy. It is the precondition without which no water policy can be agreed. This paper argues that Tambapanni’s broader economic transformation follows the same logic: every specific intervention — the cooperative, the water infrastructure, the arbitration mechanism, the hub architecture — is technically available and economically sound, and none of it can be durably implemented until the sequencing failure is corrected. That is why this document exists.</w:t>
      </w:r>
      <w:r>
        <w:rPr>
          <w:rFonts w:ascii="Georgia" w:cs="Georgia" w:eastAsia="Georgia" w:hAnsi="Georgia"/>
          <w:color w:val="2c3e6b"/>
          <w:sz w:val="16"/>
          <w:szCs w:val="16"/>
          <w:vertAlign w:val="superscript"/>
        </w:rPr>
        <w:t xml:space="preserve">[2]</w:t>
      </w:r>
    </w:p>
    <w:p>
      <w:pPr>
        <w:spacing w:before="60" w:after="60"/>
      </w:pPr>
      <w:r>
        <w:t xml:space="preserve"/>
      </w:r>
    </w:p>
    <w:p>
      <w:pPr>
        <w:spacing w:before="100" w:after="140" w:line="320"/>
      </w:pPr>
      <w:r>
        <w:rPr>
          <w:rFonts w:ascii="Georgia" w:cs="Georgia" w:eastAsia="Georgia" w:hAnsi="Georgia"/>
          <w:sz w:val="22"/>
          <w:szCs w:val="22"/>
        </w:rPr>
        <w:t xml:space="preserve">The organising entity must be non-profit and structured as a genuine cooperative — not a state farming enterprise of the kind that failed across the developing world in the 1970s and 1980s. The failure mode of state agricultural enterprises is well documented: they divorce the land user from the land’s output consequences, removing the incentive for productivity. The cooperative model avoids this by maintaining the link between individual contribution and individual return. Member-owners have a direct financial stake in the cooperative’s yield. The entity manages operationally at scale. The benefit flows back proportionally.</w:t>
      </w:r>
      <w:r>
        <w:rPr>
          <w:rFonts w:ascii="Georgia" w:cs="Georgia" w:eastAsia="Georgia" w:hAnsi="Georgia"/>
          <w:color w:val="2c3e6b"/>
          <w:sz w:val="16"/>
          <w:szCs w:val="16"/>
          <w:vertAlign w:val="superscript"/>
        </w:rPr>
        <w:t xml:space="preserve">[11]</w:t>
      </w:r>
    </w:p>
    <w:p>
      <w:pPr>
        <w:spacing w:before="60" w:after="60"/>
      </w:pPr>
      <w:r>
        <w:t xml:space="preserve"/>
      </w:r>
    </w:p>
    <w:p>
      <w:pPr>
        <w:spacing w:before="100" w:after="140" w:line="320"/>
      </w:pPr>
      <w:r>
        <w:rPr>
          <w:rFonts w:ascii="Georgia" w:cs="Georgia" w:eastAsia="Georgia" w:hAnsi="Georgia"/>
          <w:sz w:val="22"/>
          <w:szCs w:val="22"/>
        </w:rPr>
        <w:t xml:space="preserve">The principle scales beyond paddy. Fishing cooperatives applying the same logic — pooling vessel costs, cold chain infrastructure, and market access — have demonstrated viability in comparable small-economy contexts. Smallholder tea growers facing the same fragmentation problem in the central highlands could access mechanised processing and direct export relationships that individual holdings of two or three acres cannot reach. The structural argument is the same in each case: fragmentation keeps each unit below the threshold at which the economics become viable. Pooling crosses the threshold without requiring any unit to surrender ownership.</w:t>
      </w:r>
      <w:r>
        <w:rPr>
          <w:rFonts w:ascii="Georgia" w:cs="Georgia" w:eastAsia="Georgia" w:hAnsi="Georgia"/>
          <w:color w:val="2c3e6b"/>
          <w:sz w:val="16"/>
          <w:szCs w:val="16"/>
          <w:vertAlign w:val="superscript"/>
        </w:rPr>
        <w:t xml:space="preserve">[46]</w:t>
      </w:r>
    </w:p>
    <w:p>
      <w:pPr>
        <w:spacing w:before="60" w:after="60"/>
      </w:pPr>
      <w:r>
        <w:t xml:space="preserve"/>
      </w:r>
    </w:p>
    <w:p>
      <w:pPr>
        <w:spacing w:before="100" w:after="140" w:line="320"/>
      </w:pPr>
      <w:r>
        <w:rPr>
          <w:rFonts w:ascii="Georgia" w:cs="Georgia" w:eastAsia="Georgia" w:hAnsi="Georgia"/>
          <w:sz w:val="22"/>
          <w:szCs w:val="22"/>
        </w:rPr>
        <w:t xml:space="preserve">The domestic pooling argument connects directly to the institutional reform thesis of the paper. The reason northern paddy cooperatives have not been organised at scale is not that the economics are unclear — they are straightforward. It is that organising collective land use in a post-conflict district, across landholdings whose legal status was disrupted by displacement and resettlement, requires exactly the kind of impartial institutional infrastructure that Tambapanni does not yet have: a functioning land registry, enforceable cooperative law, and a state apparatus trusted to administer collective arrangements without ethnic or political distortion. The pooling solution requires the institutional reform as its precondition. The institutional reform, in turn, would make the pooling solution viable. They are the same argument at different scales.</w:t>
      </w:r>
    </w:p>
    <w:p>
      <w:pPr>
        <w:spacing w:before="60" w:after="60"/>
      </w:pPr>
      <w:r>
        <w:t xml:space="preserve"/>
      </w:r>
    </w:p>
    <w:p>
      <w:pPr>
        <w:pStyle w:val="Heading2"/>
        <w:spacing w:before="320" w:after="160"/>
      </w:pPr>
      <w:bookmarkStart w:name="the_colombo_plan_the_hub_that_lost_itsel" w:id="27"/>
      <w:r>
        <w:rPr>
          <w:rFonts w:ascii="Georgia" w:cs="Georgia" w:eastAsia="Georgia" w:hAnsi="Georgia"/>
          <w:b/>
          <w:bCs/>
          <w:color w:val="2c3e6b"/>
          <w:sz w:val="26"/>
          <w:szCs w:val="26"/>
        </w:rPr>
        <w:t xml:space="preserve">The Colombo Plan: The Hub That Lost Itself</w:t>
      </w:r>
      <w:bookmarkEnd w:id="27"/>
    </w:p>
    <w:p>
      <w:pPr>
        <w:spacing w:before="100" w:after="140" w:line="320"/>
      </w:pPr>
      <w:r>
        <w:rPr>
          <w:rFonts w:ascii="Georgia" w:cs="Georgia" w:eastAsia="Georgia" w:hAnsi="Georgia"/>
          <w:sz w:val="22"/>
          <w:szCs w:val="22"/>
        </w:rPr>
        <w:t xml:space="preserve">Before ASEAN existed, Tambapanni held a position of genuine regional hub status — and surrendered it through institutional neglect rather than external exclusion.</w:t>
      </w:r>
      <w:r>
        <w:rPr>
          <w:rFonts w:ascii="Georgia" w:cs="Georgia" w:eastAsia="Georgia" w:hAnsi="Georgia"/>
          <w:color w:val="2c3e6b"/>
          <w:sz w:val="16"/>
          <w:szCs w:val="16"/>
          <w:vertAlign w:val="superscript"/>
        </w:rPr>
        <w:t xml:space="preserve">[24,25]</w:t>
      </w:r>
    </w:p>
    <w:p>
      <w:pPr>
        <w:spacing w:before="60" w:after="60"/>
      </w:pPr>
      <w:r>
        <w:t xml:space="preserve"/>
      </w:r>
    </w:p>
    <w:p>
      <w:pPr>
        <w:spacing w:before="100" w:after="140" w:line="320"/>
      </w:pPr>
      <w:r>
        <w:rPr>
          <w:rFonts w:ascii="Georgia" w:cs="Georgia" w:eastAsia="Georgia" w:hAnsi="Georgia"/>
          <w:sz w:val="22"/>
          <w:szCs w:val="22"/>
        </w:rPr>
        <w:t xml:space="preserve">The Colombo Plan was conceived in Colombo in January 1950. Tambapanni was not merely a founding member — it was the intellectual origin point and the permanent host of the secretariat. The Plan's founding purpose was exactly what this paper argues Tambapanni needs now: human resource development and capacity building across South and Southeast Asia, with Colombo as the coordinating hub.</w:t>
      </w:r>
      <w:r>
        <w:rPr>
          <w:rFonts w:ascii="Georgia" w:cs="Georgia" w:eastAsia="Georgia" w:hAnsi="Georgia"/>
          <w:color w:val="2c3e6b"/>
          <w:sz w:val="16"/>
          <w:szCs w:val="16"/>
          <w:vertAlign w:val="superscript"/>
        </w:rPr>
        <w:t xml:space="preserve">[24]</w:t>
      </w:r>
    </w:p>
    <w:p>
      <w:pPr>
        <w:spacing w:before="60" w:after="60"/>
      </w:pPr>
      <w:r>
        <w:t xml:space="preserve"/>
      </w:r>
    </w:p>
    <w:p>
      <w:pPr>
        <w:spacing w:before="100" w:after="140" w:line="320"/>
      </w:pPr>
      <w:r>
        <w:rPr>
          <w:rFonts w:ascii="Georgia" w:cs="Georgia" w:eastAsia="Georgia" w:hAnsi="Georgia"/>
          <w:sz w:val="22"/>
          <w:szCs w:val="22"/>
        </w:rPr>
        <w:t xml:space="preserve">By 1989, the Colombo Plan had delivered over 465,000 training programs and scholarships across the region. The economies that used this capacity building infrastructure most effectively — South Korea, Malaysia, Thailand, and Singapore — transitioned from aid recipients to donors within two generations. They used the Colombo Plan's network to build the human capital that made their institutional leaps possible.</w:t>
      </w:r>
      <w:r>
        <w:rPr>
          <w:rFonts w:ascii="Georgia" w:cs="Georgia" w:eastAsia="Georgia" w:hAnsi="Georgia"/>
          <w:color w:val="2c3e6b"/>
          <w:sz w:val="16"/>
          <w:szCs w:val="16"/>
          <w:vertAlign w:val="superscript"/>
        </w:rPr>
        <w:t xml:space="preserve">[25]</w:t>
      </w:r>
    </w:p>
    <w:p>
      <w:pPr>
        <w:spacing w:before="60" w:after="60"/>
      </w:pPr>
      <w:r>
        <w:t xml:space="preserve"/>
      </w:r>
    </w:p>
    <w:p>
      <w:pPr>
        <w:spacing w:before="100" w:after="140" w:line="320"/>
      </w:pPr>
      <w:r>
        <w:rPr>
          <w:rFonts w:ascii="Georgia" w:cs="Georgia" w:eastAsia="Georgia" w:hAnsi="Georgia"/>
          <w:sz w:val="22"/>
          <w:szCs w:val="22"/>
        </w:rPr>
        <w:t xml:space="preserve">Sri Lanka — the founding host, the secretariat location, the country whose name the plan bore — did not make that transition. It descended into ethnic conflict during precisely the three decades when the Colombo Plan was delivering the capacity building that elsewhere produced the East Asian economic miracle. The patronage politics that consumed the Colombo Plan's domestic potential in Sri Lanka was the same patronage politics that the Sinhala Only Act of 1956 inaugurated.</w:t>
      </w:r>
      <w:r>
        <w:rPr>
          <w:rFonts w:ascii="Georgia" w:cs="Georgia" w:eastAsia="Georgia" w:hAnsi="Georgia"/>
          <w:color w:val="2c3e6b"/>
          <w:sz w:val="16"/>
          <w:szCs w:val="16"/>
          <w:vertAlign w:val="superscript"/>
        </w:rPr>
        <w:t xml:space="preserve">[25,20]</w:t>
      </w:r>
    </w:p>
    <w:p>
      <w:pPr>
        <w:spacing w:before="60" w:after="60"/>
      </w:pPr>
      <w:r>
        <w:t xml:space="preserve"/>
      </w:r>
    </w:p>
    <w:p>
      <w:pPr>
        <w:spacing w:before="100" w:after="140" w:line="320"/>
      </w:pPr>
      <w:r>
        <w:rPr>
          <w:rFonts w:ascii="Georgia" w:cs="Georgia" w:eastAsia="Georgia" w:hAnsi="Georgia"/>
          <w:sz w:val="22"/>
          <w:szCs w:val="22"/>
        </w:rPr>
        <w:t xml:space="preserve">The Colombo Plan secretariat remains headquartered in Colombo. The United States withdrew from the Plan in January 2026 — a geopolitical signal that the bilateral aid architecture of the Cold War era is being unwound, and that regional capacity-building frameworks will need new anchoring. The institutional infrastructure of the original hub still exists. The question is whether the political will to use it will arrive before the window closes again.</w:t>
      </w:r>
      <w:r>
        <w:rPr>
          <w:rFonts w:ascii="Georgia" w:cs="Georgia" w:eastAsia="Georgia" w:hAnsi="Georgia"/>
          <w:color w:val="2c3e6b"/>
          <w:sz w:val="16"/>
          <w:szCs w:val="16"/>
          <w:vertAlign w:val="superscript"/>
        </w:rPr>
        <w:t xml:space="preserve">[24]</w:t>
      </w:r>
    </w:p>
    <w:p>
      <w:pPr>
        <w:spacing w:before="60" w:after="60"/>
      </w:pPr>
      <w:r>
        <w:t xml:space="preserve"/>
      </w:r>
    </w:p>
    <w:p>
      <w:pPr>
        <w:pStyle w:val="Heading2"/>
        <w:spacing w:before="320" w:after="160"/>
      </w:pPr>
      <w:bookmarkStart w:name="what_tambapanni_currently_lacks_as_a_hub" w:id="28"/>
      <w:r>
        <w:rPr>
          <w:rFonts w:ascii="Georgia" w:cs="Georgia" w:eastAsia="Georgia" w:hAnsi="Georgia"/>
          <w:b/>
          <w:bCs/>
          <w:color w:val="2c3e6b"/>
          <w:sz w:val="26"/>
          <w:szCs w:val="26"/>
        </w:rPr>
        <w:t xml:space="preserve">What Tambapanni Currently Lacks as a Hub</w:t>
      </w:r>
      <w:bookmarkEnd w:id="28"/>
    </w:p>
    <w:p>
      <w:pPr>
        <w:spacing w:before="100" w:after="140" w:line="320"/>
      </w:pPr>
      <w:r>
        <w:rPr>
          <w:rFonts w:ascii="Georgia" w:cs="Georgia" w:eastAsia="Georgia" w:hAnsi="Georgia"/>
          <w:sz w:val="22"/>
          <w:szCs w:val="22"/>
        </w:rPr>
        <w:t xml:space="preserve">The gap between Tambapanni's geographic hub potential and its current institutional reality is specific and measurable. It is not a gap in talent, geography, or cultural capital. It is a gap in five institutional capacities that every functioning hub requires:</w:t>
      </w:r>
      <w:r>
        <w:rPr>
          <w:rFonts w:ascii="Georgia" w:cs="Georgia" w:eastAsia="Georgia" w:hAnsi="Georgia"/>
          <w:color w:val="2c3e6b"/>
          <w:sz w:val="16"/>
          <w:szCs w:val="16"/>
          <w:vertAlign w:val="superscript"/>
        </w:rPr>
        <w:t xml:space="preserve">[9,7]</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Credible dispute resolution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Investors and trading partners require confidence that commercial disputes will be resolved impartially and enforceably. Tambapanni does not appear in any major international arbitration centre ranking. Singapore, Dubai, and Hong Kong dominate the regional market for this function.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Regulatory predictability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Hub functions require long-horizon investment decisions. These require confidence that the regulatory environment will not shift with electoral cycles. Tambapanni's regulatory environment has changed direction with every major government since 1977.</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Meritocratic talent allocation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Hub functions — logistics management, financial services, technology orchestration — require the best available talent in the right roles. Patronage allocation of civil service and state enterprise positions systematically misallocates the talent that exists.</w:t>
            </w:r>
          </w:p>
        </w:tc>
      </w:tr>
    </w:tbl>
    <w:p>
      <w:pPr>
        <w:spacing w:before="60" w:after="60"/>
      </w:pPr>
      <w:r>
        <w:t xml:space="preserve"/>
      </w:r>
    </w:p>
    <w:p>
      <w:pPr>
        <w:spacing w:before="240" w:after="100"/>
      </w:pPr>
      <w:bookmarkStart w:name="the_global_talent_dimension_what_meritoc" w:id="29"/>
      <w:r>
        <w:rPr>
          <w:rFonts w:ascii="Georgia" w:cs="Georgia" w:eastAsia="Georgia" w:hAnsi="Georgia"/>
          <w:b/>
          <w:bCs/>
          <w:i/>
          <w:iCs/>
          <w:color w:val="4a5568"/>
          <w:sz w:val="22"/>
          <w:szCs w:val="22"/>
        </w:rPr>
        <w:t xml:space="preserve">The Global Talent Dimension: What Meritocracy Actually Means for a Hub</w:t>
      </w:r>
      <w:bookmarkEnd w:id="29"/>
    </w:p>
    <w:p>
      <w:pPr>
        <w:spacing w:before="100" w:after="140" w:line="320"/>
      </w:pPr>
      <w:r>
        <w:rPr>
          <w:rFonts w:ascii="Georgia" w:cs="Georgia" w:eastAsia="Georgia" w:hAnsi="Georgia"/>
          <w:sz w:val="22"/>
          <w:szCs w:val="22"/>
        </w:rPr>
        <w:t xml:space="preserve">The meritocracy gap in Tambapanni is not only about how domestic talent is allocated within the state apparatus. It is about a deeper attitudinal constraint: the assumption that the best person for a critical national role must be a Sri Lankan national.</w:t>
      </w:r>
    </w:p>
    <w:p>
      <w:pPr>
        <w:spacing w:before="60" w:after="60"/>
      </w:pPr>
      <w:r>
        <w:t xml:space="preserve"/>
      </w:r>
    </w:p>
    <w:p>
      <w:pPr>
        <w:spacing w:before="100" w:after="140" w:line="320"/>
      </w:pPr>
      <w:r>
        <w:rPr>
          <w:rFonts w:ascii="Georgia" w:cs="Georgia" w:eastAsia="Georgia" w:hAnsi="Georgia"/>
          <w:sz w:val="22"/>
          <w:szCs w:val="22"/>
        </w:rPr>
        <w:t xml:space="preserve">This assumption is the opposite of how functioning hubs actually operate. A hub competes by being the best-connected, best-governed, and most credible node in its network — not by reserving its most important roles for people who were born within its borders. When the question is who should advise on digital transformation strategy, or who should design the financial regulatory architecture, or who should build the sovereign wealth management framework, the relevant criterion is global ranking in that domain — not lineage.</w:t>
      </w:r>
    </w:p>
    <w:p>
      <w:pPr>
        <w:spacing w:before="60" w:after="60"/>
      </w:pPr>
      <w:r>
        <w:t xml:space="preserve"/>
      </w:r>
    </w:p>
    <w:p>
      <w:pPr>
        <w:spacing w:before="100" w:after="140" w:line="320"/>
      </w:pPr>
      <w:r>
        <w:rPr>
          <w:rFonts w:ascii="Georgia" w:cs="Georgia" w:eastAsia="Georgia" w:hAnsi="Georgia"/>
          <w:sz w:val="22"/>
          <w:szCs w:val="22"/>
        </w:rPr>
        <w:t xml:space="preserve">Singapore's approach to this question is instructive, and the contrast with Tambapanni's digitalization advisory structure is direct.</w:t>
      </w:r>
      <w:r>
        <w:rPr>
          <w:rFonts w:ascii="Georgia" w:cs="Georgia" w:eastAsia="Georgia" w:hAnsi="Georgia"/>
          <w:color w:val="2c3e6b"/>
          <w:sz w:val="16"/>
          <w:szCs w:val="16"/>
          <w:vertAlign w:val="superscript"/>
        </w:rPr>
        <w:t xml:space="preserve">[34,35,36]</w:t>
      </w:r>
    </w:p>
    <w:p>
      <w:pPr>
        <w:spacing w:before="60" w:after="60"/>
      </w:pPr>
      <w:r>
        <w:t xml:space="preserve"/>
      </w:r>
    </w:p>
    <w:p>
      <w:pPr>
        <w:spacing w:before="100" w:after="140" w:line="320"/>
      </w:pPr>
      <w:r>
        <w:rPr>
          <w:rFonts w:ascii="Georgia" w:cs="Georgia" w:eastAsia="Georgia" w:hAnsi="Georgia"/>
          <w:sz w:val="22"/>
          <w:szCs w:val="22"/>
        </w:rPr>
        <w:t xml:space="preserve">When Singapore's Government Technology Agency (GovTech) needed to accelerate its cloud-centric digital government strategy, it appointed Gregor Hohpe — a German technologist, co-author of the seminal Enterprise Integration Patterns, former Technical Director at Google Cloud's Office of the CTO, and one of the world's foremost authorities on enterprise architecture — as a Smart Nation Fellow.</w:t>
      </w:r>
      <w:r>
        <w:rPr>
          <w:rFonts w:ascii="Georgia" w:cs="Georgia" w:eastAsia="Georgia" w:hAnsi="Georgia"/>
          <w:color w:val="2c3e6b"/>
          <w:sz w:val="16"/>
          <w:szCs w:val="16"/>
          <w:vertAlign w:val="superscript"/>
        </w:rPr>
        <w:t xml:space="preserve">[34]</w:t>
      </w:r>
    </w:p>
    <w:p>
      <w:pPr>
        <w:spacing w:before="60" w:after="60"/>
      </w:pPr>
      <w:r>
        <w:t xml:space="preserve"/>
      </w:r>
    </w:p>
    <w:p>
      <w:pPr>
        <w:spacing w:before="100" w:after="140" w:line="320"/>
      </w:pPr>
      <w:r>
        <w:rPr>
          <w:rFonts w:ascii="Georgia" w:cs="Georgia" w:eastAsia="Georgia" w:hAnsi="Georgia"/>
          <w:sz w:val="22"/>
          <w:szCs w:val="22"/>
        </w:rPr>
        <w:t xml:space="preserve">Hohpe is not Singaporean. He was not appointed because of his connection to Singapore or because of political loyalty to any constituency within it. He was appointed because he was among the best available people in the world for the specific function required. His mandate was not advisory in the weak sense — he worked directly within GovTech to build the developer platform infrastructure that now underpins Singapore's digital government services.</w:t>
      </w:r>
      <w:r>
        <w:rPr>
          <w:rFonts w:ascii="Georgia" w:cs="Georgia" w:eastAsia="Georgia" w:hAnsi="Georgia"/>
          <w:color w:val="2c3e6b"/>
          <w:sz w:val="16"/>
          <w:szCs w:val="16"/>
          <w:vertAlign w:val="superscript"/>
        </w:rPr>
        <w:t xml:space="preserve">[34]</w:t>
      </w:r>
    </w:p>
    <w:p>
      <w:pPr>
        <w:spacing w:before="60" w:after="60"/>
      </w:pPr>
      <w:r>
        <w:t xml:space="preserve"/>
      </w:r>
    </w:p>
    <w:p>
      <w:pPr>
        <w:spacing w:before="100" w:after="140" w:line="320"/>
      </w:pPr>
      <w:r>
        <w:rPr>
          <w:rFonts w:ascii="Georgia" w:cs="Georgia" w:eastAsia="Georgia" w:hAnsi="Georgia"/>
          <w:sz w:val="22"/>
          <w:szCs w:val="22"/>
        </w:rPr>
        <w:t xml:space="preserve">The founding of GIC in 1981 reflects the same logic applied at the level of sovereign wealth management. When Dr. Goh Keng Swee conceived GIC, Singapore had no indigenous fund management expertise.</w:t>
      </w:r>
      <w:r>
        <w:rPr>
          <w:rFonts w:ascii="Georgia" w:cs="Georgia" w:eastAsia="Georgia" w:hAnsi="Georgia"/>
          <w:color w:val="2c3e6b"/>
          <w:sz w:val="16"/>
          <w:szCs w:val="16"/>
          <w:vertAlign w:val="superscript"/>
        </w:rPr>
        <w:t xml:space="preserve">[35,36]</w:t>
      </w:r>
    </w:p>
    <w:p>
      <w:pPr>
        <w:spacing w:before="60" w:after="60"/>
      </w:pPr>
      <w:r>
        <w:t xml:space="preserve"/>
      </w:r>
    </w:p>
    <w:p>
      <w:pPr>
        <w:pBdr>
          <w:left w:val="single" w:color="2c3e6b" w:sz="12" w:space="20"/>
        </w:pBdr>
        <w:spacing w:before="160" w:after="160" w:line="300"/>
        <w:ind w:left="720" w:right="720"/>
      </w:pPr>
      <w:r>
        <w:rPr>
          <w:rFonts w:ascii="Georgia" w:cs="Georgia" w:eastAsia="Georgia" w:hAnsi="Georgia"/>
          <w:i/>
          <w:iCs/>
          <w:color w:val="4a5568"/>
          <w:sz w:val="21"/>
          <w:szCs w:val="21"/>
        </w:rPr>
        <w:t xml:space="preserve">How should an investment management company be started in the absence of indigenous fund management expertise? The answer was to recruit globally and build capability — not to appoint based on lineage or political connection.</w:t>
      </w:r>
      <w:r>
        <w:rPr>
          <w:rFonts w:ascii="Georgia" w:cs="Georgia" w:eastAsia="Georgia" w:hAnsi="Georgia"/>
          <w:color w:val="2c3e6b"/>
          <w:sz w:val="16"/>
          <w:szCs w:val="16"/>
          <w:vertAlign w:val="superscript"/>
        </w:rPr>
        <w:t xml:space="preserve">[35]</w:t>
      </w:r>
    </w:p>
    <w:p>
      <w:pPr>
        <w:spacing w:before="60" w:after="60"/>
      </w:pPr>
      <w:r>
        <w:t xml:space="preserve"/>
      </w:r>
    </w:p>
    <w:p>
      <w:pPr>
        <w:spacing w:before="100" w:after="140" w:line="320"/>
      </w:pPr>
      <w:r>
        <w:rPr>
          <w:rFonts w:ascii="Georgia" w:cs="Georgia" w:eastAsia="Georgia" w:hAnsi="Georgia"/>
          <w:sz w:val="22"/>
          <w:szCs w:val="22"/>
        </w:rPr>
        <w:t xml:space="preserve">GIC’s founding values — Prudence, Respect, Integrity, Merit, Excellence, encapsulated as PRIME — named meritocracy explicitly as a precondition for success, not as an aspiration. Both Dr. Goh and Lee Kuan Yew repeatedly stressed that integrity and meritocracy were non-negotiable. Lee studied board papers personally and demanded written answers to his margin questions within the day. The standard was set from the top, for the institution as a whole, as a structural requirement.</w:t>
      </w:r>
      <w:r>
        <w:rPr>
          <w:rFonts w:ascii="Georgia" w:cs="Georgia" w:eastAsia="Georgia" w:hAnsi="Georgia"/>
          <w:color w:val="2c3e6b"/>
          <w:sz w:val="16"/>
          <w:szCs w:val="16"/>
          <w:vertAlign w:val="superscript"/>
        </w:rPr>
        <w:t xml:space="preserve">[36]</w:t>
      </w:r>
    </w:p>
    <w:p>
      <w:pPr>
        <w:spacing w:before="60" w:after="60"/>
      </w:pPr>
      <w:r>
        <w:t xml:space="preserve"/>
      </w:r>
    </w:p>
    <w:p>
      <w:pPr>
        <w:spacing w:before="100" w:after="140" w:line="320"/>
      </w:pPr>
      <w:r>
        <w:rPr>
          <w:rFonts w:ascii="Georgia" w:cs="Georgia" w:eastAsia="Georgia" w:hAnsi="Georgia"/>
          <w:sz w:val="22"/>
          <w:szCs w:val="22"/>
        </w:rPr>
        <w:t xml:space="preserve">The contrast with Tambapanni's approach to equivalent functions is not a matter of degree. It is a matter of kind. Tambapanni's digitalization advisory structure is populated by political appointees and local loyalists — not because no global talent was considered, but because the selection process is not designed to find the best available person. It is designed to find an acceptable person from within the patronage network. These are different processes that produce different outcomes.</w:t>
      </w:r>
      <w:r>
        <w:rPr>
          <w:rFonts w:ascii="Georgia" w:cs="Georgia" w:eastAsia="Georgia" w:hAnsi="Georgia"/>
          <w:color w:val="2c3e6b"/>
          <w:sz w:val="16"/>
          <w:szCs w:val="16"/>
          <w:vertAlign w:val="superscript"/>
        </w:rPr>
        <w:t xml:space="preserve">[7]</w:t>
      </w:r>
    </w:p>
    <w:p>
      <w:pPr>
        <w:spacing w:before="60" w:after="60"/>
      </w:pPr>
      <w:r>
        <w:t xml:space="preserve"/>
      </w:r>
    </w:p>
    <w:p>
      <w:pPr>
        <w:spacing w:before="100" w:after="140" w:line="320"/>
      </w:pPr>
      <w:r>
        <w:rPr>
          <w:rFonts w:ascii="Georgia" w:cs="Georgia" w:eastAsia="Georgia" w:hAnsi="Georgia"/>
          <w:sz w:val="22"/>
          <w:szCs w:val="22"/>
        </w:rPr>
        <w:t xml:space="preserve">The consequence is visible in outcomes. Singapore's Smart Nation program, advised by global talent appointed on merit, is consistently ranked among the world's two or three most advanced digital government implementations. Tambapanni's digitalization efforts, advised by political appointees, have produced a series of disconnected systems, duplicated databases, and unrealised platform investments — not because the engineers building them lacked skill, but because the strategic architecture directing them was not designed at the level the problem required.</w:t>
      </w:r>
      <w:r>
        <w:rPr>
          <w:rFonts w:ascii="Georgia" w:cs="Georgia" w:eastAsia="Georgia" w:hAnsi="Georgia"/>
          <w:color w:val="2c3e6b"/>
          <w:sz w:val="16"/>
          <w:szCs w:val="16"/>
          <w:vertAlign w:val="superscript"/>
        </w:rPr>
        <w:t xml:space="preserve">[7,14]</w:t>
      </w:r>
    </w:p>
    <w:p>
      <w:pPr>
        <w:spacing w:before="60" w:after="60"/>
      </w:pPr>
      <w:r>
        <w:t xml:space="preserve"/>
      </w:r>
    </w:p>
    <w:p>
      <w:pPr>
        <w:spacing w:before="100" w:after="140" w:line="320"/>
      </w:pPr>
      <w:r>
        <w:rPr>
          <w:rFonts w:ascii="Georgia" w:cs="Georgia" w:eastAsia="Georgia" w:hAnsi="Georgia"/>
          <w:sz w:val="22"/>
          <w:szCs w:val="22"/>
        </w:rPr>
        <w:t xml:space="preserve">The GIC lesson generalises beyond sovereign wealth. The question for every critical national function — central bank leadership, infrastructure procurement, regulatory design, digital government architecture — is the same: are we finding the best available person in the world for this function, or are we finding an acceptable person from within the network we already trust? The first question produces hub-quality institutions. The second produces patronage-quality institutions dressed in hub-quality language.</w:t>
      </w:r>
      <w:r>
        <w:rPr>
          <w:rFonts w:ascii="Georgia" w:cs="Georgia" w:eastAsia="Georgia" w:hAnsi="Georgia"/>
          <w:color w:val="2c3e6b"/>
          <w:sz w:val="16"/>
          <w:szCs w:val="16"/>
          <w:vertAlign w:val="superscript"/>
        </w:rPr>
        <w:t xml:space="preserve">[2,36]</w:t>
      </w:r>
    </w:p>
    <w:p>
      <w:pPr>
        <w:spacing w:before="60" w:after="60"/>
      </w:pPr>
      <w:r>
        <w:t xml:space="preserve"/>
      </w:r>
    </w:p>
    <w:p>
      <w:pPr>
        <w:spacing w:before="100" w:after="140" w:line="320"/>
      </w:pPr>
      <w:r>
        <w:rPr>
          <w:rFonts w:ascii="Georgia" w:cs="Georgia" w:eastAsia="Georgia" w:hAnsi="Georgia"/>
          <w:sz w:val="22"/>
          <w:szCs w:val="22"/>
        </w:rPr>
        <w:t xml:space="preserve">A hub that appoints on lineage is not a hub. It is a domestic institution with geographic advantages it cannot exploit because the talent calibre of its decision-making does not match the scale of the opportunity its position offers.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Binding commitment capacity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Hub status requires that counterparties trust Tambapanni to honour long-term agreements. The history of infrastructure agreements reversed, investment frameworks changed, and bilateral commitments renegotiated under political pressure makes this trust currently unavailable.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Impartial market access rules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A hub must apply the same rules to all participants regardless of origin or political connection. Selective enforcement — in customs, in licensing, in contract awards — is the structural signature of patronage and the structural barrier to hub function.</w:t>
            </w:r>
          </w:p>
        </w:tc>
      </w:tr>
    </w:tbl>
    <w:p>
      <w:pPr>
        <w:spacing w:before="60" w:after="60"/>
      </w:pPr>
      <w:r>
        <w:t xml:space="preserve"/>
      </w:r>
    </w:p>
    <w:p>
      <w:pPr>
        <w:spacing w:before="100" w:after="140" w:line="320"/>
      </w:pPr>
      <w:r>
        <w:rPr>
          <w:rFonts w:ascii="Georgia" w:cs="Georgia" w:eastAsia="Georgia" w:hAnsi="Georgia"/>
          <w:sz w:val="22"/>
          <w:szCs w:val="22"/>
        </w:rPr>
        <w:t xml:space="preserve">None of these gaps are permanent features of the island's geography or culture. Each is a direct consequence of the sequencing failure diagnosed in Section II. Each is addressable through the institutional interventions specified in Section V. The hub is available. The institutional quality to occupy it is the work.</w:t>
      </w:r>
      <w:r>
        <w:rPr>
          <w:rFonts w:ascii="Georgia" w:cs="Georgia" w:eastAsia="Georgia" w:hAnsi="Georgia"/>
          <w:color w:val="2c3e6b"/>
          <w:sz w:val="16"/>
          <w:szCs w:val="16"/>
          <w:vertAlign w:val="superscript"/>
        </w:rPr>
        <w:t xml:space="preserve">[2,11]</w:t>
      </w:r>
    </w:p>
    <w:p>
      <w:pPr>
        <w:spacing w:before="60" w:after="60"/>
      </w:pPr>
      <w:r>
        <w:t xml:space="preserve"/>
      </w:r>
    </w:p>
    <w:p>
      <w:pPr>
        <w:pBdr>
          <w:bottom w:val="single" w:color="2c3e6b" w:sz="4" w:space="1"/>
        </w:pBdr>
        <w:spacing w:before="240" w:after="240"/>
      </w:pPr>
      <w:r>
        <w:t xml:space="preserve"/>
      </w:r>
    </w:p>
    <w:p>
      <w:pPr>
        <w:pStyle w:val="Heading1"/>
        <w:spacing w:before="480" w:after="200"/>
      </w:pPr>
      <w:bookmarkStart w:name="ib_incremental_reform_and_the_revolution" w:id="30"/>
      <w:r>
        <w:rPr>
          <w:rFonts w:ascii="Georgia" w:cs="Georgia" w:eastAsia="Georgia" w:hAnsi="Georgia"/>
          <w:b/>
          <w:bCs/>
          <w:color w:val="1a1a2e"/>
          <w:sz w:val="34"/>
          <w:szCs w:val="34"/>
        </w:rPr>
        <w:t xml:space="preserve">Ib. Incremental Reform and the Revolution That Is Actually Required</w:t>
      </w:r>
      <w:bookmarkEnd w:id="30"/>
    </w:p>
    <w:p>
      <w:pPr>
        <w:spacing w:before="100" w:after="140" w:line="320"/>
      </w:pPr>
      <w:r>
        <w:rPr>
          <w:rFonts w:ascii="Georgia" w:cs="Georgia" w:eastAsia="Georgia" w:hAnsi="Georgia"/>
          <w:sz w:val="22"/>
          <w:szCs w:val="22"/>
        </w:rPr>
        <w:t xml:space="preserve">The political reform debate in Tambapanni is currently dominated by a single instrument: the 13th Amendment to the Constitution, passed in 1987 under the Indo-Sri Lanka Accord.</w:t>
      </w:r>
      <w:r>
        <w:rPr>
          <w:rFonts w:ascii="Georgia" w:cs="Georgia" w:eastAsia="Georgia" w:hAnsi="Georgia"/>
          <w:color w:val="2c3e6b"/>
          <w:sz w:val="16"/>
          <w:szCs w:val="16"/>
          <w:vertAlign w:val="superscript"/>
        </w:rPr>
        <w:t xml:space="preserve">[27]</w:t>
      </w:r>
    </w:p>
    <w:p>
      <w:pPr>
        <w:spacing w:before="60" w:after="60"/>
      </w:pPr>
      <w:r>
        <w:t xml:space="preserve"/>
      </w:r>
    </w:p>
    <w:p>
      <w:pPr>
        <w:pStyle w:val="Heading2"/>
        <w:spacing w:before="320" w:after="160"/>
      </w:pPr>
      <w:bookmarkStart w:name="what_the_13th_amendment_is" w:id="31"/>
      <w:r>
        <w:rPr>
          <w:rFonts w:ascii="Georgia" w:cs="Georgia" w:eastAsia="Georgia" w:hAnsi="Georgia"/>
          <w:b/>
          <w:bCs/>
          <w:color w:val="2c3e6b"/>
          <w:sz w:val="26"/>
          <w:szCs w:val="26"/>
        </w:rPr>
        <w:t xml:space="preserve">What the 13th Amendment Is</w:t>
      </w:r>
      <w:bookmarkEnd w:id="31"/>
    </w:p>
    <w:p>
      <w:pPr>
        <w:spacing w:before="100" w:after="140" w:line="320"/>
      </w:pPr>
      <w:r>
        <w:rPr>
          <w:rFonts w:ascii="Georgia" w:cs="Georgia" w:eastAsia="Georgia" w:hAnsi="Georgia"/>
          <w:sz w:val="22"/>
          <w:szCs w:val="22"/>
        </w:rPr>
        <w:t xml:space="preserve">The 13th Amendment devolved limited powers to elected Provincial Councils, including the Northern and Eastern Provinces. It represented a negotiated response to the Tamil armed insurgency and Indian diplomatic pressure — not a first-principles reconsideration of the state's institutional design.</w:t>
      </w:r>
      <w:r>
        <w:rPr>
          <w:rFonts w:ascii="Georgia" w:cs="Georgia" w:eastAsia="Georgia" w:hAnsi="Georgia"/>
          <w:color w:val="2c3e6b"/>
          <w:sz w:val="16"/>
          <w:szCs w:val="16"/>
          <w:vertAlign w:val="superscript"/>
        </w:rPr>
        <w:t xml:space="preserve">[27,28]</w:t>
      </w:r>
    </w:p>
    <w:p>
      <w:pPr>
        <w:spacing w:before="60" w:after="60"/>
      </w:pPr>
      <w:r>
        <w:t xml:space="preserve"/>
      </w:r>
    </w:p>
    <w:p>
      <w:pPr>
        <w:spacing w:before="100" w:after="140" w:line="320"/>
      </w:pPr>
      <w:r>
        <w:rPr>
          <w:rFonts w:ascii="Georgia" w:cs="Georgia" w:eastAsia="Georgia" w:hAnsi="Georgia"/>
          <w:sz w:val="22"/>
          <w:szCs w:val="22"/>
        </w:rPr>
        <w:t xml:space="preserve">Thirty-seven years after its passage, the 13th Amendment has never been fully implemented. The police powers it promised to provincial councils have never been transferred. It is debated in every political cycle — by Sinhalese nationalist parties as too much devolution and by Tamil political parties as too little. It is the permanent unresolved instrument of a permanent unresolved argument.</w:t>
      </w:r>
      <w:r>
        <w:rPr>
          <w:rFonts w:ascii="Georgia" w:cs="Georgia" w:eastAsia="Georgia" w:hAnsi="Georgia"/>
          <w:color w:val="2c3e6b"/>
          <w:sz w:val="16"/>
          <w:szCs w:val="16"/>
          <w:vertAlign w:val="superscript"/>
        </w:rPr>
        <w:t xml:space="preserve">[27,28]</w:t>
      </w:r>
    </w:p>
    <w:p>
      <w:pPr>
        <w:spacing w:before="60" w:after="60"/>
      </w:pPr>
      <w:r>
        <w:t xml:space="preserve"/>
      </w:r>
    </w:p>
    <w:p>
      <w:pPr>
        <w:pStyle w:val="Heading2"/>
        <w:spacing w:before="320" w:after="160"/>
      </w:pPr>
      <w:bookmarkStart w:name="why_the_13th_amendment_is_structurally_i" w:id="32"/>
      <w:r>
        <w:rPr>
          <w:rFonts w:ascii="Georgia" w:cs="Georgia" w:eastAsia="Georgia" w:hAnsi="Georgia"/>
          <w:b/>
          <w:bCs/>
          <w:color w:val="2c3e6b"/>
          <w:sz w:val="26"/>
          <w:szCs w:val="26"/>
        </w:rPr>
        <w:t xml:space="preserve">Why the 13th Amendment Is Structurally Insufficient</w:t>
      </w:r>
      <w:bookmarkEnd w:id="32"/>
    </w:p>
    <w:p>
      <w:pPr>
        <w:spacing w:before="100" w:after="140" w:line="320"/>
      </w:pPr>
      <w:r>
        <w:rPr>
          <w:rFonts w:ascii="Georgia" w:cs="Georgia" w:eastAsia="Georgia" w:hAnsi="Georgia"/>
          <w:sz w:val="22"/>
          <w:szCs w:val="22"/>
        </w:rPr>
        <w:t xml:space="preserve">The 13th Amendment is an incremental response to a structural problem. Its frame is entirely backward-looking: it attempts to resolve the ethnic conflict of the 20th century by redistributing power within the existing constitutional architecture — an architecture that retains ethnic and religious designation in the state's founding logic.</w:t>
      </w:r>
      <w:r>
        <w:rPr>
          <w:rFonts w:ascii="Georgia" w:cs="Georgia" w:eastAsia="Georgia" w:hAnsi="Georgia"/>
          <w:color w:val="2c3e6b"/>
          <w:sz w:val="16"/>
          <w:szCs w:val="16"/>
          <w:vertAlign w:val="superscript"/>
        </w:rPr>
        <w:t xml:space="preserve">[27,28]</w:t>
      </w:r>
    </w:p>
    <w:p>
      <w:pPr>
        <w:spacing w:before="60" w:after="60"/>
      </w:pPr>
      <w:r>
        <w:t xml:space="preserve"/>
      </w:r>
    </w:p>
    <w:p>
      <w:pPr>
        <w:spacing w:before="100" w:after="140" w:line="320"/>
      </w:pPr>
      <w:r>
        <w:rPr>
          <w:rFonts w:ascii="Georgia" w:cs="Georgia" w:eastAsia="Georgia" w:hAnsi="Georgia"/>
          <w:sz w:val="22"/>
          <w:szCs w:val="22"/>
        </w:rPr>
        <w:t xml:space="preserve">Fukuyama's sequencing framework explains why incremental reform of this kind cannot solve the underlying problem.</w:t>
      </w:r>
      <w:r>
        <w:rPr>
          <w:rFonts w:ascii="Georgia" w:cs="Georgia" w:eastAsia="Georgia" w:hAnsi="Georgia"/>
          <w:color w:val="2c3e6b"/>
          <w:sz w:val="16"/>
          <w:szCs w:val="16"/>
          <w:vertAlign w:val="superscript"/>
        </w:rPr>
        <w:t xml:space="preserve">[2]</w:t>
      </w:r>
    </w:p>
    <w:p>
      <w:pPr>
        <w:spacing w:before="60" w:after="60"/>
      </w:pPr>
      <w:r>
        <w:t xml:space="preserve"/>
      </w:r>
    </w:p>
    <w:p>
      <w:pPr>
        <w:pBdr>
          <w:left w:val="single" w:color="2c3e6b" w:sz="12" w:space="20"/>
        </w:pBdr>
        <w:spacing w:before="160" w:after="160" w:line="300"/>
        <w:ind w:left="720" w:right="720"/>
      </w:pPr>
      <w:r>
        <w:rPr>
          <w:rFonts w:ascii="Georgia" w:cs="Georgia" w:eastAsia="Georgia" w:hAnsi="Georgia"/>
          <w:i/>
          <w:iCs/>
          <w:color w:val="4a5568"/>
          <w:sz w:val="21"/>
          <w:szCs w:val="21"/>
        </w:rPr>
        <w:t xml:space="preserve">Incremental reform of a patronage state produces patronage devolution. The provinces capture the same functions — allocation of civil service positions, distribution of infrastructure contracts, control of regulatory enforcement — through the same patronage logic. The unit of patronage changes from central to provincial. The structural logic does not.</w:t>
      </w:r>
      <w:r>
        <w:rPr>
          <w:rFonts w:ascii="Georgia" w:cs="Georgia" w:eastAsia="Georgia" w:hAnsi="Georgia"/>
          <w:color w:val="2c3e6b"/>
          <w:sz w:val="16"/>
          <w:szCs w:val="16"/>
          <w:vertAlign w:val="superscript"/>
        </w:rPr>
        <w:t xml:space="preserve">[2]</w:t>
      </w:r>
    </w:p>
    <w:p>
      <w:pPr>
        <w:spacing w:before="60" w:after="60"/>
      </w:pPr>
      <w:r>
        <w:t xml:space="preserve"/>
      </w:r>
    </w:p>
    <w:p>
      <w:pPr>
        <w:spacing w:before="100" w:after="140" w:line="320"/>
      </w:pPr>
      <w:r>
        <w:rPr>
          <w:rFonts w:ascii="Georgia" w:cs="Georgia" w:eastAsia="Georgia" w:hAnsi="Georgia"/>
          <w:sz w:val="22"/>
          <w:szCs w:val="22"/>
        </w:rPr>
        <w:t xml:space="preserve">This is precisely what the empirical record shows wherever the 13th Amendment has been partially implemented. Provincial councils replicate the patronage dynamics of the central government at smaller scale. They do not produce the impartial institutional capacity the hub architecture requires. They produce smaller versions of the same problem.</w:t>
      </w:r>
      <w:r>
        <w:rPr>
          <w:rFonts w:ascii="Georgia" w:cs="Georgia" w:eastAsia="Georgia" w:hAnsi="Georgia"/>
          <w:color w:val="2c3e6b"/>
          <w:sz w:val="16"/>
          <w:szCs w:val="16"/>
          <w:vertAlign w:val="superscript"/>
        </w:rPr>
        <w:t xml:space="preserve">[28]</w:t>
      </w:r>
    </w:p>
    <w:p>
      <w:pPr>
        <w:spacing w:before="60" w:after="60"/>
      </w:pPr>
      <w:r>
        <w:t xml:space="preserve"/>
      </w:r>
    </w:p>
    <w:p>
      <w:pPr>
        <w:pStyle w:val="Heading2"/>
        <w:spacing w:before="320" w:after="160"/>
      </w:pPr>
      <w:bookmarkStart w:name="the_revolution_fukuyama_s_framework_actu" w:id="33"/>
      <w:r>
        <w:rPr>
          <w:rFonts w:ascii="Georgia" w:cs="Georgia" w:eastAsia="Georgia" w:hAnsi="Georgia"/>
          <w:b/>
          <w:bCs/>
          <w:color w:val="2c3e6b"/>
          <w:sz w:val="26"/>
          <w:szCs w:val="26"/>
        </w:rPr>
        <w:t xml:space="preserve">The Revolution Fukuyama's Framework Actually Implies</w:t>
      </w:r>
      <w:bookmarkEnd w:id="33"/>
    </w:p>
    <w:p>
      <w:pPr>
        <w:spacing w:before="100" w:after="140" w:line="320"/>
      </w:pPr>
      <w:r>
        <w:rPr>
          <w:rFonts w:ascii="Georgia" w:cs="Georgia" w:eastAsia="Georgia" w:hAnsi="Georgia"/>
          <w:sz w:val="22"/>
          <w:szCs w:val="22"/>
        </w:rPr>
        <w:t xml:space="preserve">Fukuyama's analysis of political development is not a reform manual. It is a sequencing argument. Its implication for Tambapanni is radical: you cannot patch your way out of a sequencing failure. The institutions that should have been built before democratisation were not built. Patching the democratic institutions that were built on that absent foundation does not retroactively build the foundation.</w:t>
      </w:r>
      <w:r>
        <w:rPr>
          <w:rFonts w:ascii="Georgia" w:cs="Georgia" w:eastAsia="Georgia" w:hAnsi="Georgia"/>
          <w:color w:val="2c3e6b"/>
          <w:sz w:val="16"/>
          <w:szCs w:val="16"/>
          <w:vertAlign w:val="superscript"/>
        </w:rPr>
        <w:t xml:space="preserve">[2]</w:t>
      </w:r>
    </w:p>
    <w:p>
      <w:pPr>
        <w:spacing w:before="60" w:after="60"/>
      </w:pPr>
      <w:r>
        <w:t xml:space="preserve"/>
      </w:r>
    </w:p>
    <w:p>
      <w:pPr>
        <w:spacing w:before="100" w:after="140" w:line="320"/>
      </w:pPr>
      <w:r>
        <w:rPr>
          <w:rFonts w:ascii="Georgia" w:cs="Georgia" w:eastAsia="Georgia" w:hAnsi="Georgia"/>
          <w:sz w:val="22"/>
          <w:szCs w:val="22"/>
        </w:rPr>
        <w:t xml:space="preserve">What the sequencing framework implies is not reform. It implies reconstruction — the deliberate building of the institutional substrate that was absent in 1948 and has never been built since. Three institutions in specific sequence:</w:t>
      </w:r>
      <w:r>
        <w:rPr>
          <w:rFonts w:ascii="Georgia" w:cs="Georgia" w:eastAsia="Georgia" w:hAnsi="Georgia"/>
          <w:color w:val="2c3e6b"/>
          <w:sz w:val="16"/>
          <w:szCs w:val="16"/>
          <w:vertAlign w:val="superscript"/>
        </w:rPr>
        <w:t xml:space="preserve">[2]</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First: the impartial state apparatus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A constitutionally insulated civil service with merit-based recruitment and promotion, genuinely independent of electoral cycles. This must precede everything else — because every other reform is implemented by whoever controls the state apparatus.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Second: the rule of law</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Commercial dispute resolution with international credibility, a judiciary insulated from political interference, and regulatory enforcement that applies rules equally regardless of political connection. This constrains the state apparatus built in the first step.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Third: civic constitutional settlement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The removal of ethnic and religious designation from the state's founding purpose — establishing that the state serves all citizens equally. This is the precondition for the impartiality that the hub architecture requires, and the constitutional foundation within which democratic accountability can function without becoming ethnic patronage competition.</w:t>
            </w:r>
          </w:p>
        </w:tc>
      </w:tr>
    </w:tbl>
    <w:p>
      <w:pPr>
        <w:spacing w:before="60" w:after="60"/>
      </w:pPr>
      <w:r>
        <w:t xml:space="preserve"/>
      </w:r>
    </w:p>
    <w:p>
      <w:pPr>
        <w:spacing w:before="100" w:after="140" w:line="320"/>
      </w:pPr>
      <w:r>
        <w:rPr>
          <w:rFonts w:ascii="Georgia" w:cs="Georgia" w:eastAsia="Georgia" w:hAnsi="Georgia"/>
          <w:sz w:val="22"/>
          <w:szCs w:val="22"/>
        </w:rPr>
        <w:t xml:space="preserve">This sequence is the opposite of the 13th Amendment's logic. The 13th Amendment redistributes democratic accountability (devolution) without first building the impartial state apparatus or establishing the rule of law. It therefore produces patronage devolution, not institutional reform.</w:t>
      </w:r>
      <w:r>
        <w:rPr>
          <w:rFonts w:ascii="Georgia" w:cs="Georgia" w:eastAsia="Georgia" w:hAnsi="Georgia"/>
          <w:color w:val="2c3e6b"/>
          <w:sz w:val="16"/>
          <w:szCs w:val="16"/>
          <w:vertAlign w:val="superscript"/>
        </w:rPr>
        <w:t xml:space="preserve">[2,27]</w:t>
      </w:r>
    </w:p>
    <w:p>
      <w:pPr>
        <w:spacing w:before="60" w:after="60"/>
      </w:pPr>
      <w:r>
        <w:t xml:space="preserve"/>
      </w:r>
    </w:p>
    <w:p>
      <w:pPr>
        <w:spacing w:before="100" w:after="140" w:line="320"/>
      </w:pPr>
      <w:r>
        <w:rPr>
          <w:rFonts w:ascii="Georgia" w:cs="Georgia" w:eastAsia="Georgia" w:hAnsi="Georgia"/>
          <w:sz w:val="22"/>
          <w:szCs w:val="22"/>
        </w:rPr>
        <w:t xml:space="preserve">The revolution this framework implies is not violent. It is conceptual. It requires abandoning the backward-looking frame — the question of how to distribute power between ethnic communities within the existing constitutional architecture — and replacing it with a forward-looking frame: what institutional architecture does the hub model require, and how do we build it in the correct sequence?</w:t>
      </w:r>
      <w:r>
        <w:rPr>
          <w:rFonts w:ascii="Georgia" w:cs="Georgia" w:eastAsia="Georgia" w:hAnsi="Georgia"/>
          <w:color w:val="2c3e6b"/>
          <w:sz w:val="16"/>
          <w:szCs w:val="16"/>
          <w:vertAlign w:val="superscript"/>
        </w:rPr>
        <w:t xml:space="preserve">[2,6]</w:t>
      </w:r>
    </w:p>
    <w:p>
      <w:pPr>
        <w:spacing w:before="60" w:after="60"/>
      </w:pPr>
      <w:r>
        <w:t xml:space="preserve"/>
      </w:r>
    </w:p>
    <w:p>
      <w:pPr>
        <w:spacing w:before="100" w:after="140" w:line="320"/>
      </w:pPr>
      <w:r>
        <w:rPr>
          <w:rFonts w:ascii="Georgia" w:cs="Georgia" w:eastAsia="Georgia" w:hAnsi="Georgia"/>
          <w:sz w:val="22"/>
          <w:szCs w:val="22"/>
        </w:rPr>
        <w:t xml:space="preserve">The 13th Amendment debate asks: how do we resolve the conflict of the past? The hub architecture asks: what do we need to build for the future? These are not the same question. They do not have the same answer. And you cannot answer the second question while you are still trying to answer the first.</w:t>
      </w:r>
      <w:r>
        <w:rPr>
          <w:rFonts w:ascii="Georgia" w:cs="Georgia" w:eastAsia="Georgia" w:hAnsi="Georgia"/>
          <w:color w:val="2c3e6b"/>
          <w:sz w:val="16"/>
          <w:szCs w:val="16"/>
          <w:vertAlign w:val="superscript"/>
        </w:rPr>
        <w:t xml:space="preserve">[21]</w:t>
      </w:r>
    </w:p>
    <w:p>
      <w:pPr>
        <w:spacing w:before="60" w:after="60"/>
      </w:pPr>
      <w:r>
        <w:t xml:space="preserve"/>
      </w:r>
    </w:p>
    <w:p>
      <w:pPr>
        <w:pBdr>
          <w:bottom w:val="single" w:color="2c3e6b" w:sz="4" w:space="1"/>
        </w:pBdr>
        <w:spacing w:before="240" w:after="240"/>
      </w:pPr>
      <w:r>
        <w:t xml:space="preserve"/>
      </w:r>
    </w:p>
    <w:p>
      <w:pPr>
        <w:pStyle w:val="Heading1"/>
        <w:spacing w:before="480" w:after="200"/>
      </w:pPr>
      <w:bookmarkStart w:name="ii_the_constraint" w:id="34"/>
      <w:r>
        <w:rPr>
          <w:rFonts w:ascii="Georgia" w:cs="Georgia" w:eastAsia="Georgia" w:hAnsi="Georgia"/>
          <w:b/>
          <w:bCs/>
          <w:color w:val="1a1a2e"/>
          <w:sz w:val="34"/>
          <w:szCs w:val="34"/>
        </w:rPr>
        <w:t xml:space="preserve">II. The Constraint</w:t>
      </w:r>
      <w:bookmarkEnd w:id="34"/>
    </w:p>
    <w:p>
      <w:pPr>
        <w:spacing w:before="100" w:after="140" w:line="320"/>
      </w:pPr>
      <w:r>
        <w:rPr>
          <w:rFonts w:ascii="Georgia" w:cs="Georgia" w:eastAsia="Georgia" w:hAnsi="Georgia"/>
          <w:sz w:val="22"/>
          <w:szCs w:val="22"/>
        </w:rPr>
        <w:t xml:space="preserve">Tambapanni's failure to take previous macroeconomic windows is not explained by geography, talent, or capital. All three were present. The constraint is institutional — and it is specific.</w:t>
      </w:r>
      <w:r>
        <w:rPr>
          <w:rFonts w:ascii="Georgia" w:cs="Georgia" w:eastAsia="Georgia" w:hAnsi="Georgia"/>
          <w:color w:val="2c3e6b"/>
          <w:sz w:val="16"/>
          <w:szCs w:val="16"/>
          <w:vertAlign w:val="superscript"/>
        </w:rPr>
        <w:t xml:space="preserve">[2,20]</w:t>
      </w:r>
    </w:p>
    <w:p>
      <w:pPr>
        <w:spacing w:before="60" w:after="60"/>
      </w:pPr>
      <w:r>
        <w:t xml:space="preserve"/>
      </w:r>
    </w:p>
    <w:p>
      <w:pPr>
        <w:pStyle w:val="Heading2"/>
        <w:spacing w:before="320" w:after="160"/>
      </w:pPr>
      <w:bookmarkStart w:name="the_sequencing_failure" w:id="35"/>
      <w:r>
        <w:rPr>
          <w:rFonts w:ascii="Georgia" w:cs="Georgia" w:eastAsia="Georgia" w:hAnsi="Georgia"/>
          <w:b/>
          <w:bCs/>
          <w:color w:val="2c3e6b"/>
          <w:sz w:val="26"/>
          <w:szCs w:val="26"/>
        </w:rPr>
        <w:t xml:space="preserve">The Sequencing Failure</w:t>
      </w:r>
      <w:bookmarkEnd w:id="35"/>
    </w:p>
    <w:p>
      <w:pPr>
        <w:spacing w:before="100" w:after="140" w:line="320"/>
      </w:pPr>
      <w:r>
        <w:rPr>
          <w:rFonts w:ascii="Georgia" w:cs="Georgia" w:eastAsia="Georgia" w:hAnsi="Georgia"/>
          <w:sz w:val="22"/>
          <w:szCs w:val="22"/>
        </w:rPr>
        <w:t xml:space="preserve">Fukuyama's analysis of political development establishes that the sequence in which institutions develop determines their eventual character.</w:t>
      </w:r>
      <w:r>
        <w:rPr>
          <w:rFonts w:ascii="Georgia" w:cs="Georgia" w:eastAsia="Georgia" w:hAnsi="Georgia"/>
          <w:color w:val="2c3e6b"/>
          <w:sz w:val="16"/>
          <w:szCs w:val="16"/>
          <w:vertAlign w:val="superscript"/>
        </w:rPr>
        <w:t xml:space="preserve">[2]</w:t>
      </w:r>
    </w:p>
    <w:p>
      <w:pPr>
        <w:spacing w:before="60" w:after="60"/>
      </w:pPr>
      <w:r>
        <w:t xml:space="preserve"/>
      </w:r>
    </w:p>
    <w:p>
      <w:pPr>
        <w:spacing w:before="100" w:after="140" w:line="320"/>
      </w:pPr>
      <w:r>
        <w:rPr>
          <w:rFonts w:ascii="Georgia" w:cs="Georgia" w:eastAsia="Georgia" w:hAnsi="Georgia"/>
          <w:sz w:val="22"/>
          <w:szCs w:val="22"/>
        </w:rPr>
        <w:t xml:space="preserve">The correct sequence: first, a strong and impartial state apparatus; second, the rule of law constraining that apparatus; third, democratic accountability directing it. Countries following this sequence built bureaucracies with professional integrity, resistant to capture by particular factions.</w:t>
      </w:r>
      <w:r>
        <w:rPr>
          <w:rFonts w:ascii="Georgia" w:cs="Georgia" w:eastAsia="Georgia" w:hAnsi="Georgia"/>
          <w:color w:val="2c3e6b"/>
          <w:sz w:val="16"/>
          <w:szCs w:val="16"/>
          <w:vertAlign w:val="superscript"/>
        </w:rPr>
        <w:t xml:space="preserve">[2]</w:t>
      </w:r>
    </w:p>
    <w:p>
      <w:pPr>
        <w:spacing w:before="60" w:after="60"/>
      </w:pPr>
      <w:r>
        <w:t xml:space="preserve"/>
      </w:r>
    </w:p>
    <w:p>
      <w:pPr>
        <w:spacing w:before="100" w:after="140" w:line="320"/>
      </w:pPr>
      <w:r>
        <w:rPr>
          <w:rFonts w:ascii="Georgia" w:cs="Georgia" w:eastAsia="Georgia" w:hAnsi="Georgia"/>
          <w:sz w:val="22"/>
          <w:szCs w:val="22"/>
        </w:rPr>
        <w:t xml:space="preserve">Tambapanni democratised in 1931 — before independence, before a professional state apparatus existed. Universal suffrage arrived under the Donoughmore Constitution without the institutional substrate that gives democratic competition a civic rather than patronage character.</w:t>
      </w:r>
      <w:r>
        <w:rPr>
          <w:rFonts w:ascii="Georgia" w:cs="Georgia" w:eastAsia="Georgia" w:hAnsi="Georgia"/>
          <w:color w:val="2c3e6b"/>
          <w:sz w:val="16"/>
          <w:szCs w:val="16"/>
          <w:vertAlign w:val="superscript"/>
        </w:rPr>
        <w:t xml:space="preserve">[19,20]</w:t>
      </w:r>
    </w:p>
    <w:p>
      <w:pPr>
        <w:spacing w:before="60" w:after="60"/>
      </w:pPr>
      <w:r>
        <w:t xml:space="preserve"/>
      </w:r>
    </w:p>
    <w:p>
      <w:pPr>
        <w:pBdr>
          <w:left w:val="single" w:color="2c3e6b" w:sz="12" w:space="20"/>
        </w:pBdr>
        <w:spacing w:before="160" w:after="160" w:line="300"/>
        <w:ind w:left="720" w:right="720"/>
      </w:pPr>
      <w:r>
        <w:rPr>
          <w:rFonts w:ascii="Georgia" w:cs="Georgia" w:eastAsia="Georgia" w:hAnsi="Georgia"/>
          <w:i/>
          <w:iCs/>
          <w:color w:val="4a5568"/>
          <w:sz w:val="21"/>
          <w:szCs w:val="21"/>
        </w:rPr>
        <w:t xml:space="preserve">When popular democratization precedes the development of a strong, autonomous administrative state, the executive branch is captured as a prize of clientelism.</w:t>
      </w:r>
      <w:r>
        <w:rPr>
          <w:rFonts w:ascii="Georgia" w:cs="Georgia" w:eastAsia="Georgia" w:hAnsi="Georgia"/>
          <w:color w:val="2c3e6b"/>
          <w:sz w:val="16"/>
          <w:szCs w:val="16"/>
          <w:vertAlign w:val="superscript"/>
        </w:rPr>
        <w:t xml:space="preserve">[2]</w:t>
      </w:r>
    </w:p>
    <w:p>
      <w:pPr>
        <w:spacing w:before="60" w:after="60"/>
      </w:pPr>
      <w:r>
        <w:t xml:space="preserve"/>
      </w:r>
    </w:p>
    <w:p>
      <w:pPr>
        <w:spacing w:before="100" w:after="140" w:line="320"/>
      </w:pPr>
      <w:r>
        <w:rPr>
          <w:rFonts w:ascii="Georgia" w:cs="Georgia" w:eastAsia="Georgia" w:hAnsi="Georgia"/>
          <w:sz w:val="22"/>
          <w:szCs w:val="22"/>
        </w:rPr>
        <w:t xml:space="preserve">The result was immediate and structural. Democratic competition became ethnic patronage competition — not because ethnic division was the underlying reality, but because ethnic identity was the available mobilising vehicle in the absence of a civic, impartial state framework to compete within.</w:t>
      </w:r>
      <w:r>
        <w:rPr>
          <w:rFonts w:ascii="Georgia" w:cs="Georgia" w:eastAsia="Georgia" w:hAnsi="Georgia"/>
          <w:color w:val="2c3e6b"/>
          <w:sz w:val="16"/>
          <w:szCs w:val="16"/>
          <w:vertAlign w:val="superscript"/>
        </w:rPr>
        <w:t xml:space="preserve">[20]</w:t>
      </w:r>
    </w:p>
    <w:p>
      <w:pPr>
        <w:spacing w:before="60" w:after="60"/>
      </w:pPr>
      <w:r>
        <w:t xml:space="preserve"/>
      </w:r>
    </w:p>
    <w:p>
      <w:pPr>
        <w:pStyle w:val="Heading2"/>
        <w:spacing w:before="320" w:after="160"/>
      </w:pPr>
      <w:bookmarkStart w:name="what_patronage_politics_cannot_do" w:id="36"/>
      <w:r>
        <w:rPr>
          <w:rFonts w:ascii="Georgia" w:cs="Georgia" w:eastAsia="Georgia" w:hAnsi="Georgia"/>
          <w:b/>
          <w:bCs/>
          <w:color w:val="2c3e6b"/>
          <w:sz w:val="26"/>
          <w:szCs w:val="26"/>
        </w:rPr>
        <w:t xml:space="preserve">What Patronage Politics Cannot Do</w:t>
      </w:r>
      <w:bookmarkEnd w:id="36"/>
    </w:p>
    <w:p>
      <w:pPr>
        <w:spacing w:before="100" w:after="140" w:line="320"/>
      </w:pPr>
      <w:r>
        <w:rPr>
          <w:rFonts w:ascii="Georgia" w:cs="Georgia" w:eastAsia="Georgia" w:hAnsi="Georgia"/>
          <w:sz w:val="22"/>
          <w:szCs w:val="22"/>
        </w:rPr>
        <w:t xml:space="preserve">The specific incapacities that patronage politics produces are not random. They are the precise incapacities that capturing a macroeconomic window requires:</w:t>
      </w:r>
      <w:r>
        <w:rPr>
          <w:rFonts w:ascii="Georgia" w:cs="Georgia" w:eastAsia="Georgia" w:hAnsi="Georgia"/>
          <w:color w:val="2c3e6b"/>
          <w:sz w:val="16"/>
          <w:szCs w:val="16"/>
          <w:vertAlign w:val="superscript"/>
        </w:rPr>
        <w:t xml:space="preserve">[11]</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Long-horizon infrastructure contracts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Require credible state commitment across electoral cycles. Patronage systems cannot commit — each new government redistributes to its own constituency.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Impartial regulatory enforcement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Require rules applied equally regardless of political connection. Patronage systems cannot be impartial — the rules serve the network.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Meritocratic talent deployment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Require the best people in the right roles. Patronage systems allocate roles as political reward — competence is secondary to loyalty.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Predictable dispute resolution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Require a judiciary and arbitration system free from political interference. International capital will not commit to jurisdictions where outcomes are negotiable.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Binding international commitments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Require a state that can sign agreements and honour them. Patronage states reverse commitments when they conflict with the patronage network's interests.</w:t>
            </w:r>
          </w:p>
        </w:tc>
      </w:tr>
    </w:tbl>
    <w:p>
      <w:pPr>
        <w:spacing w:before="60" w:after="60"/>
      </w:pPr>
      <w:r>
        <w:t xml:space="preserve"/>
      </w:r>
    </w:p>
    <w:p>
      <w:pPr>
        <w:spacing w:before="100" w:after="140" w:line="320"/>
      </w:pPr>
      <w:r>
        <w:rPr>
          <w:rFonts w:ascii="Georgia" w:cs="Georgia" w:eastAsia="Georgia" w:hAnsi="Georgia"/>
          <w:sz w:val="22"/>
          <w:szCs w:val="22"/>
        </w:rPr>
        <w:t xml:space="preserve">Each of these incapacities is a direct barrier to capturing the window described in Section I. The macroeconomic opportunity is real. The institutional constraint is equally real. They cannot both be addressed simultaneously without naming the constraint precisely.</w:t>
      </w:r>
    </w:p>
    <w:p>
      <w:pPr>
        <w:spacing w:before="60" w:after="60"/>
      </w:pPr>
      <w:r>
        <w:t xml:space="preserve"/>
      </w:r>
    </w:p>
    <w:p>
      <w:pPr>
        <w:pStyle w:val="Heading2"/>
        <w:spacing w:before="320" w:after="160"/>
      </w:pPr>
      <w:bookmarkStart w:name="the_constitutional_design_problem_lky_s_" w:id="37"/>
      <w:r>
        <w:rPr>
          <w:rFonts w:ascii="Georgia" w:cs="Georgia" w:eastAsia="Georgia" w:hAnsi="Georgia"/>
          <w:b/>
          <w:bCs/>
          <w:color w:val="2c3e6b"/>
          <w:sz w:val="26"/>
          <w:szCs w:val="26"/>
        </w:rPr>
        <w:t xml:space="preserve">The Constitutional Design Problem: LKY's 1992 Argument</w:t>
      </w:r>
      <w:bookmarkEnd w:id="37"/>
    </w:p>
    <w:p>
      <w:pPr>
        <w:spacing w:before="100" w:after="140" w:line="320"/>
      </w:pPr>
      <w:r>
        <w:rPr>
          <w:rFonts w:ascii="Georgia" w:cs="Georgia" w:eastAsia="Georgia" w:hAnsi="Georgia"/>
          <w:sz w:val="22"/>
          <w:szCs w:val="22"/>
        </w:rPr>
        <w:t xml:space="preserve">In his address to the 18th Philippine Business Conference in Manila on November 18, 1992, Lee Kuan Yew made an argument that bears directly on Tambapanni's situation.</w:t>
      </w:r>
      <w:r>
        <w:rPr>
          <w:rFonts w:ascii="Georgia" w:cs="Georgia" w:eastAsia="Georgia" w:hAnsi="Georgia"/>
          <w:color w:val="2c3e6b"/>
          <w:sz w:val="16"/>
          <w:szCs w:val="16"/>
          <w:vertAlign w:val="superscript"/>
        </w:rPr>
        <w:t xml:space="preserve">[3]</w:t>
      </w:r>
    </w:p>
    <w:p>
      <w:pPr>
        <w:spacing w:before="60" w:after="60"/>
      </w:pPr>
      <w:r>
        <w:t xml:space="preserve"/>
      </w:r>
    </w:p>
    <w:p>
      <w:pPr>
        <w:pBdr>
          <w:left w:val="single" w:color="2c3e6b" w:sz="12" w:space="20"/>
        </w:pBdr>
        <w:spacing w:before="160" w:after="160" w:line="300"/>
        <w:ind w:left="720" w:right="720"/>
      </w:pPr>
      <w:r>
        <w:rPr>
          <w:rFonts w:ascii="Georgia" w:cs="Georgia" w:eastAsia="Georgia" w:hAnsi="Georgia"/>
          <w:i/>
          <w:iCs/>
          <w:color w:val="4a5568"/>
          <w:sz w:val="21"/>
          <w:szCs w:val="21"/>
        </w:rPr>
        <w:t xml:space="preserve">There is absolutely no assurance that the American-style Constitution will produce wealth for the Philippines as it has for America … I do not believe that Korea, Taiwan, Hong Kong or Singapore could have succeeded as they have done if they had to work under such a constitution, where gridlock on every major issue is a way of life.</w:t>
      </w:r>
      <w:r>
        <w:rPr>
          <w:rFonts w:ascii="Georgia" w:cs="Georgia" w:eastAsia="Georgia" w:hAnsi="Georgia"/>
          <w:color w:val="2c3e6b"/>
          <w:sz w:val="16"/>
          <w:szCs w:val="16"/>
          <w:vertAlign w:val="superscript"/>
        </w:rPr>
        <w:t xml:space="preserve">[3]</w:t>
      </w:r>
    </w:p>
    <w:p>
      <w:pPr>
        <w:spacing w:before="60" w:after="60"/>
      </w:pPr>
      <w:r>
        <w:t xml:space="preserve"/>
      </w:r>
    </w:p>
    <w:p>
      <w:pPr>
        <w:spacing w:before="100" w:after="140" w:line="320"/>
      </w:pPr>
      <w:r>
        <w:rPr>
          <w:rFonts w:ascii="Georgia" w:cs="Georgia" w:eastAsia="Georgia" w:hAnsi="Georgia"/>
          <w:sz w:val="22"/>
          <w:szCs w:val="22"/>
        </w:rPr>
        <w:t xml:space="preserve">The argument is not that democracy is wrong for Asian societies. It is that constitutional design must match the institutional maturity and social conditions of the society it governs. Transplanting a constitutional model wholesale — without building the institutional substrate it was designed to operate within — produces the form without the function.</w:t>
      </w:r>
      <w:r>
        <w:rPr>
          <w:rFonts w:ascii="Georgia" w:cs="Georgia" w:eastAsia="Georgia" w:hAnsi="Georgia"/>
          <w:color w:val="2c3e6b"/>
          <w:sz w:val="16"/>
          <w:szCs w:val="16"/>
          <w:vertAlign w:val="superscript"/>
        </w:rPr>
        <w:t xml:space="preserve">[3,2]</w:t>
      </w:r>
    </w:p>
    <w:p>
      <w:pPr>
        <w:spacing w:before="60" w:after="60"/>
      </w:pPr>
      <w:r>
        <w:t xml:space="preserve"/>
      </w:r>
    </w:p>
    <w:p>
      <w:pPr>
        <w:spacing w:before="100" w:after="140" w:line="320"/>
      </w:pPr>
      <w:r>
        <w:rPr>
          <w:rFonts w:ascii="Georgia" w:cs="Georgia" w:eastAsia="Georgia" w:hAnsi="Georgia"/>
          <w:sz w:val="22"/>
          <w:szCs w:val="22"/>
        </w:rPr>
        <w:t xml:space="preserve">Tambapanni's 1948 Westminster inheritance was a more sophisticated transplant than the Philippines' US model — but it faced the same substrate problem. Westminster functions in Britain because of centuries of common law development, a professional civil service with its own institutional culture, and norms of political competition that constrain what parties can do to each other when they win. None of these substrates existed in Tambapanni in 1948. The form arrived. The substrate did not.</w:t>
      </w:r>
      <w:r>
        <w:rPr>
          <w:rFonts w:ascii="Georgia" w:cs="Georgia" w:eastAsia="Georgia" w:hAnsi="Georgia"/>
          <w:color w:val="2c3e6b"/>
          <w:sz w:val="16"/>
          <w:szCs w:val="16"/>
          <w:vertAlign w:val="superscript"/>
        </w:rPr>
        <w:t xml:space="preserve">[19,20]</w:t>
      </w:r>
    </w:p>
    <w:p>
      <w:pPr>
        <w:spacing w:before="60" w:after="60"/>
      </w:pPr>
      <w:r>
        <w:t xml:space="preserve"/>
      </w:r>
    </w:p>
    <w:p>
      <w:pPr>
        <w:spacing w:before="100" w:after="140" w:line="320"/>
      </w:pPr>
      <w:r>
        <w:rPr>
          <w:rFonts w:ascii="Georgia" w:cs="Georgia" w:eastAsia="Georgia" w:hAnsi="Georgia"/>
          <w:sz w:val="22"/>
          <w:szCs w:val="22"/>
        </w:rPr>
        <w:t xml:space="preserve">The further compounding factor was the racial-religious ethos written into the constitutional amendments of the 1970s. A constitution that designates one ethnic or religious community as the primary custodian of the state structurally cannot produce the impartial regulatory environment that attracts global capital. The designation is not a policy preference that can be adjusted. It is written into the state's founding logic.</w:t>
      </w:r>
      <w:r>
        <w:rPr>
          <w:rFonts w:ascii="Georgia" w:cs="Georgia" w:eastAsia="Georgia" w:hAnsi="Georgia"/>
          <w:color w:val="2c3e6b"/>
          <w:sz w:val="16"/>
          <w:szCs w:val="16"/>
          <w:vertAlign w:val="superscript"/>
        </w:rPr>
        <w:t xml:space="preserve">[21]</w:t>
      </w:r>
    </w:p>
    <w:p>
      <w:pPr>
        <w:spacing w:before="60" w:after="60"/>
      </w:pPr>
      <w:r>
        <w:t xml:space="preserve"/>
      </w:r>
    </w:p>
    <w:p>
      <w:pPr>
        <w:pBdr>
          <w:bottom w:val="single" w:color="2c3e6b" w:sz="4" w:space="1"/>
        </w:pBdr>
        <w:spacing w:before="240" w:after="240"/>
      </w:pPr>
      <w:r>
        <w:t xml:space="preserve"/>
      </w:r>
    </w:p>
    <w:p>
      <w:pPr>
        <w:pStyle w:val="Heading1"/>
        <w:spacing w:before="480" w:after="200"/>
      </w:pPr>
      <w:bookmarkStart w:name="iii_the_hohpe_shift_economies_of_speed_o" w:id="38"/>
      <w:r>
        <w:rPr>
          <w:rFonts w:ascii="Georgia" w:cs="Georgia" w:eastAsia="Georgia" w:hAnsi="Georgia"/>
          <w:b/>
          <w:bCs/>
          <w:color w:val="1a1a2e"/>
          <w:sz w:val="34"/>
          <w:szCs w:val="34"/>
        </w:rPr>
        <w:t xml:space="preserve">III. The Hohpe Shift: Economies of Speed over Economies of Scale</w:t>
      </w:r>
      <w:bookmarkEnd w:id="38"/>
    </w:p>
    <w:p>
      <w:pPr>
        <w:spacing w:before="100" w:after="140" w:line="320"/>
      </w:pPr>
      <w:r>
        <w:rPr>
          <w:rFonts w:ascii="Georgia" w:cs="Georgia" w:eastAsia="Georgia" w:hAnsi="Georgia"/>
          <w:sz w:val="22"/>
          <w:szCs w:val="22"/>
        </w:rPr>
        <w:t xml:space="preserve">Hohpe’s central argument in Cloud Strategy is a distinction between two fundamentally different operating logics — and the distinction maps directly onto the strategic choice facing Tambapanni.</w:t>
      </w:r>
      <w:r>
        <w:rPr>
          <w:rFonts w:ascii="Georgia" w:cs="Georgia" w:eastAsia="Georgia" w:hAnsi="Georgia"/>
          <w:color w:val="2c3e6b"/>
          <w:sz w:val="16"/>
          <w:szCs w:val="16"/>
          <w:vertAlign w:val="superscript"/>
        </w:rPr>
        <w:t xml:space="preserve">[5]</w:t>
      </w:r>
    </w:p>
    <w:p>
      <w:pPr>
        <w:spacing w:before="60" w:after="60"/>
      </w:pPr>
      <w:r>
        <w:t xml:space="preserve"/>
      </w:r>
    </w:p>
    <w:p>
      <w:pPr>
        <w:pBdr>
          <w:left w:val="single" w:color="2c3e6b" w:sz="12" w:space="20"/>
        </w:pBdr>
        <w:spacing w:before="160" w:after="160" w:line="300"/>
        <w:ind w:left="720" w:right="720"/>
      </w:pPr>
      <w:r>
        <w:rPr>
          <w:rFonts w:ascii="Georgia" w:cs="Georgia" w:eastAsia="Georgia" w:hAnsi="Georgia"/>
          <w:i/>
          <w:iCs/>
          <w:color w:val="4a5568"/>
          <w:sz w:val="21"/>
          <w:szCs w:val="21"/>
        </w:rPr>
        <w:t xml:space="preserve">Organizations benefit from their scale for recovery of the project investment: the bigger they are, the better the returns. They operate based on Economies of Scale. [But] instead of scale, they’re living by the rules of Economies of Speed: not the biggest one succeeds, but the most nimble one.</w:t>
      </w:r>
      <w:r>
        <w:rPr>
          <w:rFonts w:ascii="Georgia" w:cs="Georgia" w:eastAsia="Georgia" w:hAnsi="Georgia"/>
          <w:color w:val="2c3e6b"/>
          <w:sz w:val="16"/>
          <w:szCs w:val="16"/>
          <w:vertAlign w:val="superscript"/>
        </w:rPr>
        <w:t xml:space="preserve">[5]</w:t>
      </w:r>
    </w:p>
    <w:p>
      <w:pPr>
        <w:spacing w:before="60" w:after="60"/>
      </w:pPr>
      <w:r>
        <w:t xml:space="preserve"/>
      </w:r>
    </w:p>
    <w:p>
      <w:pPr>
        <w:spacing w:before="100" w:after="140" w:line="320"/>
      </w:pPr>
      <w:r>
        <w:rPr>
          <w:rFonts w:ascii="Georgia" w:cs="Georgia" w:eastAsia="Georgia" w:hAnsi="Georgia"/>
          <w:sz w:val="22"/>
          <w:szCs w:val="22"/>
        </w:rPr>
        <w:t xml:space="preserve">In Economies of Scale, the core competence is being a good guesser — defining a future target state and executing to plan. You invest in the asset because you can forecast the return. In Economies of Speed, the core competence is being a fast learner. The world changes too fast for the forecast to survive contact with reality.</w:t>
      </w:r>
      <w:r>
        <w:rPr>
          <w:rFonts w:ascii="Georgia" w:cs="Georgia" w:eastAsia="Georgia" w:hAnsi="Georgia"/>
          <w:color w:val="2c3e6b"/>
          <w:sz w:val="16"/>
          <w:szCs w:val="16"/>
          <w:vertAlign w:val="superscript"/>
        </w:rPr>
        <w:t xml:space="preserve">[5]</w:t>
      </w:r>
    </w:p>
    <w:p>
      <w:pPr>
        <w:spacing w:before="60" w:after="60"/>
      </w:pPr>
      <w:r>
        <w:t xml:space="preserve"/>
      </w:r>
    </w:p>
    <w:p>
      <w:pPr>
        <w:spacing w:before="100" w:after="140" w:line="320"/>
      </w:pPr>
      <w:r>
        <w:rPr>
          <w:rFonts w:ascii="Georgia" w:cs="Georgia" w:eastAsia="Georgia" w:hAnsi="Georgia"/>
          <w:sz w:val="22"/>
          <w:szCs w:val="22"/>
        </w:rPr>
        <w:t xml:space="preserve">The signature difference is in the unit of measurement. Economies of Scale think in absolutes: headcount, budget, deadlines, asset value. Economies of Speed think in rates — what Hohpe calls the first derivative. Burn rate rather than budget. Velocity rather than deadline. Cost of experimentation rather than cost of the asset. As Hohpe states directly:</w:t>
      </w:r>
      <w:r>
        <w:rPr>
          <w:rFonts w:ascii="Georgia" w:cs="Georgia" w:eastAsia="Georgia" w:hAnsi="Georgia"/>
          <w:color w:val="2c3e6b"/>
          <w:sz w:val="16"/>
          <w:szCs w:val="16"/>
          <w:vertAlign w:val="superscript"/>
        </w:rPr>
        <w:t xml:space="preserve">[5]</w:t>
      </w:r>
    </w:p>
    <w:p>
      <w:pPr>
        <w:spacing w:before="60" w:after="60"/>
      </w:pPr>
      <w:r>
        <w:t xml:space="preserve"/>
      </w:r>
    </w:p>
    <w:p>
      <w:pPr>
        <w:pBdr>
          <w:left w:val="single" w:color="2c3e6b" w:sz="12" w:space="20"/>
        </w:pBdr>
        <w:spacing w:before="160" w:after="160" w:line="300"/>
        <w:ind w:left="720" w:right="720"/>
      </w:pPr>
      <w:r>
        <w:rPr>
          <w:rFonts w:ascii="Georgia" w:cs="Georgia" w:eastAsia="Georgia" w:hAnsi="Georgia"/>
          <w:i/>
          <w:iCs/>
          <w:color w:val="4a5568"/>
          <w:sz w:val="21"/>
          <w:szCs w:val="21"/>
        </w:rPr>
        <w:t xml:space="preserve">Organizations operating in constant change think and speak in relative values because absolutes have little meaning for them.</w:t>
      </w:r>
      <w:r>
        <w:rPr>
          <w:rFonts w:ascii="Georgia" w:cs="Georgia" w:eastAsia="Georgia" w:hAnsi="Georgia"/>
          <w:color w:val="2c3e6b"/>
          <w:sz w:val="16"/>
          <w:szCs w:val="16"/>
          <w:vertAlign w:val="superscript"/>
        </w:rPr>
        <w:t xml:space="preserve">[5]</w:t>
      </w:r>
    </w:p>
    <w:p>
      <w:pPr>
        <w:spacing w:before="60" w:after="60"/>
      </w:pPr>
      <w:r>
        <w:t xml:space="preserve"/>
      </w:r>
    </w:p>
    <w:p>
      <w:pPr>
        <w:spacing w:before="100" w:after="140" w:line="320"/>
      </w:pPr>
      <w:r>
        <w:rPr>
          <w:rFonts w:ascii="Georgia" w:cs="Georgia" w:eastAsia="Georgia" w:hAnsi="Georgia"/>
          <w:sz w:val="22"/>
          <w:szCs w:val="22"/>
        </w:rPr>
        <w:t xml:space="preserve">The passenger kilometre is the unit of Economies of Speed applied to physical infrastructure. You buy the rate of output, not the stock of the asset. The conventional national development playbook — build factories, protect infant industries, capture manufacturing — is Economies of Scale thinking applied to national strategy. It requires the ability to forecast demand, own capital cheaply, and operate at scale large enough to amortise the asset. Tambapanni cannot meet any of these conditions at present. The Economies of Speed question is different: what output do you need, who is already producing it at scale, and what institutional infrastructure do you need to consume it as a service?</w:t>
      </w:r>
      <w:r>
        <w:rPr>
          <w:rFonts w:ascii="Georgia" w:cs="Georgia" w:eastAsia="Georgia" w:hAnsi="Georgia"/>
          <w:color w:val="2c3e6b"/>
          <w:sz w:val="16"/>
          <w:szCs w:val="16"/>
          <w:vertAlign w:val="superscript"/>
        </w:rPr>
        <w:t xml:space="preserve">[5,10]</w:t>
      </w:r>
    </w:p>
    <w:p>
      <w:pPr>
        <w:spacing w:before="60" w:after="60"/>
      </w:pPr>
      <w:r>
        <w:t xml:space="preserve"/>
      </w:r>
    </w:p>
    <w:p>
      <w:pPr>
        <w:pStyle w:val="Heading2"/>
        <w:spacing w:before="320" w:after="160"/>
      </w:pPr>
      <w:bookmarkStart w:name="manufacturing_and_logistics_the_port_as_" w:id="39"/>
      <w:r>
        <w:rPr>
          <w:rFonts w:ascii="Georgia" w:cs="Georgia" w:eastAsia="Georgia" w:hAnsi="Georgia"/>
          <w:b/>
          <w:bCs/>
          <w:color w:val="2c3e6b"/>
          <w:sz w:val="26"/>
          <w:szCs w:val="26"/>
        </w:rPr>
        <w:t xml:space="preserve">Manufacturing and Logistics: The Port as Platform</w:t>
      </w:r>
      <w:bookmarkEnd w:id="39"/>
    </w:p>
    <w:p>
      <w:pPr>
        <w:spacing w:before="100" w:after="140" w:line="320"/>
      </w:pPr>
      <w:r>
        <w:rPr>
          <w:rFonts w:ascii="Georgia" w:cs="Georgia" w:eastAsia="Georgia" w:hAnsi="Georgia"/>
          <w:sz w:val="22"/>
          <w:szCs w:val="22"/>
        </w:rPr>
        <w:t xml:space="preserve">Tambapanni does not need to own manufacturing capacity. It needs to become the platform through which manufacturing capacity — currently overbuilt in China — flows into the Indian Ocean market.</w:t>
      </w:r>
      <w:r>
        <w:rPr>
          <w:rFonts w:ascii="Georgia" w:cs="Georgia" w:eastAsia="Georgia" w:hAnsi="Georgia"/>
          <w:color w:val="2c3e6b"/>
          <w:sz w:val="16"/>
          <w:szCs w:val="16"/>
          <w:vertAlign w:val="superscript"/>
        </w:rPr>
        <w:t xml:space="preserve">[13,22]</w:t>
      </w:r>
    </w:p>
    <w:p>
      <w:pPr>
        <w:spacing w:before="60" w:after="60"/>
      </w:pPr>
      <w:r>
        <w:t xml:space="preserve"/>
      </w:r>
    </w:p>
    <w:p>
      <w:pPr>
        <w:spacing w:before="100" w:after="140" w:line="320"/>
      </w:pPr>
      <w:r>
        <w:rPr>
          <w:rFonts w:ascii="Georgia" w:cs="Georgia" w:eastAsia="Georgia" w:hAnsi="Georgia"/>
          <w:sz w:val="22"/>
          <w:szCs w:val="22"/>
        </w:rPr>
        <w:t xml:space="preserve">The port infrastructure at Colombo and the underdeveloped deep-water potential at Trincomalee are the physical layer. But the economic value is not in moving containers. It is in the value-added services that sit above the container movement: bonded warehousing, light assembly and finishing, quality certification, trade finance, insurance, and logistics management.</w:t>
      </w:r>
      <w:r>
        <w:rPr>
          <w:rFonts w:ascii="Georgia" w:cs="Georgia" w:eastAsia="Georgia" w:hAnsi="Georgia"/>
          <w:color w:val="2c3e6b"/>
          <w:sz w:val="16"/>
          <w:szCs w:val="16"/>
          <w:vertAlign w:val="superscript"/>
        </w:rPr>
        <w:t xml:space="preserve">[22,23]</w:t>
      </w:r>
    </w:p>
    <w:p>
      <w:pPr>
        <w:spacing w:before="60" w:after="60"/>
      </w:pPr>
      <w:r>
        <w:t xml:space="preserve"/>
      </w:r>
    </w:p>
    <w:p>
      <w:pPr>
        <w:spacing w:before="100" w:after="140" w:line="320"/>
      </w:pPr>
      <w:r>
        <w:rPr>
          <w:rFonts w:ascii="Georgia" w:cs="Georgia" w:eastAsia="Georgia" w:hAnsi="Georgia"/>
          <w:sz w:val="22"/>
          <w:szCs w:val="22"/>
        </w:rPr>
        <w:t xml:space="preserve">Each of these services requires the same institutional foundation: enforceable contracts, predictable regulation, and a dispute resolution mechanism that international counterparties trust. The logistics infrastructure is the hardware. The institutional quality is the operating system. Hardware without the operating system does not run.</w:t>
      </w:r>
      <w:r>
        <w:rPr>
          <w:rFonts w:ascii="Georgia" w:cs="Georgia" w:eastAsia="Georgia" w:hAnsi="Georgia"/>
          <w:color w:val="2c3e6b"/>
          <w:sz w:val="16"/>
          <w:szCs w:val="16"/>
          <w:vertAlign w:val="superscript"/>
        </w:rPr>
        <w:t xml:space="preserve">[11]</w:t>
      </w:r>
    </w:p>
    <w:p>
      <w:pPr>
        <w:spacing w:before="60" w:after="60"/>
      </w:pPr>
      <w:r>
        <w:t xml:space="preserve"/>
      </w:r>
    </w:p>
    <w:p>
      <w:pPr>
        <w:spacing w:before="100" w:after="140" w:line="320"/>
      </w:pPr>
      <w:r>
        <w:rPr>
          <w:rFonts w:ascii="Georgia" w:cs="Georgia" w:eastAsia="Georgia" w:hAnsi="Georgia"/>
          <w:sz w:val="22"/>
          <w:szCs w:val="22"/>
        </w:rPr>
        <w:t xml:space="preserve">The passenger kilometre for manufacturing and logistics is not the port berth. It is the end-to-end assured movement of goods from Chinese factory gate to Indian Ocean market — with Tambapanni capturing the orchestration margin.</w:t>
      </w:r>
      <w:r>
        <w:rPr>
          <w:rFonts w:ascii="Georgia" w:cs="Georgia" w:eastAsia="Georgia" w:hAnsi="Georgia"/>
          <w:color w:val="2c3e6b"/>
          <w:sz w:val="16"/>
          <w:szCs w:val="16"/>
          <w:vertAlign w:val="superscript"/>
        </w:rPr>
        <w:t xml:space="preserve">[5]</w:t>
      </w:r>
    </w:p>
    <w:p>
      <w:pPr>
        <w:spacing w:before="60" w:after="60"/>
      </w:pPr>
      <w:r>
        <w:t xml:space="preserve"/>
      </w:r>
    </w:p>
    <w:p>
      <w:pPr>
        <w:pStyle w:val="Heading2"/>
        <w:spacing w:before="320" w:after="160"/>
      </w:pPr>
      <w:bookmarkStart w:name="technology_and_digital_services_the_tale" w:id="40"/>
      <w:r>
        <w:rPr>
          <w:rFonts w:ascii="Georgia" w:cs="Georgia" w:eastAsia="Georgia" w:hAnsi="Georgia"/>
          <w:b/>
          <w:bCs/>
          <w:color w:val="2c3e6b"/>
          <w:sz w:val="26"/>
          <w:szCs w:val="26"/>
        </w:rPr>
        <w:t xml:space="preserve">Technology and Digital Services: The Talent is Already There</w:t>
      </w:r>
      <w:bookmarkEnd w:id="40"/>
    </w:p>
    <w:p>
      <w:pPr>
        <w:spacing w:before="100" w:after="140" w:line="320"/>
      </w:pPr>
      <w:r>
        <w:rPr>
          <w:rFonts w:ascii="Georgia" w:cs="Georgia" w:eastAsia="Georgia" w:hAnsi="Georgia"/>
          <w:sz w:val="22"/>
          <w:szCs w:val="22"/>
        </w:rPr>
        <w:t xml:space="preserve">Tambapanni produces a disproportionate volume of engineering and technology talent relative to its population. This talent currently exports itself — to Australia, the United Kingdom, Canada, and increasingly to the Gulf states — because the domestic institutional environment cannot retain it.</w:t>
      </w:r>
      <w:r>
        <w:rPr>
          <w:rFonts w:ascii="Georgia" w:cs="Georgia" w:eastAsia="Georgia" w:hAnsi="Georgia"/>
          <w:color w:val="2c3e6b"/>
          <w:sz w:val="16"/>
          <w:szCs w:val="16"/>
          <w:vertAlign w:val="superscript"/>
        </w:rPr>
        <w:t xml:space="preserve">[7]</w:t>
      </w:r>
    </w:p>
    <w:p>
      <w:pPr>
        <w:spacing w:before="60" w:after="60"/>
      </w:pPr>
      <w:r>
        <w:t xml:space="preserve"/>
      </w:r>
    </w:p>
    <w:p>
      <w:pPr>
        <w:spacing w:before="100" w:after="140" w:line="320"/>
      </w:pPr>
      <w:r>
        <w:rPr>
          <w:rFonts w:ascii="Georgia" w:cs="Georgia" w:eastAsia="Georgia" w:hAnsi="Georgia"/>
          <w:sz w:val="22"/>
          <w:szCs w:val="22"/>
        </w:rPr>
        <w:t xml:space="preserve">The constraint on building a technology services hub is not skill availability. It is the absence of the three institutional conditions that global technology clients require before committing significant operations:</w:t>
      </w:r>
      <w:r>
        <w:rPr>
          <w:rFonts w:ascii="Georgia" w:cs="Georgia" w:eastAsia="Georgia" w:hAnsi="Georgia"/>
          <w:color w:val="2c3e6b"/>
          <w:sz w:val="16"/>
          <w:szCs w:val="16"/>
          <w:vertAlign w:val="superscript"/>
        </w:rPr>
        <w:t xml:space="preserve">[9]</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Data protection and IP enforcement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Global technology clients will not locate operations in jurisdictions where their intellectual property and client data are not protected by enforceable law applied impartially.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Predictable regulatory environment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Technology operations require long-term investment in talent and infrastructure. This investment requires confidence that the regulatory environment will not shift unpredictably based on political cycles.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Georgia" w:cs="Georgia" w:eastAsia="Georgia" w:hAnsi="Georgia"/>
                <w:b/>
                <w:bCs/>
                <w:color w:val="1a1a2e"/>
                <w:sz w:val="20"/>
                <w:szCs w:val="20"/>
              </w:rPr>
              <w:t xml:space="preserve">Dispute resolution credibility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Georgia" w:cs="Georgia" w:eastAsia="Georgia" w:hAnsi="Georgia"/>
                <w:sz w:val="20"/>
                <w:szCs w:val="20"/>
              </w:rPr>
              <w:t xml:space="preserve">Cross-border technology contracts require a dispute resolution mechanism that international counterparties accept as neutral. No patronage-captured court system qualifies.</w:t>
            </w:r>
          </w:p>
        </w:tc>
      </w:tr>
    </w:tbl>
    <w:p>
      <w:pPr>
        <w:spacing w:before="60" w:after="60"/>
      </w:pPr>
      <w:r>
        <w:t xml:space="preserve"/>
      </w:r>
    </w:p>
    <w:p>
      <w:pPr>
        <w:spacing w:before="100" w:after="140" w:line="320"/>
      </w:pPr>
      <w:r>
        <w:rPr>
          <w:rFonts w:ascii="Georgia" w:cs="Georgia" w:eastAsia="Georgia" w:hAnsi="Georgia"/>
          <w:sz w:val="22"/>
          <w:szCs w:val="22"/>
        </w:rPr>
        <w:t xml:space="preserve">Estonia's digital transformation is instructive here. Estonia did not build a technology hub by training more engineers. It built one by making its state digital-first, its regulatory environment predictable, and its dispute resolution credible — and then making that institutional quality itself the product through e-residency and digital governance services.</w:t>
      </w:r>
      <w:r>
        <w:rPr>
          <w:rFonts w:ascii="Georgia" w:cs="Georgia" w:eastAsia="Georgia" w:hAnsi="Georgia"/>
          <w:color w:val="2c3e6b"/>
          <w:sz w:val="16"/>
          <w:szCs w:val="16"/>
          <w:vertAlign w:val="superscript"/>
        </w:rPr>
        <w:t xml:space="preserve">[14]</w:t>
      </w:r>
    </w:p>
    <w:p>
      <w:pPr>
        <w:spacing w:before="60" w:after="60"/>
      </w:pPr>
      <w:r>
        <w:t xml:space="preserve"/>
      </w:r>
    </w:p>
    <w:p>
      <w:pPr>
        <w:spacing w:before="100" w:after="140" w:line="320"/>
      </w:pPr>
      <w:r>
        <w:rPr>
          <w:rFonts w:ascii="Georgia" w:cs="Georgia" w:eastAsia="Georgia" w:hAnsi="Georgia"/>
          <w:sz w:val="22"/>
          <w:szCs w:val="22"/>
        </w:rPr>
        <w:t xml:space="preserve">The passenger kilometre for technology services is not the software line. It is the trusted, enforceable, impartially regulated jurisdiction within which global technology operations can locate with confidence.</w:t>
      </w:r>
      <w:r>
        <w:rPr>
          <w:rFonts w:ascii="Georgia" w:cs="Georgia" w:eastAsia="Georgia" w:hAnsi="Georgia"/>
          <w:color w:val="2c3e6b"/>
          <w:sz w:val="16"/>
          <w:szCs w:val="16"/>
          <w:vertAlign w:val="superscript"/>
        </w:rPr>
        <w:t xml:space="preserve">[5,14]</w:t>
      </w:r>
    </w:p>
    <w:p>
      <w:pPr>
        <w:spacing w:before="60" w:after="60"/>
      </w:pPr>
      <w:r>
        <w:t xml:space="preserve"/>
      </w:r>
    </w:p>
    <w:p>
      <w:pPr>
        <w:pStyle w:val="Heading2"/>
        <w:spacing w:before="320" w:after="160"/>
      </w:pPr>
      <w:bookmarkStart w:name="financial_services_the_time_zone_gap" w:id="41"/>
      <w:r>
        <w:rPr>
          <w:rFonts w:ascii="Georgia" w:cs="Georgia" w:eastAsia="Georgia" w:hAnsi="Georgia"/>
          <w:b/>
          <w:bCs/>
          <w:color w:val="2c3e6b"/>
          <w:sz w:val="26"/>
          <w:szCs w:val="26"/>
        </w:rPr>
        <w:t xml:space="preserve">Financial Services: The Time-Zone Gap</w:t>
      </w:r>
      <w:bookmarkEnd w:id="41"/>
    </w:p>
    <w:p>
      <w:pPr>
        <w:spacing w:before="100" w:after="140" w:line="320"/>
      </w:pPr>
      <w:r>
        <w:rPr>
          <w:rFonts w:ascii="Georgia" w:cs="Georgia" w:eastAsia="Georgia" w:hAnsi="Georgia"/>
          <w:sz w:val="22"/>
          <w:szCs w:val="22"/>
        </w:rPr>
        <w:t xml:space="preserve">The gap between Singapore (GMT+8) and Dubai (GMT+4) is one of the most structurally significant underexploited advantages in Tambapanni's economic geography. A financial services jurisdiction positioned between these two dominant Asian financial centres provides continuous market coverage that neither alone can offer.</w:t>
      </w:r>
      <w:r>
        <w:rPr>
          <w:rFonts w:ascii="Georgia" w:cs="Georgia" w:eastAsia="Georgia" w:hAnsi="Georgia"/>
          <w:color w:val="2c3e6b"/>
          <w:sz w:val="16"/>
          <w:szCs w:val="16"/>
          <w:vertAlign w:val="superscript"/>
        </w:rPr>
        <w:t xml:space="preserve">[16,17,18]</w:t>
      </w:r>
    </w:p>
    <w:p>
      <w:pPr>
        <w:spacing w:before="60" w:after="60"/>
      </w:pPr>
      <w:r>
        <w:t xml:space="preserve"/>
      </w:r>
    </w:p>
    <w:p>
      <w:pPr>
        <w:spacing w:before="100" w:after="140" w:line="320"/>
      </w:pPr>
      <w:r>
        <w:rPr>
          <w:rFonts w:ascii="Georgia" w:cs="Georgia" w:eastAsia="Georgia" w:hAnsi="Georgia"/>
          <w:sz w:val="22"/>
          <w:szCs w:val="22"/>
        </w:rPr>
        <w:t xml:space="preserve">Mauritius has demonstrated the model at smaller scale: a small island with a plural society and colonial legal inheritance that built a financial services hub by establishing an independent judiciary, a credible regulatory framework aligned with international standards, and a constitutional settlement that removed ethnic and religious designations from the state's founding purpose.</w:t>
      </w:r>
      <w:r>
        <w:rPr>
          <w:rFonts w:ascii="Georgia" w:cs="Georgia" w:eastAsia="Georgia" w:hAnsi="Georgia"/>
          <w:color w:val="2c3e6b"/>
          <w:sz w:val="16"/>
          <w:szCs w:val="16"/>
          <w:vertAlign w:val="superscript"/>
        </w:rPr>
        <w:t xml:space="preserve">[16]</w:t>
      </w:r>
    </w:p>
    <w:p>
      <w:pPr>
        <w:spacing w:before="60" w:after="60"/>
      </w:pPr>
      <w:r>
        <w:t xml:space="preserve"/>
      </w:r>
    </w:p>
    <w:p>
      <w:pPr>
        <w:spacing w:before="100" w:after="140" w:line="320"/>
      </w:pPr>
      <w:r>
        <w:rPr>
          <w:rFonts w:ascii="Georgia" w:cs="Georgia" w:eastAsia="Georgia" w:hAnsi="Georgia"/>
          <w:sz w:val="22"/>
          <w:szCs w:val="22"/>
        </w:rPr>
        <w:t xml:space="preserve">The institutional requirements for financial services are the most demanding of the three sectors — and the most directly linked to state impartiality. Financial capital is the most mobile of all factors. It moves toward jurisdictions with the most predictable, impartial, and enforceable regulatory environment. It moves away from jurisdictions where outcomes are politically negotiable.</w:t>
      </w:r>
      <w:r>
        <w:rPr>
          <w:rFonts w:ascii="Georgia" w:cs="Georgia" w:eastAsia="Georgia" w:hAnsi="Georgia"/>
          <w:color w:val="2c3e6b"/>
          <w:sz w:val="16"/>
          <w:szCs w:val="16"/>
          <w:vertAlign w:val="superscript"/>
        </w:rPr>
        <w:t xml:space="preserve">[8,16]</w:t>
      </w:r>
    </w:p>
    <w:p>
      <w:pPr>
        <w:spacing w:before="60" w:after="60"/>
      </w:pPr>
      <w:r>
        <w:t xml:space="preserve"/>
      </w:r>
    </w:p>
    <w:p>
      <w:pPr>
        <w:spacing w:before="100" w:after="140" w:line="320"/>
      </w:pPr>
      <w:r>
        <w:rPr>
          <w:rFonts w:ascii="Georgia" w:cs="Georgia" w:eastAsia="Georgia" w:hAnsi="Georgia"/>
          <w:sz w:val="22"/>
          <w:szCs w:val="22"/>
        </w:rPr>
        <w:t xml:space="preserve">The passenger kilometre for financial services is not the transaction. It is the trusted, neutral, internationally credible jurisdiction within which transactions can be settled with confidence.</w:t>
      </w:r>
      <w:r>
        <w:rPr>
          <w:rFonts w:ascii="Georgia" w:cs="Georgia" w:eastAsia="Georgia" w:hAnsi="Georgia"/>
          <w:color w:val="2c3e6b"/>
          <w:sz w:val="16"/>
          <w:szCs w:val="16"/>
          <w:vertAlign w:val="superscript"/>
        </w:rPr>
        <w:t xml:space="preserve">[5]</w:t>
      </w:r>
    </w:p>
    <w:p>
      <w:pPr>
        <w:spacing w:before="60" w:after="60"/>
      </w:pPr>
      <w:r>
        <w:t xml:space="preserve"/>
      </w:r>
    </w:p>
    <w:p>
      <w:pPr>
        <w:pBdr>
          <w:bottom w:val="single" w:color="2c3e6b" w:sz="4" w:space="1"/>
        </w:pBdr>
        <w:spacing w:before="240" w:after="240"/>
      </w:pPr>
      <w:r>
        <w:t xml:space="preserve"/>
      </w:r>
    </w:p>
    <w:p>
      <w:pPr>
        <w:pStyle w:val="Heading1"/>
        <w:spacing w:before="480" w:after="200"/>
      </w:pPr>
      <w:bookmarkStart w:name="iv_constitutional_design_and_institution" w:id="42"/>
      <w:r>
        <w:rPr>
          <w:rFonts w:ascii="Georgia" w:cs="Georgia" w:eastAsia="Georgia" w:hAnsi="Georgia"/>
          <w:b/>
          <w:bCs/>
          <w:color w:val="1a1a2e"/>
          <w:sz w:val="34"/>
          <w:szCs w:val="34"/>
        </w:rPr>
        <w:t xml:space="preserve">IV. Constitutional Design and Institutional Sequencing: Lessons Without Mythology</w:t>
      </w:r>
      <w:bookmarkEnd w:id="42"/>
    </w:p>
    <w:p>
      <w:pPr>
        <w:spacing w:before="100" w:after="140" w:line="320"/>
      </w:pPr>
      <w:r>
        <w:rPr>
          <w:rFonts w:ascii="Georgia" w:cs="Georgia" w:eastAsia="Georgia" w:hAnsi="Georgia"/>
          <w:sz w:val="22"/>
          <w:szCs w:val="22"/>
        </w:rPr>
        <w:t xml:space="preserve">The economies that made the institutional leap each did so by solving a specific constitutional design problem: how do you build an impartial state apparatus in a society where ethnic, religious, or colonial divisions make impartiality politically costly?</w:t>
      </w:r>
      <w:r>
        <w:rPr>
          <w:rFonts w:ascii="Georgia" w:cs="Georgia" w:eastAsia="Georgia" w:hAnsi="Georgia"/>
          <w:color w:val="2c3e6b"/>
          <w:sz w:val="16"/>
          <w:szCs w:val="16"/>
          <w:vertAlign w:val="superscript"/>
        </w:rPr>
        <w:t xml:space="preserve">[2,11]</w:t>
      </w:r>
    </w:p>
    <w:p>
      <w:pPr>
        <w:spacing w:before="60" w:after="60"/>
      </w:pPr>
      <w:r>
        <w:t xml:space="preserve"/>
      </w:r>
    </w:p>
    <w:p>
      <w:pPr>
        <w:spacing w:before="100" w:after="140" w:line="320"/>
      </w:pPr>
      <w:r>
        <w:rPr>
          <w:rFonts w:ascii="Georgia" w:cs="Georgia" w:eastAsia="Georgia" w:hAnsi="Georgia"/>
          <w:sz w:val="22"/>
          <w:szCs w:val="22"/>
        </w:rPr>
        <w:t xml:space="preserve">There is no single answer. But examining the four cases — Singapore, Estonia, Rwanda, Mauritius — reveals a common structural logic.</w:t>
      </w:r>
    </w:p>
    <w:p>
      <w:pPr>
        <w:spacing w:before="60" w:after="60"/>
      </w:pPr>
      <w:r>
        <w:t xml:space="preserve"/>
      </w:r>
    </w:p>
    <w:p>
      <w:pPr>
        <w:pStyle w:val="Heading2"/>
        <w:spacing w:before="320" w:after="160"/>
      </w:pPr>
      <w:bookmarkStart w:name="singapore_positioning_as_the_organising_" w:id="43"/>
      <w:r>
        <w:rPr>
          <w:rFonts w:ascii="Georgia" w:cs="Georgia" w:eastAsia="Georgia" w:hAnsi="Georgia"/>
          <w:b/>
          <w:bCs/>
          <w:color w:val="2c3e6b"/>
          <w:sz w:val="26"/>
          <w:szCs w:val="26"/>
        </w:rPr>
        <w:t xml:space="preserve">Singapore: Positioning as the Organising Principle</w:t>
      </w:r>
      <w:bookmarkEnd w:id="43"/>
    </w:p>
    <w:p>
      <w:pPr>
        <w:spacing w:before="100" w:after="140" w:line="320"/>
      </w:pPr>
      <w:r>
        <w:rPr>
          <w:rFonts w:ascii="Georgia" w:cs="Georgia" w:eastAsia="Georgia" w:hAnsi="Georgia"/>
          <w:sz w:val="22"/>
          <w:szCs w:val="22"/>
        </w:rPr>
        <w:t xml:space="preserve">Lee Kuan Yew's foundational argument was that Singapore's survival required it to be useful to global capital in ways that its neighbours were not.</w:t>
      </w:r>
      <w:r>
        <w:rPr>
          <w:rFonts w:ascii="Georgia" w:cs="Georgia" w:eastAsia="Georgia" w:hAnsi="Georgia"/>
          <w:color w:val="2c3e6b"/>
          <w:sz w:val="16"/>
          <w:szCs w:val="16"/>
          <w:vertAlign w:val="superscript"/>
        </w:rPr>
        <w:t xml:space="preserve">[4]</w:t>
      </w:r>
    </w:p>
    <w:p>
      <w:pPr>
        <w:spacing w:before="60" w:after="60"/>
      </w:pPr>
      <w:r>
        <w:t xml:space="preserve"/>
      </w:r>
    </w:p>
    <w:p>
      <w:pPr>
        <w:spacing w:before="100" w:after="140" w:line="320"/>
      </w:pPr>
      <w:r>
        <w:rPr>
          <w:rFonts w:ascii="Georgia" w:cs="Georgia" w:eastAsia="Georgia" w:hAnsi="Georgia"/>
          <w:sz w:val="22"/>
          <w:szCs w:val="22"/>
        </w:rPr>
        <w:t xml:space="preserve">The impartial state was not built because impartiality was a value in itself. It was built because impartiality was the product — the thing Singapore was selling to global capital. Enforceable contracts, meritocratic civil service, independent judiciary: these were marketed as competitive advantages, not conceded as democratic obligations.</w:t>
      </w:r>
      <w:r>
        <w:rPr>
          <w:rFonts w:ascii="Georgia" w:cs="Georgia" w:eastAsia="Georgia" w:hAnsi="Georgia"/>
          <w:color w:val="2c3e6b"/>
          <w:sz w:val="16"/>
          <w:szCs w:val="16"/>
          <w:vertAlign w:val="superscript"/>
        </w:rPr>
        <w:t xml:space="preserve">[4]</w:t>
      </w:r>
    </w:p>
    <w:p>
      <w:pPr>
        <w:spacing w:before="60" w:after="60"/>
      </w:pPr>
      <w:r>
        <w:t xml:space="preserve"/>
      </w:r>
    </w:p>
    <w:p>
      <w:pPr>
        <w:spacing w:before="100" w:after="140" w:line="320"/>
      </w:pPr>
      <w:r>
        <w:rPr>
          <w:rFonts w:ascii="Georgia" w:cs="Georgia" w:eastAsia="Georgia" w:hAnsi="Georgia"/>
          <w:sz w:val="22"/>
          <w:szCs w:val="22"/>
        </w:rPr>
        <w:t xml:space="preserve">The constitutional design choice that made this possible was the rejection of ethnic designation as a founding principle. Singapore's constitution does not privilege any ethnic or religious community as the primary custodian of the state. It establishes civic rather than communal sovereignty — all citizens equally subject to and protected by the same law.</w:t>
      </w:r>
      <w:r>
        <w:rPr>
          <w:rFonts w:ascii="Georgia" w:cs="Georgia" w:eastAsia="Georgia" w:hAnsi="Georgia"/>
          <w:color w:val="2c3e6b"/>
          <w:sz w:val="16"/>
          <w:szCs w:val="16"/>
          <w:vertAlign w:val="superscript"/>
        </w:rPr>
        <w:t xml:space="preserve">[4]</w:t>
      </w:r>
    </w:p>
    <w:p>
      <w:pPr>
        <w:spacing w:before="60" w:after="60"/>
      </w:pPr>
      <w:r>
        <w:t xml:space="preserve"/>
      </w:r>
    </w:p>
    <w:p>
      <w:pPr>
        <w:spacing w:before="100" w:after="140" w:line="320"/>
      </w:pPr>
      <w:r>
        <w:rPr>
          <w:rFonts w:ascii="Georgia" w:cs="Georgia" w:eastAsia="Georgia" w:hAnsi="Georgia"/>
          <w:sz w:val="22"/>
          <w:szCs w:val="22"/>
        </w:rPr>
        <w:t xml:space="preserve">The argument for Tambapanni is not to copy Singapore's political methods. It is to understand what constitutional choice made the economic outcome possible — and to ask what the democratic equivalent of that choice looks like.</w:t>
      </w:r>
      <w:r>
        <w:rPr>
          <w:rFonts w:ascii="Georgia" w:cs="Georgia" w:eastAsia="Georgia" w:hAnsi="Georgia"/>
          <w:color w:val="2c3e6b"/>
          <w:sz w:val="16"/>
          <w:szCs w:val="16"/>
          <w:vertAlign w:val="superscript"/>
        </w:rPr>
        <w:t xml:space="preserve">[3]</w:t>
      </w:r>
    </w:p>
    <w:p>
      <w:pPr>
        <w:spacing w:before="60" w:after="60"/>
      </w:pPr>
      <w:r>
        <w:t xml:space="preserve"/>
      </w:r>
    </w:p>
    <w:p>
      <w:pPr>
        <w:pStyle w:val="Heading2"/>
        <w:spacing w:before="320" w:after="160"/>
      </w:pPr>
      <w:bookmarkStart w:name="estonia_institutional_quality_as_the_exp" w:id="44"/>
      <w:r>
        <w:rPr>
          <w:rFonts w:ascii="Georgia" w:cs="Georgia" w:eastAsia="Georgia" w:hAnsi="Georgia"/>
          <w:b/>
          <w:bCs/>
          <w:color w:val="2c3e6b"/>
          <w:sz w:val="26"/>
          <w:szCs w:val="26"/>
        </w:rPr>
        <w:t xml:space="preserve">Estonia: Institutional Quality as the Export</w:t>
      </w:r>
      <w:bookmarkEnd w:id="44"/>
    </w:p>
    <w:p>
      <w:pPr>
        <w:spacing w:before="100" w:after="140" w:line="320"/>
      </w:pPr>
      <w:r>
        <w:rPr>
          <w:rFonts w:ascii="Georgia" w:cs="Georgia" w:eastAsia="Georgia" w:hAnsi="Georgia"/>
          <w:sz w:val="22"/>
          <w:szCs w:val="22"/>
        </w:rPr>
        <w:t xml:space="preserve">Estonia rebuilt from Soviet collapse by making its institutional quality the product rather than the precondition.</w:t>
      </w:r>
      <w:r>
        <w:rPr>
          <w:rFonts w:ascii="Georgia" w:cs="Georgia" w:eastAsia="Georgia" w:hAnsi="Georgia"/>
          <w:color w:val="2c3e6b"/>
          <w:sz w:val="16"/>
          <w:szCs w:val="16"/>
          <w:vertAlign w:val="superscript"/>
        </w:rPr>
        <w:t xml:space="preserve">[14]</w:t>
      </w:r>
    </w:p>
    <w:p>
      <w:pPr>
        <w:spacing w:before="60" w:after="60"/>
      </w:pPr>
      <w:r>
        <w:t xml:space="preserve"/>
      </w:r>
    </w:p>
    <w:p>
      <w:pPr>
        <w:spacing w:before="100" w:after="140" w:line="320"/>
      </w:pPr>
      <w:r>
        <w:rPr>
          <w:rFonts w:ascii="Georgia" w:cs="Georgia" w:eastAsia="Georgia" w:hAnsi="Georgia"/>
          <w:sz w:val="22"/>
          <w:szCs w:val="22"/>
        </w:rPr>
        <w:t xml:space="preserve">The e-governance infrastructure, the digital identity system, the e-residency programme — these are not just domestic efficiency tools. They are internationally marketed products. Estonia sells access to its institutional quality to the world. Any entrepreneur anywhere can become an Estonian e-resident, incorporate a company in Estonian law, and access the EU single market — because Estonian law and Estonian courts are trusted to enforce the result.</w:t>
      </w:r>
      <w:r>
        <w:rPr>
          <w:rFonts w:ascii="Georgia" w:cs="Georgia" w:eastAsia="Georgia" w:hAnsi="Georgia"/>
          <w:color w:val="2c3e6b"/>
          <w:sz w:val="16"/>
          <w:szCs w:val="16"/>
          <w:vertAlign w:val="superscript"/>
        </w:rPr>
        <w:t xml:space="preserve">[14]</w:t>
      </w:r>
    </w:p>
    <w:p>
      <w:pPr>
        <w:spacing w:before="60" w:after="60"/>
      </w:pPr>
      <w:r>
        <w:t xml:space="preserve"/>
      </w:r>
    </w:p>
    <w:p>
      <w:pPr>
        <w:spacing w:before="100" w:after="140" w:line="320"/>
      </w:pPr>
      <w:r>
        <w:rPr>
          <w:rFonts w:ascii="Georgia" w:cs="Georgia" w:eastAsia="Georgia" w:hAnsi="Georgia"/>
          <w:sz w:val="22"/>
          <w:szCs w:val="22"/>
        </w:rPr>
        <w:t xml:space="preserve">The Tambapanni equivalent is not to replicate Estonia's technology stack. It is to understand that institutional quality — impartial courts, enforceable contracts, predictable regulation — can itself be a scalable export product in the digital economy.</w:t>
      </w:r>
      <w:r>
        <w:rPr>
          <w:rFonts w:ascii="Georgia" w:cs="Georgia" w:eastAsia="Georgia" w:hAnsi="Georgia"/>
          <w:color w:val="2c3e6b"/>
          <w:sz w:val="16"/>
          <w:szCs w:val="16"/>
          <w:vertAlign w:val="superscript"/>
        </w:rPr>
        <w:t xml:space="preserve">[14]</w:t>
      </w:r>
    </w:p>
    <w:p>
      <w:pPr>
        <w:spacing w:before="60" w:after="60"/>
      </w:pPr>
      <w:r>
        <w:t xml:space="preserve"/>
      </w:r>
    </w:p>
    <w:p>
      <w:pPr>
        <w:pStyle w:val="Heading2"/>
        <w:spacing w:before="320" w:after="160"/>
      </w:pPr>
      <w:bookmarkStart w:name="rwanda_reconstruction_as_institutional_r" w:id="45"/>
      <w:r>
        <w:rPr>
          <w:rFonts w:ascii="Georgia" w:cs="Georgia" w:eastAsia="Georgia" w:hAnsi="Georgia"/>
          <w:b/>
          <w:bCs/>
          <w:color w:val="2c3e6b"/>
          <w:sz w:val="26"/>
          <w:szCs w:val="26"/>
        </w:rPr>
        <w:t xml:space="preserve">Rwanda: Reconstruction as Institutional Reset</w:t>
      </w:r>
      <w:bookmarkEnd w:id="45"/>
    </w:p>
    <w:p>
      <w:pPr>
        <w:spacing w:before="100" w:after="140" w:line="320"/>
      </w:pPr>
      <w:r>
        <w:rPr>
          <w:rFonts w:ascii="Georgia" w:cs="Georgia" w:eastAsia="Georgia" w:hAnsi="Georgia"/>
          <w:sz w:val="22"/>
          <w:szCs w:val="22"/>
        </w:rPr>
        <w:t xml:space="preserve">Rwanda's institutional reform after 1994 is the most dramatic example of building state impartiality in adverse conditions. Starting from complete institutional collapse, Rwanda built a meritocratic civil service, enforced anti-corruption rigorously, and positioned itself as the regional logistics and services hub for East and Central Africa.</w:t>
      </w:r>
      <w:r>
        <w:rPr>
          <w:rFonts w:ascii="Georgia" w:cs="Georgia" w:eastAsia="Georgia" w:hAnsi="Georgia"/>
          <w:color w:val="2c3e6b"/>
          <w:sz w:val="16"/>
          <w:szCs w:val="16"/>
          <w:vertAlign w:val="superscript"/>
        </w:rPr>
        <w:t xml:space="preserve">[15]</w:t>
      </w:r>
    </w:p>
    <w:p>
      <w:pPr>
        <w:spacing w:before="60" w:after="60"/>
      </w:pPr>
      <w:r>
        <w:t xml:space="preserve"/>
      </w:r>
    </w:p>
    <w:p>
      <w:pPr>
        <w:spacing w:before="100" w:after="140" w:line="320"/>
      </w:pPr>
      <w:r>
        <w:rPr>
          <w:rFonts w:ascii="Georgia" w:cs="Georgia" w:eastAsia="Georgia" w:hAnsi="Georgia"/>
          <w:sz w:val="22"/>
          <w:szCs w:val="22"/>
        </w:rPr>
        <w:t xml:space="preserve">The mechanism was not external imposition. It was internal political will combined with a clear economic strategy: Rwanda would be the most business-friendly, predictable, and corruption-free jurisdiction in the region. That institutional quality would attract the capital and the talent that landlocked geography could not otherwise command.</w:t>
      </w:r>
      <w:r>
        <w:rPr>
          <w:rFonts w:ascii="Georgia" w:cs="Georgia" w:eastAsia="Georgia" w:hAnsi="Georgia"/>
          <w:color w:val="2c3e6b"/>
          <w:sz w:val="16"/>
          <w:szCs w:val="16"/>
          <w:vertAlign w:val="superscript"/>
        </w:rPr>
        <w:t xml:space="preserve">[15]</w:t>
      </w:r>
    </w:p>
    <w:p>
      <w:pPr>
        <w:spacing w:before="60" w:after="60"/>
      </w:pPr>
      <w:r>
        <w:t xml:space="preserve"/>
      </w:r>
    </w:p>
    <w:p>
      <w:pPr>
        <w:pStyle w:val="Heading2"/>
        <w:spacing w:before="320" w:after="160"/>
      </w:pPr>
      <w:bookmarkStart w:name="mauritius_the_democratic_plural_society_" w:id="46"/>
      <w:r>
        <w:rPr>
          <w:rFonts w:ascii="Georgia" w:cs="Georgia" w:eastAsia="Georgia" w:hAnsi="Georgia"/>
          <w:b/>
          <w:bCs/>
          <w:color w:val="2c3e6b"/>
          <w:sz w:val="26"/>
          <w:szCs w:val="26"/>
        </w:rPr>
        <w:t xml:space="preserve">Mauritius: The Democratic Plural Society Model</w:t>
      </w:r>
      <w:bookmarkEnd w:id="46"/>
    </w:p>
    <w:p>
      <w:pPr>
        <w:spacing w:before="100" w:after="140" w:line="320"/>
      </w:pPr>
      <w:r>
        <w:rPr>
          <w:rFonts w:ascii="Georgia" w:cs="Georgia" w:eastAsia="Georgia" w:hAnsi="Georgia"/>
          <w:sz w:val="22"/>
          <w:szCs w:val="22"/>
        </w:rPr>
        <w:t xml:space="preserve">Mauritius is the closest structural analogue to Tambapanni: a small island, a plural society with significant ethnic and religious diversity, a colonial legal inheritance, and independence in the mid-20th century. It is the model most directly relevant because it achieved the institutional leap without suppressing democratic competition.</w:t>
      </w:r>
      <w:r>
        <w:rPr>
          <w:rFonts w:ascii="Georgia" w:cs="Georgia" w:eastAsia="Georgia" w:hAnsi="Georgia"/>
          <w:color w:val="2c3e6b"/>
          <w:sz w:val="16"/>
          <w:szCs w:val="16"/>
          <w:vertAlign w:val="superscript"/>
        </w:rPr>
        <w:t xml:space="preserve">[16]</w:t>
      </w:r>
    </w:p>
    <w:p>
      <w:pPr>
        <w:spacing w:before="60" w:after="60"/>
      </w:pPr>
      <w:r>
        <w:t xml:space="preserve"/>
      </w:r>
    </w:p>
    <w:p>
      <w:pPr>
        <w:spacing w:before="100" w:after="140" w:line="320"/>
      </w:pPr>
      <w:r>
        <w:rPr>
          <w:rFonts w:ascii="Georgia" w:cs="Georgia" w:eastAsia="Georgia" w:hAnsi="Georgia"/>
          <w:sz w:val="22"/>
          <w:szCs w:val="22"/>
        </w:rPr>
        <w:t xml:space="preserve">The constitutional settlement that made Mauritius's financial services hub possible removed ethnic and religious designation from the state's founding purpose — establishing civic rather than communal sovereignty. The judiciary was made genuinely independent. The regulatory framework was aligned with international financial standards.</w:t>
      </w:r>
      <w:r>
        <w:rPr>
          <w:rFonts w:ascii="Georgia" w:cs="Georgia" w:eastAsia="Georgia" w:hAnsi="Georgia"/>
          <w:color w:val="2c3e6b"/>
          <w:sz w:val="16"/>
          <w:szCs w:val="16"/>
          <w:vertAlign w:val="superscript"/>
        </w:rPr>
        <w:t xml:space="preserve">[16]</w:t>
      </w:r>
    </w:p>
    <w:p>
      <w:pPr>
        <w:spacing w:before="60" w:after="60"/>
      </w:pPr>
      <w:r>
        <w:t xml:space="preserve"/>
      </w:r>
    </w:p>
    <w:p>
      <w:pPr>
        <w:spacing w:before="100" w:after="140" w:line="320"/>
      </w:pPr>
      <w:r>
        <w:rPr>
          <w:rFonts w:ascii="Georgia" w:cs="Georgia" w:eastAsia="Georgia" w:hAnsi="Georgia"/>
          <w:sz w:val="22"/>
          <w:szCs w:val="22"/>
        </w:rPr>
        <w:t xml:space="preserve">The result: Mauritius has a GDP per capita more than four times Tambapanni's, a financial services sector that handles capital flows from across Africa and Asia, and a political system that has transferred power peacefully across ethnic and party lines for over fifty years.</w:t>
      </w:r>
      <w:r>
        <w:rPr>
          <w:rFonts w:ascii="Georgia" w:cs="Georgia" w:eastAsia="Georgia" w:hAnsi="Georgia"/>
          <w:color w:val="2c3e6b"/>
          <w:sz w:val="16"/>
          <w:szCs w:val="16"/>
          <w:vertAlign w:val="superscript"/>
        </w:rPr>
        <w:t xml:space="preserve">[16]</w:t>
      </w:r>
    </w:p>
    <w:p>
      <w:pPr>
        <w:spacing w:before="60" w:after="60"/>
      </w:pPr>
      <w:r>
        <w:t xml:space="preserve"/>
      </w:r>
    </w:p>
    <w:p>
      <w:pPr>
        <w:pBdr>
          <w:bottom w:val="single" w:color="2c3e6b" w:sz="4" w:space="1"/>
        </w:pBdr>
        <w:spacing w:before="240" w:after="240"/>
      </w:pPr>
      <w:r>
        <w:t xml:space="preserve"/>
      </w:r>
    </w:p>
    <w:p>
      <w:pPr>
        <w:pStyle w:val="Heading1"/>
        <w:spacing w:before="480" w:after="200"/>
      </w:pPr>
      <w:bookmarkStart w:name="v_what_reform_actually_requires" w:id="47"/>
      <w:r>
        <w:rPr>
          <w:rFonts w:ascii="Georgia" w:cs="Georgia" w:eastAsia="Georgia" w:hAnsi="Georgia"/>
          <w:b/>
          <w:bCs/>
          <w:color w:val="1a1a2e"/>
          <w:sz w:val="34"/>
          <w:szCs w:val="34"/>
        </w:rPr>
        <w:t xml:space="preserve">V. What Reform Actually Requires</w:t>
      </w:r>
      <w:bookmarkEnd w:id="47"/>
    </w:p>
    <w:p>
      <w:pPr>
        <w:spacing w:before="100" w:after="140" w:line="320"/>
      </w:pPr>
      <w:r>
        <w:rPr>
          <w:rFonts w:ascii="Georgia" w:cs="Georgia" w:eastAsia="Georgia" w:hAnsi="Georgia"/>
          <w:sz w:val="22"/>
          <w:szCs w:val="22"/>
        </w:rPr>
        <w:t xml:space="preserve">The diagnosis is sequencing failure and institutional capture by ethnic patronage. The treatment is not elections — Tambapanni has had elections. It is not constitutional amendments — Tambapanni has amended its constitution repeatedly, in the wrong direction. It is three specific institutional interventions that, taken together, constitute the impartial state apparatus that the sequencing failure never allowed to develop.</w:t>
      </w:r>
      <w:r>
        <w:rPr>
          <w:rFonts w:ascii="Georgia" w:cs="Georgia" w:eastAsia="Georgia" w:hAnsi="Georgia"/>
          <w:color w:val="2c3e6b"/>
          <w:sz w:val="16"/>
          <w:szCs w:val="16"/>
          <w:vertAlign w:val="superscript"/>
        </w:rPr>
        <w:t xml:space="preserve">[2,19]</w:t>
      </w:r>
    </w:p>
    <w:p>
      <w:pPr>
        <w:spacing w:before="60" w:after="60"/>
      </w:pPr>
      <w:r>
        <w:t xml:space="preserve"/>
      </w:r>
    </w:p>
    <w:p>
      <w:pPr>
        <w:pStyle w:val="Heading2"/>
        <w:spacing w:before="320" w:after="160"/>
      </w:pPr>
      <w:bookmarkStart w:name="one_an_independent_civil_service" w:id="48"/>
      <w:r>
        <w:rPr>
          <w:rFonts w:ascii="Georgia" w:cs="Georgia" w:eastAsia="Georgia" w:hAnsi="Georgia"/>
          <w:b/>
          <w:bCs/>
          <w:color w:val="2c3e6b"/>
          <w:sz w:val="26"/>
          <w:szCs w:val="26"/>
        </w:rPr>
        <w:t xml:space="preserve">One: An Independent Civil Service</w:t>
      </w:r>
      <w:bookmarkEnd w:id="48"/>
    </w:p>
    <w:p>
      <w:pPr>
        <w:spacing w:before="100" w:after="140" w:line="320"/>
      </w:pPr>
      <w:r>
        <w:rPr>
          <w:rFonts w:ascii="Georgia" w:cs="Georgia" w:eastAsia="Georgia" w:hAnsi="Georgia"/>
          <w:sz w:val="22"/>
          <w:szCs w:val="22"/>
        </w:rPr>
        <w:t xml:space="preserve">A professional civil service recruited on merit, promoted on performance, and insulated from electoral cycles is the foundational institution of the impartial state. Without it, every other reform is implemented by a patronage apparatus that will find ways to capture or reverse it.</w:t>
      </w:r>
      <w:r>
        <w:rPr>
          <w:rFonts w:ascii="Georgia" w:cs="Georgia" w:eastAsia="Georgia" w:hAnsi="Georgia"/>
          <w:color w:val="2c3e6b"/>
          <w:sz w:val="16"/>
          <w:szCs w:val="16"/>
          <w:vertAlign w:val="superscript"/>
        </w:rPr>
        <w:t xml:space="preserve">[2,11]</w:t>
      </w:r>
    </w:p>
    <w:p>
      <w:pPr>
        <w:spacing w:before="60" w:after="60"/>
      </w:pPr>
      <w:r>
        <w:t xml:space="preserve"/>
      </w:r>
    </w:p>
    <w:p>
      <w:pPr>
        <w:spacing w:before="100" w:after="140" w:line="320"/>
      </w:pPr>
      <w:r>
        <w:rPr>
          <w:rFonts w:ascii="Georgia" w:cs="Georgia" w:eastAsia="Georgia" w:hAnsi="Georgia"/>
          <w:sz w:val="22"/>
          <w:szCs w:val="22"/>
        </w:rPr>
        <w:t xml:space="preserve">The specific design requirement is a Civil Service Commission with constitutional status — not statutory status, which is reversible by simple parliamentary majority — with appointment, promotion, and dismissal authority over the senior civil service, and with its own commissioners appointed through a cross-party confirmation process that prevents single-party capture.</w:t>
      </w:r>
      <w:r>
        <w:rPr>
          <w:rFonts w:ascii="Georgia" w:cs="Georgia" w:eastAsia="Georgia" w:hAnsi="Georgia"/>
          <w:color w:val="2c3e6b"/>
          <w:sz w:val="16"/>
          <w:szCs w:val="16"/>
          <w:vertAlign w:val="superscript"/>
        </w:rPr>
        <w:t xml:space="preserve">[2]</w:t>
      </w:r>
    </w:p>
    <w:p>
      <w:pPr>
        <w:spacing w:before="60" w:after="60"/>
      </w:pPr>
      <w:r>
        <w:t xml:space="preserve"/>
      </w:r>
    </w:p>
    <w:p>
      <w:pPr>
        <w:spacing w:before="100" w:after="140" w:line="320"/>
      </w:pPr>
      <w:r>
        <w:rPr>
          <w:rFonts w:ascii="Georgia" w:cs="Georgia" w:eastAsia="Georgia" w:hAnsi="Georgia"/>
          <w:sz w:val="22"/>
          <w:szCs w:val="22"/>
        </w:rPr>
        <w:t xml:space="preserve">The precedent is the Sri Lankan Judicial Service Commission, which has maintained relative independence from political interference — demonstrating that constitutional insulation can work within the existing legal culture. The model needs to be extended to the executive civil service.</w:t>
      </w:r>
      <w:r>
        <w:rPr>
          <w:rFonts w:ascii="Georgia" w:cs="Georgia" w:eastAsia="Georgia" w:hAnsi="Georgia"/>
          <w:color w:val="2c3e6b"/>
          <w:sz w:val="16"/>
          <w:szCs w:val="16"/>
          <w:vertAlign w:val="superscript"/>
        </w:rPr>
        <w:t xml:space="preserve">[7]</w:t>
      </w:r>
    </w:p>
    <w:p>
      <w:pPr>
        <w:spacing w:before="60" w:after="60"/>
      </w:pPr>
      <w:r>
        <w:t xml:space="preserve"/>
      </w:r>
    </w:p>
    <w:p>
      <w:pPr>
        <w:pStyle w:val="Heading2"/>
        <w:spacing w:before="320" w:after="160"/>
      </w:pPr>
      <w:bookmarkStart w:name="two_commercial_dispute_resolution_with_i" w:id="49"/>
      <w:r>
        <w:rPr>
          <w:rFonts w:ascii="Georgia" w:cs="Georgia" w:eastAsia="Georgia" w:hAnsi="Georgia"/>
          <w:b/>
          <w:bCs/>
          <w:color w:val="2c3e6b"/>
          <w:sz w:val="26"/>
          <w:szCs w:val="26"/>
        </w:rPr>
        <w:t xml:space="preserve">Two: Commercial Dispute Resolution with International Credibility</w:t>
      </w:r>
      <w:bookmarkEnd w:id="49"/>
    </w:p>
    <w:p>
      <w:pPr>
        <w:spacing w:before="100" w:after="140" w:line="320"/>
      </w:pPr>
      <w:r>
        <w:rPr>
          <w:rFonts w:ascii="Georgia" w:cs="Georgia" w:eastAsia="Georgia" w:hAnsi="Georgia"/>
          <w:sz w:val="22"/>
          <w:szCs w:val="22"/>
        </w:rPr>
        <w:t xml:space="preserve">Global capital will not commit to jurisdictions where commercial dispute resolution is slow, unpredictable, or politically influenced. This is not negotiable. It is the single most frequently cited barrier to foreign direct investment in Tambapanni in every major investor survey.</w:t>
      </w:r>
      <w:r>
        <w:rPr>
          <w:rFonts w:ascii="Georgia" w:cs="Georgia" w:eastAsia="Georgia" w:hAnsi="Georgia"/>
          <w:color w:val="2c3e6b"/>
          <w:sz w:val="16"/>
          <w:szCs w:val="16"/>
          <w:vertAlign w:val="superscript"/>
        </w:rPr>
        <w:t xml:space="preserve">[9]</w:t>
      </w:r>
    </w:p>
    <w:p>
      <w:pPr>
        <w:spacing w:before="60" w:after="60"/>
      </w:pPr>
      <w:r>
        <w:t xml:space="preserve"/>
      </w:r>
    </w:p>
    <w:p>
      <w:pPr>
        <w:spacing w:before="100" w:after="140" w:line="320"/>
      </w:pPr>
      <w:r>
        <w:rPr>
          <w:rFonts w:ascii="Georgia" w:cs="Georgia" w:eastAsia="Georgia" w:hAnsi="Georgia"/>
          <w:sz w:val="22"/>
          <w:szCs w:val="22"/>
        </w:rPr>
        <w:t xml:space="preserve">The Singapore International Arbitration Centre and the Dubai International Financial Centre Courts are the reference models: in SIAC's case, an arbitration body whose awards are enforceable in over 160 countries; in DIFC's case, a specialist commercial court with internationally recognised rules and foreign judges. The distinction matters. SIAC-style arbitration is available to Tambapanni now — the legal framework already exists under the Arbitration Act 1995. The gap is in consistent judicial enforcement and government-level commitment to arbitration as standard commercial practice. A DIFC-style specialist commercial court is a longer-horizon aspiration that requires the impartial state apparatus to exist before it can credibly function.</w:t>
      </w:r>
      <w:r>
        <w:rPr>
          <w:rFonts w:ascii="Georgia" w:cs="Georgia" w:eastAsia="Georgia" w:hAnsi="Georgia"/>
          <w:color w:val="2c3e6b"/>
          <w:sz w:val="16"/>
          <w:szCs w:val="16"/>
          <w:vertAlign w:val="superscript"/>
        </w:rPr>
        <w:t xml:space="preserve">[17,18]</w:t>
      </w:r>
    </w:p>
    <w:p>
      <w:pPr>
        <w:spacing w:before="60" w:after="60"/>
      </w:pPr>
      <w:r>
        <w:t xml:space="preserve"/>
      </w:r>
    </w:p>
    <w:p>
      <w:pPr>
        <w:spacing w:before="100" w:after="140" w:line="320"/>
      </w:pPr>
      <w:r>
        <w:rPr>
          <w:rFonts w:ascii="Georgia" w:cs="Georgia" w:eastAsia="Georgia" w:hAnsi="Georgia"/>
          <w:sz w:val="22"/>
          <w:szCs w:val="22"/>
        </w:rPr>
        <w:t xml:space="preserve">Tambapanni's existing legal system is a functional common law inheritance. The gap is not in legal tradition — it is in the specialist commercial court infrastructure and the international credibility signalling that tells global capital the system can be trusted. This is a targeted, buildable intervention, not a systemic overhaul.</w:t>
      </w:r>
      <w:r>
        <w:rPr>
          <w:rFonts w:ascii="Georgia" w:cs="Georgia" w:eastAsia="Georgia" w:hAnsi="Georgia"/>
          <w:color w:val="2c3e6b"/>
          <w:sz w:val="16"/>
          <w:szCs w:val="16"/>
          <w:vertAlign w:val="superscript"/>
        </w:rPr>
        <w:t xml:space="preserve">[7]</w:t>
      </w:r>
    </w:p>
    <w:p>
      <w:pPr>
        <w:spacing w:before="60" w:after="60"/>
      </w:pPr>
      <w:r>
        <w:t xml:space="preserve"/>
      </w:r>
    </w:p>
    <w:p>
      <w:pPr>
        <w:pStyle w:val="Heading2"/>
        <w:spacing w:before="320" w:after="160"/>
      </w:pPr>
      <w:bookmarkStart w:name="three_a_civic_constitutional_settlement" w:id="50"/>
      <w:r>
        <w:rPr>
          <w:rFonts w:ascii="Georgia" w:cs="Georgia" w:eastAsia="Georgia" w:hAnsi="Georgia"/>
          <w:b/>
          <w:bCs/>
          <w:color w:val="2c3e6b"/>
          <w:sz w:val="26"/>
          <w:szCs w:val="26"/>
        </w:rPr>
        <w:t xml:space="preserve">Three: A Civic Constitutional Settlement</w:t>
      </w:r>
      <w:bookmarkEnd w:id="50"/>
    </w:p>
    <w:p>
      <w:pPr>
        <w:spacing w:before="100" w:after="140" w:line="320"/>
      </w:pPr>
      <w:r>
        <w:rPr>
          <w:rFonts w:ascii="Georgia" w:cs="Georgia" w:eastAsia="Georgia" w:hAnsi="Georgia"/>
          <w:sz w:val="22"/>
          <w:szCs w:val="22"/>
        </w:rPr>
        <w:t xml:space="preserve">The third intervention is the most politically significant and the most foundational. A constitution that designates one ethnic or religious community as the primary custodian of the state cannot produce a genuinely impartial regulatory environment. The designation is not a policy preference. It is the state's definition of who it serves.</w:t>
      </w:r>
      <w:r>
        <w:rPr>
          <w:rFonts w:ascii="Georgia" w:cs="Georgia" w:eastAsia="Georgia" w:hAnsi="Georgia"/>
          <w:color w:val="2c3e6b"/>
          <w:sz w:val="16"/>
          <w:szCs w:val="16"/>
          <w:vertAlign w:val="superscript"/>
        </w:rPr>
        <w:t xml:space="preserve">[21]</w:t>
      </w:r>
    </w:p>
    <w:p>
      <w:pPr>
        <w:spacing w:before="60" w:after="60"/>
      </w:pPr>
      <w:r>
        <w:t xml:space="preserve"/>
      </w:r>
    </w:p>
    <w:p>
      <w:pPr>
        <w:spacing w:before="100" w:after="140" w:line="320"/>
      </w:pPr>
      <w:r>
        <w:rPr>
          <w:rFonts w:ascii="Georgia" w:cs="Georgia" w:eastAsia="Georgia" w:hAnsi="Georgia"/>
          <w:sz w:val="22"/>
          <w:szCs w:val="22"/>
        </w:rPr>
        <w:t xml:space="preserve">A civic constitutional settlement removes ethnic and religious designation from the state's founding purpose. It establishes that the state serves all citizens equally — that religion and language are personal affairs, protected as individual rights but not encoded as state preferences.</w:t>
      </w:r>
      <w:r>
        <w:rPr>
          <w:rFonts w:ascii="Georgia" w:cs="Georgia" w:eastAsia="Georgia" w:hAnsi="Georgia"/>
          <w:color w:val="2c3e6b"/>
          <w:sz w:val="16"/>
          <w:szCs w:val="16"/>
          <w:vertAlign w:val="superscript"/>
        </w:rPr>
        <w:t xml:space="preserve">[6]</w:t>
      </w:r>
    </w:p>
    <w:p>
      <w:pPr>
        <w:spacing w:before="60" w:after="60"/>
      </w:pPr>
      <w:r>
        <w:t xml:space="preserve"/>
      </w:r>
    </w:p>
    <w:p>
      <w:pPr>
        <w:spacing w:before="100" w:after="140" w:line="320"/>
      </w:pPr>
      <w:r>
        <w:rPr>
          <w:rFonts w:ascii="Georgia" w:cs="Georgia" w:eastAsia="Georgia" w:hAnsi="Georgia"/>
          <w:sz w:val="22"/>
          <w:szCs w:val="22"/>
        </w:rPr>
        <w:t xml:space="preserve">This is not secularism imposed as ideology. It is the institutional precondition for the economic outcomes described in this paper. The Mauritius model demonstrates it can be achieved in a genuinely plural democratic society. The Singapore model demonstrates the economic outcomes it enables.</w:t>
      </w:r>
      <w:r>
        <w:rPr>
          <w:rFonts w:ascii="Georgia" w:cs="Georgia" w:eastAsia="Georgia" w:hAnsi="Georgia"/>
          <w:color w:val="2c3e6b"/>
          <w:sz w:val="16"/>
          <w:szCs w:val="16"/>
          <w:vertAlign w:val="superscript"/>
        </w:rPr>
        <w:t xml:space="preserve">[16]</w:t>
      </w:r>
    </w:p>
    <w:p>
      <w:pPr>
        <w:spacing w:before="60" w:after="60"/>
      </w:pPr>
      <w:r>
        <w:t xml:space="preserve"/>
      </w:r>
    </w:p>
    <w:p>
      <w:pPr>
        <w:pBdr>
          <w:bottom w:val="single" w:color="2c3e6b" w:sz="4" w:space="1"/>
        </w:pBdr>
        <w:spacing w:before="240" w:after="240"/>
      </w:pPr>
      <w:r>
        <w:t xml:space="preserve"/>
      </w:r>
    </w:p>
    <w:p>
      <w:pPr>
        <w:pStyle w:val="Heading1"/>
        <w:spacing w:before="480" w:after="200"/>
      </w:pPr>
      <w:bookmarkStart w:name="vi_the_movement_and_the_myth" w:id="51"/>
      <w:r>
        <w:rPr>
          <w:rFonts w:ascii="Georgia" w:cs="Georgia" w:eastAsia="Georgia" w:hAnsi="Georgia"/>
          <w:b/>
          <w:bCs/>
          <w:color w:val="1a1a2e"/>
          <w:sz w:val="34"/>
          <w:szCs w:val="34"/>
        </w:rPr>
        <w:t xml:space="preserve">VI. The Movement and the Myth</w:t>
      </w:r>
      <w:bookmarkEnd w:id="51"/>
    </w:p>
    <w:p>
      <w:pPr>
        <w:spacing w:before="100" w:after="140" w:line="320"/>
      </w:pPr>
      <w:r>
        <w:rPr>
          <w:rFonts w:ascii="Georgia" w:cs="Georgia" w:eastAsia="Georgia" w:hAnsi="Georgia"/>
          <w:sz w:val="22"/>
          <w:szCs w:val="22"/>
        </w:rPr>
        <w:t xml:space="preserve">The three institutional interventions described in Section V will not be implemented by the patronage system they are designed to replace. Political systems do not voluntarily dismantle the mechanisms that keep them in power. Reform of this kind requires a coalition of actors who exist outside the patronage system and have sufficient leverage to make the costs of inaction exceed the costs of change.</w:t>
      </w:r>
      <w:r>
        <w:rPr>
          <w:rFonts w:ascii="Georgia" w:cs="Georgia" w:eastAsia="Georgia" w:hAnsi="Georgia"/>
          <w:color w:val="2c3e6b"/>
          <w:sz w:val="16"/>
          <w:szCs w:val="16"/>
          <w:vertAlign w:val="superscript"/>
        </w:rPr>
        <w:t xml:space="preserve">[2,6]</w:t>
      </w:r>
    </w:p>
    <w:p>
      <w:pPr>
        <w:spacing w:before="60" w:after="60"/>
      </w:pPr>
      <w:r>
        <w:t xml:space="preserve"/>
      </w:r>
    </w:p>
    <w:p>
      <w:pPr>
        <w:pStyle w:val="Heading2"/>
        <w:spacing w:before="320" w:after="160"/>
      </w:pPr>
      <w:bookmarkStart w:name="two_myths_one_choice" w:id="52"/>
      <w:r>
        <w:rPr>
          <w:rFonts w:ascii="Georgia" w:cs="Georgia" w:eastAsia="Georgia" w:hAnsi="Georgia"/>
          <w:b/>
          <w:bCs/>
          <w:color w:val="2c3e6b"/>
          <w:sz w:val="26"/>
          <w:szCs w:val="26"/>
        </w:rPr>
        <w:t xml:space="preserve">Two Myths, One Choice</w:t>
      </w:r>
      <w:bookmarkEnd w:id="52"/>
    </w:p>
    <w:p>
      <w:pPr>
        <w:spacing w:before="100" w:after="140" w:line="320"/>
      </w:pPr>
      <w:r>
        <w:rPr>
          <w:rFonts w:ascii="Georgia" w:cs="Georgia" w:eastAsia="Georgia" w:hAnsi="Georgia"/>
          <w:sz w:val="22"/>
          <w:szCs w:val="22"/>
        </w:rPr>
        <w:t xml:space="preserve">Benedict Anderson's insight is that nations are not natural facts. They are shared fictions — imagined communities held together by a common narrative about who we are and what we belong to.</w:t>
      </w:r>
      <w:r>
        <w:rPr>
          <w:rFonts w:ascii="Georgia" w:cs="Georgia" w:eastAsia="Georgia" w:hAnsi="Georgia"/>
          <w:color w:val="2c3e6b"/>
          <w:sz w:val="16"/>
          <w:szCs w:val="16"/>
          <w:vertAlign w:val="superscript"/>
        </w:rPr>
        <w:t xml:space="preserve">[6]</w:t>
      </w:r>
    </w:p>
    <w:p>
      <w:pPr>
        <w:spacing w:before="60" w:after="60"/>
      </w:pPr>
      <w:r>
        <w:t xml:space="preserve"/>
      </w:r>
    </w:p>
    <w:p>
      <w:pPr>
        <w:spacing w:before="100" w:after="140" w:line="320"/>
      </w:pPr>
      <w:r>
        <w:rPr>
          <w:rFonts w:ascii="Georgia" w:cs="Georgia" w:eastAsia="Georgia" w:hAnsi="Georgia"/>
          <w:sz w:val="22"/>
          <w:szCs w:val="22"/>
        </w:rPr>
        <w:t xml:space="preserve">Tambapanni currently operates on a backward-looking myth: identity drawn from a contested past, ethnic and religious lines as the primary organising principle of civic life, communal belonging as the trade-off for collective prosperity. This myth has real power. It mobilises. It wins elections. It is the operating system of the current state.</w:t>
      </w:r>
      <w:r>
        <w:rPr>
          <w:rFonts w:ascii="Georgia" w:cs="Georgia" w:eastAsia="Georgia" w:hAnsi="Georgia"/>
          <w:color w:val="2c3e6b"/>
          <w:sz w:val="16"/>
          <w:szCs w:val="16"/>
          <w:vertAlign w:val="superscript"/>
        </w:rPr>
        <w:t xml:space="preserve">[6,21]</w:t>
      </w:r>
    </w:p>
    <w:p>
      <w:pPr>
        <w:spacing w:before="60" w:after="60"/>
      </w:pPr>
      <w:r>
        <w:t xml:space="preserve"/>
      </w:r>
    </w:p>
    <w:p>
      <w:pPr>
        <w:spacing w:before="100" w:after="140" w:line="320"/>
      </w:pPr>
      <w:r>
        <w:rPr>
          <w:rFonts w:ascii="Georgia" w:cs="Georgia" w:eastAsia="Georgia" w:hAnsi="Georgia"/>
          <w:sz w:val="22"/>
          <w:szCs w:val="22"/>
        </w:rPr>
        <w:t xml:space="preserve">The forward-looking myth is different in kind. It does not resolve the past — the history is what it was. It makes the future compelling enough that the past becomes secondary. The shared telos is not ethnic or religious origin. It is prosperity — broadly defined, inclusively distributed, institutionally protected.</w:t>
      </w:r>
    </w:p>
    <w:p>
      <w:pPr>
        <w:spacing w:before="60" w:after="60"/>
      </w:pPr>
      <w:r>
        <w:t xml:space="preserve"/>
      </w:r>
    </w:p>
    <w:p>
      <w:pPr>
        <w:spacing w:before="100" w:after="140" w:line="320"/>
      </w:pPr>
      <w:r>
        <w:rPr>
          <w:rFonts w:ascii="Georgia" w:cs="Georgia" w:eastAsia="Georgia" w:hAnsi="Georgia"/>
          <w:sz w:val="22"/>
          <w:szCs w:val="22"/>
        </w:rPr>
        <w:t xml:space="preserve">Religion and language are not erased in this myth. They become personal rather than civic — protected as individual rights, celebrated as cultural inheritance, but not encoded as state preferences that determine who the state serves. The trade-off is explicit: you cannot have both communal state designation and the institutional impartiality that captures macroeconomic windows. The choice is between which trade-off you are prepared to make.</w:t>
      </w:r>
      <w:r>
        <w:rPr>
          <w:rFonts w:ascii="Georgia" w:cs="Georgia" w:eastAsia="Georgia" w:hAnsi="Georgia"/>
          <w:color w:val="2c3e6b"/>
          <w:sz w:val="16"/>
          <w:szCs w:val="16"/>
          <w:vertAlign w:val="superscript"/>
        </w:rPr>
        <w:t xml:space="preserve">[6]</w:t>
      </w:r>
    </w:p>
    <w:p>
      <w:pPr>
        <w:spacing w:before="60" w:after="60"/>
      </w:pPr>
      <w:r>
        <w:t xml:space="preserve"/>
      </w:r>
    </w:p>
    <w:p>
      <w:pPr>
        <w:pBdr>
          <w:left w:val="single" w:color="2c3e6b" w:sz="12" w:space="20"/>
        </w:pBdr>
        <w:spacing w:before="160" w:after="160" w:line="300"/>
        <w:ind w:left="720" w:right="720"/>
      </w:pPr>
      <w:r>
        <w:rPr>
          <w:rFonts w:ascii="Georgia" w:cs="Georgia" w:eastAsia="Georgia" w:hAnsi="Georgia"/>
          <w:i/>
          <w:iCs/>
          <w:color w:val="4a5568"/>
          <w:sz w:val="21"/>
          <w:szCs w:val="21"/>
        </w:rPr>
        <w:t xml:space="preserve">The question is not whether you follow religious or ethnic lines and compromise prosperity, or keep religion and language as personal affairs and thrive. The question is which future you choose to inhabit.</w:t>
      </w:r>
    </w:p>
    <w:p>
      <w:pPr>
        <w:spacing w:before="60" w:after="60"/>
      </w:pPr>
      <w:r>
        <w:t xml:space="preserve"/>
      </w:r>
    </w:p>
    <w:p>
      <w:pPr>
        <w:pStyle w:val="Heading2"/>
        <w:spacing w:before="320" w:after="160"/>
      </w:pPr>
      <w:bookmarkStart w:name="the_coalition" w:id="53"/>
      <w:r>
        <w:rPr>
          <w:rFonts w:ascii="Georgia" w:cs="Georgia" w:eastAsia="Georgia" w:hAnsi="Georgia"/>
          <w:b/>
          <w:bCs/>
          <w:color w:val="2c3e6b"/>
          <w:sz w:val="26"/>
          <w:szCs w:val="26"/>
        </w:rPr>
        <w:t xml:space="preserve">The Coalition</w:t>
      </w:r>
      <w:bookmarkEnd w:id="53"/>
    </w:p>
    <w:p>
      <w:pPr>
        <w:spacing w:before="100" w:after="140" w:line="320"/>
      </w:pPr>
      <w:r>
        <w:rPr>
          <w:rFonts w:ascii="Georgia" w:cs="Georgia" w:eastAsia="Georgia" w:hAnsi="Georgia"/>
          <w:sz w:val="22"/>
          <w:szCs w:val="22"/>
        </w:rPr>
        <w:t xml:space="preserve">The coalition that can move the state toward the forward-looking myth does not need to be a majority. It needs to be a network of actors with sufficient combined leverage to shift the institutional incentive structure. Three categories of actor are structurally positioned for this:</w:t>
      </w:r>
    </w:p>
    <w:p>
      <w:pPr>
        <w:spacing w:before="60" w:after="60"/>
      </w:pPr>
      <w:r>
        <w:t xml:space="preserve"/>
      </w:r>
    </w:p>
    <w:p>
      <w:pPr>
        <w:spacing w:before="100" w:after="140" w:line="320"/>
      </w:pPr>
      <w:r>
        <w:rPr>
          <w:rFonts w:ascii="Georgia" w:cs="Georgia" w:eastAsia="Georgia" w:hAnsi="Georgia"/>
          <w:sz w:val="22"/>
          <w:szCs w:val="22"/>
        </w:rPr>
        <w:t xml:space="preserve">First: the private sector — domestic and diaspora — that currently bears the direct economic cost of institutional dysfunction. Every business that cannot attract foreign capital because counterparties do not trust the dispute resolution system, every technology firm that loses a contract because it cannot credibly commit to data protection enforcement, every logistics operator that pays the rent-seeking premium of a patronage bureaucracy — these actors have a direct economic interest in the institutional reform this paper describes. They are also the actors with the greatest credibility when they speak to international partners about Tambapanni's potential.</w:t>
      </w:r>
      <w:r>
        <w:rPr>
          <w:rFonts w:ascii="Georgia" w:cs="Georgia" w:eastAsia="Georgia" w:hAnsi="Georgia"/>
          <w:color w:val="2c3e6b"/>
          <w:sz w:val="16"/>
          <w:szCs w:val="16"/>
          <w:vertAlign w:val="superscript"/>
        </w:rPr>
        <w:t xml:space="preserve">[9]</w:t>
      </w:r>
    </w:p>
    <w:p>
      <w:pPr>
        <w:spacing w:before="60" w:after="60"/>
      </w:pPr>
      <w:r>
        <w:t xml:space="preserve"/>
      </w:r>
    </w:p>
    <w:p>
      <w:pPr>
        <w:spacing w:before="100" w:after="140" w:line="320"/>
      </w:pPr>
      <w:r>
        <w:rPr>
          <w:rFonts w:ascii="Georgia" w:cs="Georgia" w:eastAsia="Georgia" w:hAnsi="Georgia"/>
          <w:sz w:val="22"/>
          <w:szCs w:val="22"/>
        </w:rPr>
        <w:t xml:space="preserve">Second: international development finance and institutional investors who are looking for the next Mauritius or Estonia — a small, strategically positioned economy with the institutional quality to be a reliable partner for long-horizon capital deployment. This capital is actively looking for the signal that Tambapanni's institutional direction is changing. A credible reform coalition provides that signal.</w:t>
      </w:r>
      <w:r>
        <w:rPr>
          <w:rFonts w:ascii="Georgia" w:cs="Georgia" w:eastAsia="Georgia" w:hAnsi="Georgia"/>
          <w:color w:val="2c3e6b"/>
          <w:sz w:val="16"/>
          <w:szCs w:val="16"/>
          <w:vertAlign w:val="superscript"/>
        </w:rPr>
        <w:t xml:space="preserve">[9]</w:t>
      </w:r>
    </w:p>
    <w:p>
      <w:pPr>
        <w:spacing w:before="60" w:after="60"/>
      </w:pPr>
      <w:r>
        <w:t xml:space="preserve"/>
      </w:r>
    </w:p>
    <w:p>
      <w:pPr>
        <w:spacing w:before="100" w:after="140" w:line="320"/>
      </w:pPr>
      <w:r>
        <w:rPr>
          <w:rFonts w:ascii="Georgia" w:cs="Georgia" w:eastAsia="Georgia" w:hAnsi="Georgia"/>
          <w:sz w:val="22"/>
          <w:szCs w:val="22"/>
        </w:rPr>
        <w:t xml:space="preserve">Third: the professional and technical class — civil servants, lawyers, engineers, educators — who entered public life to serve a function and find themselves trapped in a patronage system that prevents them from doing it. These actors are the institutional substrate that reform needs. They exist. They are waiting for a coalition to make reform politically viable.</w:t>
      </w:r>
      <w:r>
        <w:rPr>
          <w:rFonts w:ascii="Georgia" w:cs="Georgia" w:eastAsia="Georgia" w:hAnsi="Georgia"/>
          <w:color w:val="2c3e6b"/>
          <w:sz w:val="16"/>
          <w:szCs w:val="16"/>
          <w:vertAlign w:val="superscript"/>
        </w:rPr>
        <w:t xml:space="preserve">[11]</w:t>
      </w:r>
    </w:p>
    <w:p>
      <w:pPr>
        <w:spacing w:before="60" w:after="60"/>
      </w:pPr>
      <w:r>
        <w:t xml:space="preserve"/>
      </w:r>
    </w:p>
    <w:p>
      <w:pPr>
        <w:pStyle w:val="Heading2"/>
        <w:spacing w:before="320" w:after="160"/>
      </w:pPr>
      <w:bookmarkStart w:name="the_platform" w:id="54"/>
      <w:r>
        <w:rPr>
          <w:rFonts w:ascii="Georgia" w:cs="Georgia" w:eastAsia="Georgia" w:hAnsi="Georgia"/>
          <w:b/>
          <w:bCs/>
          <w:color w:val="2c3e6b"/>
          <w:sz w:val="26"/>
          <w:szCs w:val="26"/>
        </w:rPr>
        <w:t xml:space="preserve">The Platform</w:t>
      </w:r>
      <w:bookmarkEnd w:id="54"/>
    </w:p>
    <w:p>
      <w:pPr>
        <w:spacing w:before="100" w:after="140" w:line="320"/>
      </w:pPr>
      <w:r>
        <w:rPr>
          <w:rFonts w:ascii="Georgia" w:cs="Georgia" w:eastAsia="Georgia" w:hAnsi="Georgia"/>
          <w:sz w:val="22"/>
          <w:szCs w:val="22"/>
        </w:rPr>
        <w:t xml:space="preserve">The movement does not need a party. Parties compete within the patronage system and are captured by it. The movement needs a platform — a shared statement of the forward-looking myth and the institutional interventions required to make it real — that actors across all three categories can affiliate with, fund, and advocate for, regardless of which party they otherwise support.</w:t>
      </w:r>
      <w:r>
        <w:rPr>
          <w:rFonts w:ascii="Georgia" w:cs="Georgia" w:eastAsia="Georgia" w:hAnsi="Georgia"/>
          <w:color w:val="2c3e6b"/>
          <w:sz w:val="16"/>
          <w:szCs w:val="16"/>
          <w:vertAlign w:val="superscript"/>
        </w:rPr>
        <w:t xml:space="preserve">[2,6]</w:t>
      </w:r>
    </w:p>
    <w:p>
      <w:pPr>
        <w:spacing w:before="60" w:after="60"/>
      </w:pPr>
      <w:r>
        <w:t xml:space="preserve"/>
      </w:r>
    </w:p>
    <w:p>
      <w:pPr>
        <w:spacing w:before="100" w:after="140" w:line="320"/>
      </w:pPr>
      <w:r>
        <w:rPr>
          <w:rFonts w:ascii="Georgia" w:cs="Georgia" w:eastAsia="Georgia" w:hAnsi="Georgia"/>
          <w:sz w:val="22"/>
          <w:szCs w:val="22"/>
        </w:rPr>
        <w:t xml:space="preserve">This paper and its companion document are the intellectual foundation of that platform. The argument has been made at the level of history, philosophy, constitutional design, and economic strategy. The next step is to make it at the level of coalition — identifying the specific actors, designing the specific institutional proposals, and building the network of commitment that makes the reform politically viable.</w:t>
      </w:r>
      <w:r>
        <w:rPr>
          <w:rFonts w:ascii="Georgia" w:cs="Georgia" w:eastAsia="Georgia" w:hAnsi="Georgia"/>
          <w:color w:val="2c3e6b"/>
          <w:sz w:val="16"/>
          <w:szCs w:val="16"/>
          <w:vertAlign w:val="superscript"/>
        </w:rPr>
        <w:t xml:space="preserve">[21]</w:t>
      </w:r>
    </w:p>
    <w:p>
      <w:pPr>
        <w:spacing w:before="60" w:after="60"/>
      </w:pPr>
      <w:r>
        <w:t xml:space="preserve"/>
      </w:r>
    </w:p>
    <w:p>
      <w:pPr>
        <w:spacing w:before="100" w:after="140" w:line="320"/>
      </w:pPr>
      <w:r>
        <w:rPr>
          <w:rFonts w:ascii="Georgia" w:cs="Georgia" w:eastAsia="Georgia" w:hAnsi="Georgia"/>
          <w:sz w:val="22"/>
          <w:szCs w:val="22"/>
        </w:rPr>
        <w:t xml:space="preserve">The window is open. The constraint is named. The institutional interventions are specified. The coalition is structurally available. The myth is a choice.</w:t>
      </w:r>
    </w:p>
    <w:p>
      <w:pPr>
        <w:spacing w:before="60" w:after="60"/>
      </w:pPr>
      <w:r>
        <w:t xml:space="preserve"/>
      </w:r>
    </w:p>
    <w:p>
      <w:pPr>
        <w:pBdr>
          <w:bottom w:val="single" w:color="2c3e6b" w:sz="4" w:space="1"/>
        </w:pBdr>
        <w:spacing w:before="240" w:after="240"/>
      </w:pPr>
      <w:r>
        <w:t xml:space="preserve"/>
      </w:r>
    </w:p>
    <w:p>
      <w:pPr>
        <w:spacing w:before="480" w:after="160"/>
        <w:jc w:val="center"/>
      </w:pPr>
      <w:r>
        <w:rPr>
          <w:rFonts w:ascii="Georgia" w:cs="Georgia" w:eastAsia="Georgia" w:hAnsi="Georgia"/>
          <w:i/>
          <w:iCs/>
          <w:color w:val="2c3e6b"/>
          <w:sz w:val="26"/>
          <w:szCs w:val="26"/>
        </w:rPr>
        <w:t xml:space="preserve">You cannot build the right state</w:t>
      </w:r>
    </w:p>
    <w:p>
      <w:pPr>
        <w:spacing w:before="0" w:after="160"/>
        <w:jc w:val="center"/>
      </w:pPr>
      <w:r>
        <w:rPr>
          <w:rFonts w:ascii="Georgia" w:cs="Georgia" w:eastAsia="Georgia" w:hAnsi="Georgia"/>
          <w:i/>
          <w:iCs/>
          <w:color w:val="2c3e6b"/>
          <w:sz w:val="26"/>
          <w:szCs w:val="26"/>
        </w:rPr>
        <w:t xml:space="preserve">if you do not understand why the current one was built wrong.</w:t>
      </w:r>
    </w:p>
    <w:p>
      <w:pPr>
        <w:spacing w:before="0" w:after="160"/>
        <w:jc w:val="center"/>
      </w:pPr>
      <w:r>
        <w:rPr>
          <w:rFonts w:ascii="Georgia" w:cs="Georgia" w:eastAsia="Georgia" w:hAnsi="Georgia"/>
          <w:i/>
          <w:iCs/>
          <w:color w:val="2c3e6b"/>
          <w:sz w:val="26"/>
          <w:szCs w:val="26"/>
        </w:rPr>
        <w:t xml:space="preserve">You cannot capture a macroeconomic window</w:t>
      </w:r>
    </w:p>
    <w:p>
      <w:pPr>
        <w:spacing w:before="0" w:after="480"/>
        <w:jc w:val="center"/>
      </w:pPr>
      <w:r>
        <w:rPr>
          <w:rFonts w:ascii="Georgia" w:cs="Georgia" w:eastAsia="Georgia" w:hAnsi="Georgia"/>
          <w:i/>
          <w:iCs/>
          <w:color w:val="2c3e6b"/>
          <w:sz w:val="26"/>
          <w:szCs w:val="26"/>
        </w:rPr>
        <w:t xml:space="preserve">without the institutional quality to receive what it offers.</w:t>
      </w:r>
    </w:p>
    <w:p>
      <w:pPr>
        <w:pBdr>
          <w:bottom w:val="single" w:color="2c3e6b" w:sz="4" w:space="1"/>
        </w:pBdr>
        <w:spacing w:before="240" w:after="240"/>
      </w:pPr>
      <w:r>
        <w:t xml:space="preserve"/>
      </w:r>
    </w:p>
    <w:p>
      <w:pPr>
        <w:pStyle w:val="Heading1"/>
        <w:spacing w:before="480" w:after="200"/>
      </w:pPr>
      <w:bookmarkStart w:name="glossary" w:id="55"/>
      <w:r>
        <w:rPr>
          <w:rFonts w:ascii="Georgia" w:cs="Georgia" w:eastAsia="Georgia" w:hAnsi="Georgia"/>
          <w:b/>
          <w:bCs/>
          <w:color w:val="1a1a2e"/>
          <w:sz w:val="34"/>
          <w:szCs w:val="34"/>
        </w:rPr>
        <w:t xml:space="preserve">Glossary</w:t>
      </w:r>
      <w:bookmarkEnd w:id="55"/>
    </w:p>
    <w:p>
      <w:pPr>
        <w:spacing w:before="100" w:after="140" w:line="320"/>
      </w:pPr>
      <w:r>
        <w:rPr>
          <w:rFonts w:ascii="Georgia" w:cs="Georgia" w:eastAsia="Georgia" w:hAnsi="Georgia"/>
          <w:sz w:val="22"/>
          <w:szCs w:val="22"/>
        </w:rPr>
        <w:t xml:space="preserve">All abbreviations and technical terms used in this document are defined below in full. Where an abbreviation appears for the first time in the text, the full form is given on first use.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AHEAD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Accelerating Higher Education Expansion and Development</w:t>
            </w:r>
            <w:r>
              <w:rPr>
                <w:rFonts w:ascii="Georgia" w:cs="Georgia" w:eastAsia="Georgia" w:hAnsi="Georgia"/>
                <w:i/>
                <w:iCs/>
                <w:color w:val="4a5568"/>
                <w:sz w:val="18"/>
                <w:szCs w:val="18"/>
              </w:rPr>
              <w:t xml:space="preserve">  — World Bank programme supporting Sri Lanka's higher education sector, 2016–present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ASEAN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Association of Southeast Asian Nations</w:t>
            </w:r>
            <w:r>
              <w:rPr>
                <w:rFonts w:ascii="Georgia" w:cs="Georgia" w:eastAsia="Georgia" w:hAnsi="Georgia"/>
                <w:i/>
                <w:iCs/>
                <w:color w:val="4a5568"/>
                <w:sz w:val="18"/>
                <w:szCs w:val="18"/>
              </w:rPr>
              <w:t xml:space="preserve">  — Regional bloc of ten Southeast Asian states; secretariat in Jakarta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BC / AD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Before Christ / Anno Domini</w:t>
            </w:r>
            <w:r>
              <w:rPr>
                <w:rFonts w:ascii="Georgia" w:cs="Georgia" w:eastAsia="Georgia" w:hAnsi="Georgia"/>
                <w:i/>
                <w:iCs/>
                <w:color w:val="4a5568"/>
                <w:sz w:val="18"/>
                <w:szCs w:val="18"/>
              </w:rPr>
              <w:t xml:space="preserve">  — Calendar notation used for historical dates; equivalent to BCE/CE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CBSL</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Central Bank of Sri Lanka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CID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Harvard Growth Lab's Country Intelligence Database</w:t>
            </w:r>
            <w:r>
              <w:rPr>
                <w:rFonts w:ascii="Georgia" w:cs="Georgia" w:eastAsia="Georgia" w:hAnsi="Georgia"/>
                <w:i/>
                <w:iCs/>
                <w:color w:val="4a5568"/>
                <w:sz w:val="18"/>
                <w:szCs w:val="18"/>
              </w:rPr>
              <w:t xml:space="preserve">  — Used in Growth Lab country complexity profiles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COI</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Complexity Outlook Index</w:t>
            </w:r>
            <w:r>
              <w:rPr>
                <w:rFonts w:ascii="Georgia" w:cs="Georgia" w:eastAsia="Georgia" w:hAnsi="Georgia"/>
                <w:i/>
                <w:iCs/>
                <w:color w:val="4a5568"/>
                <w:sz w:val="18"/>
                <w:szCs w:val="18"/>
              </w:rPr>
              <w:t xml:space="preserve">  — Harvard Growth Lab measure of how many more complex products are structurally adjacent to a country's current capabilities. Higher score = greater latent potential for complexity growth.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DIFC</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Dubai International Financial Centre</w:t>
            </w:r>
            <w:r>
              <w:rPr>
                <w:rFonts w:ascii="Georgia" w:cs="Georgia" w:eastAsia="Georgia" w:hAnsi="Georgia"/>
                <w:i/>
                <w:iCs/>
                <w:color w:val="4a5568"/>
                <w:sz w:val="18"/>
                <w:szCs w:val="18"/>
              </w:rPr>
              <w:t xml:space="preserve">  — Specialist financial free zone and court jurisdiction in Dubai, UAE; DIFC Courts are the reference model for specialist commercial court design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ECI</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Economic Complexity Index</w:t>
            </w:r>
            <w:r>
              <w:rPr>
                <w:rFonts w:ascii="Georgia" w:cs="Georgia" w:eastAsia="Georgia" w:hAnsi="Georgia"/>
                <w:i/>
                <w:iCs/>
                <w:color w:val="4a5568"/>
                <w:sz w:val="18"/>
                <w:szCs w:val="18"/>
              </w:rPr>
              <w:t xml:space="preserve">  — Harvard Growth Lab / Observatory of Economic Complexity measure of the diversity and sophistication of a country's export basket. Higher score = more complex economy.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EU</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European Union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GDP</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Gross Domestic Product</w:t>
            </w:r>
            <w:r>
              <w:rPr>
                <w:rFonts w:ascii="Georgia" w:cs="Georgia" w:eastAsia="Georgia" w:hAnsi="Georgia"/>
                <w:i/>
                <w:iCs/>
                <w:color w:val="4a5568"/>
                <w:sz w:val="18"/>
                <w:szCs w:val="18"/>
              </w:rPr>
              <w:t xml:space="preserve">  — Total monetary value of all goods and services produced in a country in a given period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GERD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Gross Expenditure on Research and Development</w:t>
            </w:r>
            <w:r>
              <w:rPr>
                <w:rFonts w:ascii="Georgia" w:cs="Georgia" w:eastAsia="Georgia" w:hAnsi="Georgia"/>
                <w:i/>
                <w:iCs/>
                <w:color w:val="4a5568"/>
                <w:sz w:val="18"/>
                <w:szCs w:val="18"/>
              </w:rPr>
              <w:t xml:space="preserve">  — Total national R&amp;D spending across all sectors, expressed as a percentage of GDP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GIC</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Government of Singapore Investment Corporation</w:t>
            </w:r>
            <w:r>
              <w:rPr>
                <w:rFonts w:ascii="Georgia" w:cs="Georgia" w:eastAsia="Georgia" w:hAnsi="Georgia"/>
                <w:i/>
                <w:iCs/>
                <w:color w:val="4a5568"/>
                <w:sz w:val="18"/>
                <w:szCs w:val="18"/>
              </w:rPr>
              <w:t xml:space="preserve">  — Singapore's sovereign wealth fund, established 1981; manages Singapore's foreign reserves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GMOA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Government Medical Officers Association</w:t>
            </w:r>
            <w:r>
              <w:rPr>
                <w:rFonts w:ascii="Georgia" w:cs="Georgia" w:eastAsia="Georgia" w:hAnsi="Georgia"/>
                <w:i/>
                <w:iCs/>
                <w:color w:val="4a5568"/>
                <w:sz w:val="18"/>
                <w:szCs w:val="18"/>
              </w:rPr>
              <w:t xml:space="preserve">  — Sri Lanka's primary trade union for government doctors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GovTech</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Government Technology Agency of Singapore</w:t>
            </w:r>
            <w:r>
              <w:rPr>
                <w:rFonts w:ascii="Georgia" w:cs="Georgia" w:eastAsia="Georgia" w:hAnsi="Georgia"/>
                <w:i/>
                <w:iCs/>
                <w:color w:val="4a5568"/>
                <w:sz w:val="18"/>
                <w:szCs w:val="18"/>
              </w:rPr>
              <w:t xml:space="preserve">  — Singapore's lead public sector technology agency, responsible for Smart Nation digital infrastructure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IIT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Indian Institutes of Technology</w:t>
            </w:r>
            <w:r>
              <w:rPr>
                <w:rFonts w:ascii="Georgia" w:cs="Georgia" w:eastAsia="Georgia" w:hAnsi="Georgia"/>
                <w:i/>
                <w:iCs/>
                <w:color w:val="4a5568"/>
                <w:sz w:val="18"/>
                <w:szCs w:val="18"/>
              </w:rPr>
              <w:t xml:space="preserve">  — Network of premier engineering and technology universities in India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ILO</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International Labour Organization</w:t>
            </w:r>
            <w:r>
              <w:rPr>
                <w:rFonts w:ascii="Georgia" w:cs="Georgia" w:eastAsia="Georgia" w:hAnsi="Georgia"/>
                <w:i/>
                <w:iCs/>
                <w:color w:val="4a5568"/>
                <w:sz w:val="18"/>
                <w:szCs w:val="18"/>
              </w:rPr>
              <w:t xml:space="preserve">  — United Nations agency; Geneva. Sets international labour standards and monitors global employment conditions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IMF</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International Monetary Fund</w:t>
            </w:r>
            <w:r>
              <w:rPr>
                <w:rFonts w:ascii="Georgia" w:cs="Georgia" w:eastAsia="Georgia" w:hAnsi="Georgia"/>
                <w:i/>
                <w:iCs/>
                <w:color w:val="4a5568"/>
                <w:sz w:val="18"/>
                <w:szCs w:val="18"/>
              </w:rPr>
              <w:t xml:space="preserve">  — Washington DC. International financial institution; Sri Lanka entered an Extended Fund Facility programme with the IMF in March 2023 following the 2022 sovereign default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LKY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Lee Kuan Yew</w:t>
            </w:r>
            <w:r>
              <w:rPr>
                <w:rFonts w:ascii="Georgia" w:cs="Georgia" w:eastAsia="Georgia" w:hAnsi="Georgia"/>
                <w:i/>
                <w:iCs/>
                <w:color w:val="4a5568"/>
                <w:sz w:val="18"/>
                <w:szCs w:val="18"/>
              </w:rPr>
              <w:t xml:space="preserve">  — Founding Prime Minister of Singapore, 1959–1990; widely cited in this document for his 1992 Manila speech on governance and development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NSF</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National Science Foundation of Sri Lanka</w:t>
            </w:r>
            <w:r>
              <w:rPr>
                <w:rFonts w:ascii="Georgia" w:cs="Georgia" w:eastAsia="Georgia" w:hAnsi="Georgia"/>
                <w:i/>
                <w:iCs/>
                <w:color w:val="4a5568"/>
                <w:sz w:val="18"/>
                <w:szCs w:val="18"/>
              </w:rPr>
              <w:t xml:space="preserve">  — State body responsible for promoting and funding scientific research; publishes biennial R&amp;D Statistical Handbook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NUS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National University of Singapore</w:t>
            </w:r>
            <w:r>
              <w:rPr>
                <w:rFonts w:ascii="Georgia" w:cs="Georgia" w:eastAsia="Georgia" w:hAnsi="Georgia"/>
                <w:i/>
                <w:iCs/>
                <w:color w:val="4a5568"/>
                <w:sz w:val="18"/>
                <w:szCs w:val="18"/>
              </w:rPr>
              <w:t xml:space="preserve">  — Singapore's flagship research university; ranked 8th globally in QS World University Rankings 2025</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OEC</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Observatory of Economic Complexity</w:t>
            </w:r>
            <w:r>
              <w:rPr>
                <w:rFonts w:ascii="Georgia" w:cs="Georgia" w:eastAsia="Georgia" w:hAnsi="Georgia"/>
                <w:i/>
                <w:iCs/>
                <w:color w:val="4a5568"/>
                <w:sz w:val="18"/>
                <w:szCs w:val="18"/>
              </w:rPr>
              <w:t xml:space="preserve">  — MIT-origin data platform; computes ECI and COI rankings from UN Comtrade data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OECD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Organisation for Economic Co-operation and Development</w:t>
            </w:r>
            <w:r>
              <w:rPr>
                <w:rFonts w:ascii="Georgia" w:cs="Georgia" w:eastAsia="Georgia" w:hAnsi="Georgia"/>
                <w:i/>
                <w:iCs/>
                <w:color w:val="4a5568"/>
                <w:sz w:val="18"/>
                <w:szCs w:val="18"/>
              </w:rPr>
              <w:t xml:space="preserve">  — Paris. Club of 38 advanced economies; sets standards for R&amp;D measurement (Frascati Manual), education metrics (PISA), and tax policy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PCI</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Product Complexity Index</w:t>
            </w:r>
            <w:r>
              <w:rPr>
                <w:rFonts w:ascii="Georgia" w:cs="Georgia" w:eastAsia="Georgia" w:hAnsi="Georgia"/>
                <w:i/>
                <w:iCs/>
                <w:color w:val="4a5568"/>
                <w:sz w:val="18"/>
                <w:szCs w:val="18"/>
              </w:rPr>
              <w:t xml:space="preserve">  — Harvard Growth Lab measure of how knowledge-intensive a given product is to produce; the product-level equivalent of ECI</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PhD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Doctor of Philosophy (Philosophiae Doctor)</w:t>
            </w:r>
            <w:r>
              <w:rPr>
                <w:rFonts w:ascii="Georgia" w:cs="Georgia" w:eastAsia="Georgia" w:hAnsi="Georgia"/>
                <w:i/>
                <w:iCs/>
                <w:color w:val="4a5568"/>
                <w:sz w:val="18"/>
                <w:szCs w:val="18"/>
              </w:rPr>
              <w:t xml:space="preserve">  — Highest research degree; used in this document to describe the disconnect between doctoral research and applied national problem-solving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PRIME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Prudence, Respect, Integrity, Merit, Excellence</w:t>
            </w:r>
            <w:r>
              <w:rPr>
                <w:rFonts w:ascii="Georgia" w:cs="Georgia" w:eastAsia="Georgia" w:hAnsi="Georgia"/>
                <w:i/>
                <w:iCs/>
                <w:color w:val="4a5568"/>
                <w:sz w:val="18"/>
                <w:szCs w:val="18"/>
              </w:rPr>
              <w:t xml:space="preserve">  — GIC's founding institutional values, explicitly named as preconditions for success rather than aspirations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QS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Quacquarelli Symonds</w:t>
            </w:r>
            <w:r>
              <w:rPr>
                <w:rFonts w:ascii="Georgia" w:cs="Georgia" w:eastAsia="Georgia" w:hAnsi="Georgia"/>
                <w:i/>
                <w:iCs/>
                <w:color w:val="4a5568"/>
                <w:sz w:val="18"/>
                <w:szCs w:val="18"/>
              </w:rPr>
              <w:t xml:space="preserve">  — London-based company that publishes the QS World University Rankings annually; methodology weights academic reputation (40%), citations per faculty (20%), employer reputation (10%), faculty/student ratio (20%), international outlook (10%)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R&amp;D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Research and Development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SIAC</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Singapore International Arbitration Centre</w:t>
            </w:r>
            <w:r>
              <w:rPr>
                <w:rFonts w:ascii="Georgia" w:cs="Georgia" w:eastAsia="Georgia" w:hAnsi="Georgia"/>
                <w:i/>
                <w:iCs/>
                <w:color w:val="4a5568"/>
                <w:sz w:val="18"/>
                <w:szCs w:val="18"/>
              </w:rPr>
              <w:t xml:space="preserve">  — Arbitration body whose awards are enforceable in 160+ countries under the New York Convention. Already available to Sri Lankan parties by written contract clause under the Arbitration Act No. 11 of 1995.</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SICC</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Singapore International Commercial Court</w:t>
            </w:r>
            <w:r>
              <w:rPr>
                <w:rFonts w:ascii="Georgia" w:cs="Georgia" w:eastAsia="Georgia" w:hAnsi="Georgia"/>
                <w:i/>
                <w:iCs/>
                <w:color w:val="4a5568"/>
                <w:sz w:val="18"/>
                <w:szCs w:val="18"/>
              </w:rPr>
              <w:t xml:space="preserve">  — Specialist division of the Singapore Supreme Court; hears transnational commercial disputes. Distinct from SIAC: a court, not an arbitration body.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SLBFE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Sri Lanka Bureau of Foreign Employment</w:t>
            </w:r>
            <w:r>
              <w:rPr>
                <w:rFonts w:ascii="Georgia" w:cs="Georgia" w:eastAsia="Georgia" w:hAnsi="Georgia"/>
                <w:i/>
                <w:iCs/>
                <w:color w:val="4a5568"/>
                <w:sz w:val="18"/>
                <w:szCs w:val="18"/>
              </w:rPr>
              <w:t xml:space="preserve">  — State body that registers and monitors Sri Lankan workers seeking overseas employment; primary source for migration outflow statistics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STEM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Science, Technology, Engineering, and Mathematics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THE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Times Higher Education</w:t>
            </w:r>
            <w:r>
              <w:rPr>
                <w:rFonts w:ascii="Georgia" w:cs="Georgia" w:eastAsia="Georgia" w:hAnsi="Georgia"/>
                <w:i/>
                <w:iCs/>
                <w:color w:val="4a5568"/>
                <w:sz w:val="18"/>
                <w:szCs w:val="18"/>
              </w:rPr>
              <w:t xml:space="preserve">  — London-based publisher of the Times Higher Education World University Rankings; methodology weights teaching (30%), research volume/income/reputation (30%), citations (20%), international outlook (10%), industry income (10%)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UK</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United Kingdom of Great Britain and Northern Ireland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UM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Universiti Malaya</w:t>
            </w:r>
            <w:r>
              <w:rPr>
                <w:rFonts w:ascii="Georgia" w:cs="Georgia" w:eastAsia="Georgia" w:hAnsi="Georgia"/>
                <w:i/>
                <w:iCs/>
                <w:color w:val="4a5568"/>
                <w:sz w:val="18"/>
                <w:szCs w:val="18"/>
              </w:rPr>
              <w:t xml:space="preserve">  — Malaysia's flagship university; ranked in the 60s globally in QS World University Rankings 2025</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UN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United Nations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UNCITRAL</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United Nations Commission on International Trade Law</w:t>
            </w:r>
            <w:r>
              <w:rPr>
                <w:rFonts w:ascii="Georgia" w:cs="Georgia" w:eastAsia="Georgia" w:hAnsi="Georgia"/>
                <w:i/>
                <w:iCs/>
                <w:color w:val="4a5568"/>
                <w:sz w:val="18"/>
                <w:szCs w:val="18"/>
              </w:rPr>
              <w:t xml:space="preserve">  — Vienna. Drafts model laws and conventions governing international commercial transactions; the UNCITRAL Model Law on International Commercial Arbitration is the basis for Sri Lanka's Arbitration Act No. 11 of 1995</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US / USA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United States of America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Agricultural cooperative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A member-owned organisation that pools land, equipment, or market access while maintaining individual ownership rights among members</w:t>
            </w:r>
            <w:r>
              <w:rPr>
                <w:rFonts w:ascii="Georgia" w:cs="Georgia" w:eastAsia="Georgia" w:hAnsi="Georgia"/>
                <w:i/>
                <w:iCs/>
                <w:color w:val="4a5568"/>
                <w:sz w:val="18"/>
                <w:szCs w:val="18"/>
              </w:rPr>
              <w:t xml:space="preserve">  — The model proposed for northern paddy cultivation: individual landholders retain title to their land while the cooperative operates as a single unit at hectare scale, deploying mechanised equipment and distributing surplus in proportion to each member's contributed landholding. Distinct from state farming enterprises, which divorce the land user from output consequences.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Ergodicity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A property of a system in which the time-average of outcomes for a single entity equals the ensemble-average across many parallel entities</w:t>
            </w:r>
            <w:r>
              <w:rPr>
                <w:rFonts w:ascii="Georgia" w:cs="Georgia" w:eastAsia="Georgia" w:hAnsi="Georgia"/>
                <w:i/>
                <w:iCs/>
                <w:color w:val="4a5568"/>
                <w:sz w:val="18"/>
                <w:szCs w:val="18"/>
              </w:rPr>
              <w:t xml:space="preserve">  — Most real-world economic and institutional systems are non-ergodic: a single irreversible loss (bankruptcy, state collapse, permanent reputational damage) absorbs all future gains that the long-run average would otherwise produce. Dellanna's framework uses this distinction to show why pooling — even at a cost to the stronger party — is the rational sequential strategy.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Non-ergodic</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A system in which time-averaging and ensemble-averaging diverge: what happens to a single entity over time is not predictable from the average across many entities at a single moment</w:t>
            </w:r>
            <w:r>
              <w:rPr>
                <w:rFonts w:ascii="Georgia" w:cs="Georgia" w:eastAsia="Georgia" w:hAnsi="Georgia"/>
                <w:i/>
                <w:iCs/>
                <w:color w:val="4a5568"/>
                <w:sz w:val="18"/>
                <w:szCs w:val="18"/>
              </w:rPr>
              <w:t xml:space="preserve">  — The practical implication: in a non-ergodic world, survival dominates performance. A strategy that maximises expected value in the average case may destroy expected value in the sequential case if it exposes the actor to irreversible losses. This is the analytical foundation of the pooling argument throughout this paper.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Partner quality floor (Dellanna Condition 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The minimum partner reliability threshold below which pooling ceases to reduce variance and instead imports the partner's catastrophic risk profile</w:t>
            </w:r>
            <w:r>
              <w:rPr>
                <w:rFonts w:ascii="Georgia" w:cs="Georgia" w:eastAsia="Georgia" w:hAnsi="Georgia"/>
                <w:i/>
                <w:iCs/>
                <w:color w:val="4a5568"/>
                <w:sz w:val="18"/>
                <w:szCs w:val="18"/>
              </w:rPr>
              <w:t xml:space="preserve">  — Applied in this paper to Singapore's objection to Sri Lanka's ASEAN membership: the objection is not that Sri Lanka is a weaker economy (a 50% vs 60% shooter is fine), but that its political instability makes its institutional behaviour unpredictable in ways that introduce systemic variance into the pool. Meeting Condition 2 — clearing the partner quality floor — requires the institutional reform this paper prescribes.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CBSL</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Central Bank of Sri Lanka</w:t>
            </w:r>
            <w:r>
              <w:rPr>
                <w:rFonts w:ascii="Georgia" w:cs="Georgia" w:eastAsia="Georgia" w:hAnsi="Georgia"/>
                <w:i/>
                <w:iCs/>
                <w:color w:val="4a5568"/>
                <w:sz w:val="18"/>
                <w:szCs w:val="18"/>
              </w:rPr>
              <w:t xml:space="preserve">  — Primary monetary authority and publisher of official balance of payments and remittances data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SLBFE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Sri Lanka Bureau of Foreign Employment</w:t>
            </w:r>
            <w:r>
              <w:rPr>
                <w:rFonts w:ascii="Georgia" w:cs="Georgia" w:eastAsia="Georgia" w:hAnsi="Georgia"/>
                <w:i/>
                <w:iCs/>
                <w:color w:val="4a5568"/>
                <w:sz w:val="18"/>
                <w:szCs w:val="18"/>
              </w:rPr>
              <w:t xml:space="preserve">  — State body that registers Sri Lankan workers seeking overseas employment; publishes Annual Statistical Report with departure data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UNESCO UIS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United Nations Educational, Scientific and Cultural Organization Institute for Statistics</w:t>
            </w:r>
            <w:r>
              <w:rPr>
                <w:rFonts w:ascii="Georgia" w:cs="Georgia" w:eastAsia="Georgia" w:hAnsi="Georgia"/>
                <w:i/>
                <w:iCs/>
                <w:color w:val="4a5568"/>
                <w:sz w:val="18"/>
                <w:szCs w:val="18"/>
              </w:rPr>
              <w:t xml:space="preserve">  — Paris/Montreal. Publishes internationally comparable data on education, science, and R&amp;D expenditure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r>
              <w:rPr>
                <w:rFonts w:ascii="Georgia" w:cs="Georgia" w:eastAsia="Georgia" w:hAnsi="Georgia"/>
                <w:b/>
                <w:bCs/>
                <w:color w:val="1a1a2e"/>
                <w:sz w:val="20"/>
                <w:szCs w:val="20"/>
              </w:rPr>
              <w:t xml:space="preserve">UNCTAD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Georgia" w:cs="Georgia" w:eastAsia="Georgia" w:hAnsi="Georgia"/>
                <w:sz w:val="20"/>
                <w:szCs w:val="20"/>
              </w:rPr>
              <w:t xml:space="preserve">United Nations Conference on Trade and Development</w:t>
            </w:r>
            <w:r>
              <w:rPr>
                <w:rFonts w:ascii="Georgia" w:cs="Georgia" w:eastAsia="Georgia" w:hAnsi="Georgia"/>
                <w:i/>
                <w:iCs/>
                <w:color w:val="4a5568"/>
                <w:sz w:val="18"/>
                <w:szCs w:val="18"/>
              </w:rPr>
              <w:t xml:space="preserve">  — Geneva. Publishes World Investment Report and trade facilitation data</w:t>
            </w:r>
          </w:p>
        </w:tc>
      </w:tr>
    </w:tbl>
    <w:p>
      <w:pPr>
        <w:spacing w:before="60" w:after="60"/>
      </w:pPr>
      <w:r>
        <w:t xml:space="preserve"/>
      </w:r>
    </w:p>
    <w:p>
      <w:pPr>
        <w:pBdr>
          <w:bottom w:val="single" w:color="2c3e6b" w:sz="4" w:space="1"/>
        </w:pBdr>
        <w:spacing w:before="240" w:after="240"/>
      </w:pPr>
      <w:r>
        <w:t xml:space="preserve"/>
      </w:r>
    </w:p>
    <w:p>
      <w:pPr>
        <w:pStyle w:val="Heading1"/>
        <w:spacing w:before="480" w:after="200"/>
      </w:pPr>
      <w:bookmarkStart w:name="references" w:id="56"/>
      <w:r>
        <w:rPr>
          <w:rFonts w:ascii="Georgia" w:cs="Georgia" w:eastAsia="Georgia" w:hAnsi="Georgia"/>
          <w:b/>
          <w:bCs/>
          <w:color w:val="1a1a2e"/>
          <w:sz w:val="34"/>
          <w:szCs w:val="34"/>
        </w:rPr>
        <w:t xml:space="preserve">References</w:t>
      </w:r>
      <w:bookmarkEnd w:id="56"/>
    </w:p>
    <w:p>
      <w:pPr>
        <w:spacing w:before="100" w:after="140" w:line="320"/>
      </w:pPr>
      <w:r>
        <w:rPr>
          <w:rFonts w:ascii="Georgia" w:cs="Georgia" w:eastAsia="Georgia" w:hAnsi="Georgia"/>
          <w:sz w:val="22"/>
          <w:szCs w:val="22"/>
        </w:rPr>
        <w:t xml:space="preserve">Citations follow the numeric reference style used in the companion paper Tambapanni: A History Without Borders.</w:t>
      </w:r>
      <w:r>
        <w:rPr>
          <w:rFonts w:ascii="Georgia" w:cs="Georgia" w:eastAsia="Georgia" w:hAnsi="Georgia"/>
          <w:color w:val="2c3e6b"/>
          <w:sz w:val="16"/>
          <w:szCs w:val="16"/>
          <w:vertAlign w:val="superscript"/>
        </w:rPr>
        <w:t xml:space="preserve">[21]</w:t>
      </w:r>
    </w:p>
    <w:p>
      <w:pPr>
        <w:spacing w:before="60" w:after="60"/>
      </w:pPr>
      <w:r>
        <w:t xml:space="preserve"/>
      </w:r>
    </w:p>
    <w:p>
      <w:pPr>
        <w:spacing w:before="80" w:after="80" w:line="280"/>
        <w:ind w:left="720" w:hanging="720"/>
      </w:pPr>
      <w:r>
        <w:rPr>
          <w:rFonts w:ascii="Georgia" w:cs="Georgia" w:eastAsia="Georgia" w:hAnsi="Georgia"/>
          <w:b/>
          <w:bCs/>
          <w:color w:val="2c3e6b"/>
          <w:sz w:val="19"/>
          <w:szCs w:val="19"/>
        </w:rPr>
        <w:t xml:space="preserve">[1]  </w:t>
      </w:r>
      <w:r>
        <w:rPr>
          <w:rFonts w:ascii="Georgia" w:cs="Georgia" w:eastAsia="Georgia" w:hAnsi="Georgia"/>
          <w:sz w:val="19"/>
          <w:szCs w:val="19"/>
        </w:rPr>
        <w:t xml:space="preserve">Fukuyama, F. (2011). The Origins of Political Order. Farrar, Straus and Giroux, New York.</w:t>
      </w:r>
    </w:p>
    <w:p>
      <w:pPr>
        <w:spacing w:before="80" w:after="80" w:line="280"/>
        <w:ind w:left="720" w:hanging="720"/>
      </w:pPr>
      <w:r>
        <w:rPr>
          <w:rFonts w:ascii="Georgia" w:cs="Georgia" w:eastAsia="Georgia" w:hAnsi="Georgia"/>
          <w:b/>
          <w:bCs/>
          <w:color w:val="2c3e6b"/>
          <w:sz w:val="19"/>
          <w:szCs w:val="19"/>
        </w:rPr>
        <w:t xml:space="preserve">[2]  </w:t>
      </w:r>
      <w:r>
        <w:rPr>
          <w:rFonts w:ascii="Georgia" w:cs="Georgia" w:eastAsia="Georgia" w:hAnsi="Georgia"/>
          <w:sz w:val="19"/>
          <w:szCs w:val="19"/>
        </w:rPr>
        <w:t xml:space="preserve">Fukuyama, F. (2014). Political Order and Political Decay. Farrar, Straus and Giroux, New York.</w:t>
      </w:r>
    </w:p>
    <w:p>
      <w:pPr>
        <w:spacing w:before="80" w:after="80" w:line="280"/>
        <w:ind w:left="720" w:hanging="720"/>
      </w:pPr>
      <w:r>
        <w:rPr>
          <w:rFonts w:ascii="Georgia" w:cs="Georgia" w:eastAsia="Georgia" w:hAnsi="Georgia"/>
          <w:b/>
          <w:bCs/>
          <w:color w:val="2c3e6b"/>
          <w:sz w:val="19"/>
          <w:szCs w:val="19"/>
        </w:rPr>
        <w:t xml:space="preserve">[3]  </w:t>
      </w:r>
      <w:r>
        <w:rPr>
          <w:rFonts w:ascii="Georgia" w:cs="Georgia" w:eastAsia="Georgia" w:hAnsi="Georgia"/>
          <w:sz w:val="19"/>
          <w:szCs w:val="19"/>
        </w:rPr>
        <w:t xml:space="preserve">Lee Kuan Yew (1992). Speech at the 18th Philippine Business Conference, Manila, November 18, 1992. Full text archived at the National Archives of Singapore and reproduced at correctphilippines.org. Also recounted in: Lee Kuan Yew (2000). From Third World to First: The Singapore Story 1965–2000, Chapter 18. HarperCollins, New York.</w:t>
      </w:r>
    </w:p>
    <w:p>
      <w:pPr>
        <w:spacing w:before="80" w:after="80" w:line="280"/>
        <w:ind w:left="720" w:hanging="720"/>
      </w:pPr>
      <w:r>
        <w:rPr>
          <w:rFonts w:ascii="Georgia" w:cs="Georgia" w:eastAsia="Georgia" w:hAnsi="Georgia"/>
          <w:b/>
          <w:bCs/>
          <w:color w:val="2c3e6b"/>
          <w:sz w:val="19"/>
          <w:szCs w:val="19"/>
        </w:rPr>
        <w:t xml:space="preserve">[4]  </w:t>
      </w:r>
      <w:r>
        <w:rPr>
          <w:rFonts w:ascii="Georgia" w:cs="Georgia" w:eastAsia="Georgia" w:hAnsi="Georgia"/>
          <w:sz w:val="19"/>
          <w:szCs w:val="19"/>
        </w:rPr>
        <w:t xml:space="preserve">Lee Kuan Yew (2000). From Third World to First: The Singapore Story 1965–2000. HarperCollins, New York.</w:t>
      </w:r>
    </w:p>
    <w:p>
      <w:pPr>
        <w:spacing w:before="80" w:after="80" w:line="280"/>
        <w:ind w:left="720" w:hanging="720"/>
      </w:pPr>
      <w:r>
        <w:rPr>
          <w:rFonts w:ascii="Georgia" w:cs="Georgia" w:eastAsia="Georgia" w:hAnsi="Georgia"/>
          <w:b/>
          <w:bCs/>
          <w:color w:val="2c3e6b"/>
          <w:sz w:val="19"/>
          <w:szCs w:val="19"/>
        </w:rPr>
        <w:t xml:space="preserve">[5]  </w:t>
      </w:r>
      <w:r>
        <w:rPr>
          <w:rFonts w:ascii="Georgia" w:cs="Georgia" w:eastAsia="Georgia" w:hAnsi="Georgia"/>
          <w:sz w:val="19"/>
          <w:szCs w:val="19"/>
        </w:rPr>
        <w:t xml:space="preserve">Hohpe, G. (2020). Cloud Strategy: A Decision-based Approach to Successful Cloud Migration. Independently published.</w:t>
      </w:r>
    </w:p>
    <w:p>
      <w:pPr>
        <w:spacing w:before="80" w:after="80" w:line="280"/>
        <w:ind w:left="720" w:hanging="720"/>
      </w:pPr>
      <w:r>
        <w:rPr>
          <w:rFonts w:ascii="Georgia" w:cs="Georgia" w:eastAsia="Georgia" w:hAnsi="Georgia"/>
          <w:b/>
          <w:bCs/>
          <w:color w:val="2c3e6b"/>
          <w:sz w:val="19"/>
          <w:szCs w:val="19"/>
        </w:rPr>
        <w:t xml:space="preserve">[6]  </w:t>
      </w:r>
      <w:r>
        <w:rPr>
          <w:rFonts w:ascii="Georgia" w:cs="Georgia" w:eastAsia="Georgia" w:hAnsi="Georgia"/>
          <w:sz w:val="19"/>
          <w:szCs w:val="19"/>
        </w:rPr>
        <w:t xml:space="preserve">Anderson, B. (1983). Imagined Communities: Reflections on the Origin and Spread of Nationalism. Verso, London.</w:t>
      </w:r>
    </w:p>
    <w:p>
      <w:pPr>
        <w:spacing w:before="80" w:after="80" w:line="280"/>
        <w:ind w:left="720" w:hanging="720"/>
      </w:pPr>
      <w:r>
        <w:rPr>
          <w:rFonts w:ascii="Georgia" w:cs="Georgia" w:eastAsia="Georgia" w:hAnsi="Georgia"/>
          <w:b/>
          <w:bCs/>
          <w:color w:val="2c3e6b"/>
          <w:sz w:val="19"/>
          <w:szCs w:val="19"/>
        </w:rPr>
        <w:t xml:space="preserve">[7]  </w:t>
      </w:r>
      <w:r>
        <w:rPr>
          <w:rFonts w:ascii="Georgia" w:cs="Georgia" w:eastAsia="Georgia" w:hAnsi="Georgia"/>
          <w:sz w:val="19"/>
          <w:szCs w:val="19"/>
        </w:rPr>
        <w:t xml:space="preserve">World Bank (2024). World Development Indicators: Sri Lanka. Washington DC. [data.worldbank.org]</w:t>
      </w:r>
    </w:p>
    <w:p>
      <w:pPr>
        <w:spacing w:before="80" w:after="80" w:line="280"/>
        <w:ind w:left="720" w:hanging="720"/>
      </w:pPr>
      <w:r>
        <w:rPr>
          <w:rFonts w:ascii="Georgia" w:cs="Georgia" w:eastAsia="Georgia" w:hAnsi="Georgia"/>
          <w:b/>
          <w:bCs/>
          <w:color w:val="2c3e6b"/>
          <w:sz w:val="19"/>
          <w:szCs w:val="19"/>
        </w:rPr>
        <w:t xml:space="preserve">[8]  </w:t>
      </w:r>
      <w:r>
        <w:rPr>
          <w:rFonts w:ascii="Georgia" w:cs="Georgia" w:eastAsia="Georgia" w:hAnsi="Georgia"/>
          <w:sz w:val="19"/>
          <w:szCs w:val="19"/>
        </w:rPr>
        <w:t xml:space="preserve">IMF (2024). World Economic Outlook Database, October 2024. International Monetary Fund, Washington DC.</w:t>
      </w:r>
    </w:p>
    <w:p>
      <w:pPr>
        <w:spacing w:before="80" w:after="80" w:line="280"/>
        <w:ind w:left="720" w:hanging="720"/>
      </w:pPr>
      <w:r>
        <w:rPr>
          <w:rFonts w:ascii="Georgia" w:cs="Georgia" w:eastAsia="Georgia" w:hAnsi="Georgia"/>
          <w:b/>
          <w:bCs/>
          <w:color w:val="2c3e6b"/>
          <w:sz w:val="19"/>
          <w:szCs w:val="19"/>
        </w:rPr>
        <w:t xml:space="preserve">[9]  </w:t>
      </w:r>
      <w:r>
        <w:rPr>
          <w:rFonts w:ascii="Georgia" w:cs="Georgia" w:eastAsia="Georgia" w:hAnsi="Georgia"/>
          <w:sz w:val="19"/>
          <w:szCs w:val="19"/>
        </w:rPr>
        <w:t xml:space="preserve">UNCTAD (2024). World Investment Report 2024: Investment Facilitation and Digital Government. United Nations, Geneva.</w:t>
      </w:r>
    </w:p>
    <w:p>
      <w:pPr>
        <w:spacing w:before="80" w:after="80" w:line="280"/>
        <w:ind w:left="720" w:hanging="720"/>
      </w:pPr>
      <w:r>
        <w:rPr>
          <w:rFonts w:ascii="Georgia" w:cs="Georgia" w:eastAsia="Georgia" w:hAnsi="Georgia"/>
          <w:b/>
          <w:bCs/>
          <w:color w:val="2c3e6b"/>
          <w:sz w:val="19"/>
          <w:szCs w:val="19"/>
        </w:rPr>
        <w:t xml:space="preserve">[10]  </w:t>
      </w:r>
      <w:r>
        <w:rPr>
          <w:rFonts w:ascii="Georgia" w:cs="Georgia" w:eastAsia="Georgia" w:hAnsi="Georgia"/>
          <w:sz w:val="19"/>
          <w:szCs w:val="19"/>
        </w:rPr>
        <w:t xml:space="preserve">Rodrik, D. (2011). The Globalization Paradox: Democracy and the Future of the World Economy. W.W. Norton, New York.</w:t>
      </w:r>
    </w:p>
    <w:p>
      <w:pPr>
        <w:spacing w:before="80" w:after="80" w:line="280"/>
        <w:ind w:left="720" w:hanging="720"/>
      </w:pPr>
      <w:r>
        <w:rPr>
          <w:rFonts w:ascii="Georgia" w:cs="Georgia" w:eastAsia="Georgia" w:hAnsi="Georgia"/>
          <w:b/>
          <w:bCs/>
          <w:color w:val="2c3e6b"/>
          <w:sz w:val="19"/>
          <w:szCs w:val="19"/>
        </w:rPr>
        <w:t xml:space="preserve">[11]  </w:t>
      </w:r>
      <w:r>
        <w:rPr>
          <w:rFonts w:ascii="Georgia" w:cs="Georgia" w:eastAsia="Georgia" w:hAnsi="Georgia"/>
          <w:sz w:val="19"/>
          <w:szCs w:val="19"/>
        </w:rPr>
        <w:t xml:space="preserve">Acemoglu, D. and Robinson, J.A. (2012). Why Nations Fail: The Origins of Power, Prosperity, and Poverty. Crown Publishers, New York.</w:t>
      </w:r>
    </w:p>
    <w:p>
      <w:pPr>
        <w:spacing w:before="80" w:after="80" w:line="280"/>
        <w:ind w:left="720" w:hanging="720"/>
      </w:pPr>
      <w:r>
        <w:rPr>
          <w:rFonts w:ascii="Georgia" w:cs="Georgia" w:eastAsia="Georgia" w:hAnsi="Georgia"/>
          <w:b/>
          <w:bCs/>
          <w:color w:val="2c3e6b"/>
          <w:sz w:val="19"/>
          <w:szCs w:val="19"/>
        </w:rPr>
        <w:t xml:space="preserve">[12]  </w:t>
      </w:r>
      <w:r>
        <w:rPr>
          <w:rFonts w:ascii="Georgia" w:cs="Georgia" w:eastAsia="Georgia" w:hAnsi="Georgia"/>
          <w:sz w:val="19"/>
          <w:szCs w:val="19"/>
        </w:rPr>
        <w:t xml:space="preserve">Mahbubani, K. (2022). The Asian 21st Century. Springer, Singapore.</w:t>
      </w:r>
    </w:p>
    <w:p>
      <w:pPr>
        <w:spacing w:before="80" w:after="80" w:line="280"/>
        <w:ind w:left="720" w:hanging="720"/>
      </w:pPr>
      <w:r>
        <w:rPr>
          <w:rFonts w:ascii="Georgia" w:cs="Georgia" w:eastAsia="Georgia" w:hAnsi="Georgia"/>
          <w:b/>
          <w:bCs/>
          <w:color w:val="2c3e6b"/>
          <w:sz w:val="19"/>
          <w:szCs w:val="19"/>
        </w:rPr>
        <w:t xml:space="preserve">[13]  </w:t>
      </w:r>
      <w:r>
        <w:rPr>
          <w:rFonts w:ascii="Georgia" w:cs="Georgia" w:eastAsia="Georgia" w:hAnsi="Georgia"/>
          <w:sz w:val="19"/>
          <w:szCs w:val="19"/>
        </w:rPr>
        <w:t xml:space="preserve">Goldman Sachs Global Investment Research (2024). "China's Manufacturing Overcapacity and Global Trade Implications." GS Research Note, March 2024.</w:t>
      </w:r>
    </w:p>
    <w:p>
      <w:pPr>
        <w:spacing w:before="80" w:after="80" w:line="280"/>
        <w:ind w:left="720" w:hanging="720"/>
      </w:pPr>
      <w:r>
        <w:rPr>
          <w:rFonts w:ascii="Georgia" w:cs="Georgia" w:eastAsia="Georgia" w:hAnsi="Georgia"/>
          <w:b/>
          <w:bCs/>
          <w:color w:val="2c3e6b"/>
          <w:sz w:val="19"/>
          <w:szCs w:val="19"/>
        </w:rPr>
        <w:t xml:space="preserve">[14]  </w:t>
      </w:r>
      <w:r>
        <w:rPr>
          <w:rFonts w:ascii="Georgia" w:cs="Georgia" w:eastAsia="Georgia" w:hAnsi="Georgia"/>
          <w:sz w:val="19"/>
          <w:szCs w:val="19"/>
        </w:rPr>
        <w:t xml:space="preserve">Estonia e-Governance Academy (2023). Digital Transformation of Government: Lessons from Estonia. Tallinn.</w:t>
      </w:r>
    </w:p>
    <w:p>
      <w:pPr>
        <w:spacing w:before="80" w:after="80" w:line="280"/>
        <w:ind w:left="720" w:hanging="720"/>
      </w:pPr>
      <w:r>
        <w:rPr>
          <w:rFonts w:ascii="Georgia" w:cs="Georgia" w:eastAsia="Georgia" w:hAnsi="Georgia"/>
          <w:b/>
          <w:bCs/>
          <w:color w:val="2c3e6b"/>
          <w:sz w:val="19"/>
          <w:szCs w:val="19"/>
        </w:rPr>
        <w:t xml:space="preserve">[15]  </w:t>
      </w:r>
      <w:r>
        <w:rPr>
          <w:rFonts w:ascii="Georgia" w:cs="Georgia" w:eastAsia="Georgia" w:hAnsi="Georgia"/>
          <w:sz w:val="19"/>
          <w:szCs w:val="19"/>
        </w:rPr>
        <w:t xml:space="preserve">Rwanda Development Board (2023). Annual Report 2022–23. Kigali.</w:t>
      </w:r>
    </w:p>
    <w:p>
      <w:pPr>
        <w:spacing w:before="80" w:after="80" w:line="280"/>
        <w:ind w:left="720" w:hanging="720"/>
      </w:pPr>
      <w:r>
        <w:rPr>
          <w:rFonts w:ascii="Georgia" w:cs="Georgia" w:eastAsia="Georgia" w:hAnsi="Georgia"/>
          <w:b/>
          <w:bCs/>
          <w:color w:val="2c3e6b"/>
          <w:sz w:val="19"/>
          <w:szCs w:val="19"/>
        </w:rPr>
        <w:t xml:space="preserve">[16]  </w:t>
      </w:r>
      <w:r>
        <w:rPr>
          <w:rFonts w:ascii="Georgia" w:cs="Georgia" w:eastAsia="Georgia" w:hAnsi="Georgia"/>
          <w:sz w:val="19"/>
          <w:szCs w:val="19"/>
        </w:rPr>
        <w:t xml:space="preserve">Mauritius Board of Investment (2023). Mauritius as an International Financial Centre: Annual Review. Port Louis.</w:t>
      </w:r>
    </w:p>
    <w:p>
      <w:pPr>
        <w:spacing w:before="80" w:after="80" w:line="280"/>
        <w:ind w:left="720" w:hanging="720"/>
      </w:pPr>
      <w:r>
        <w:rPr>
          <w:rFonts w:ascii="Georgia" w:cs="Georgia" w:eastAsia="Georgia" w:hAnsi="Georgia"/>
          <w:b/>
          <w:bCs/>
          <w:color w:val="2c3e6b"/>
          <w:sz w:val="19"/>
          <w:szCs w:val="19"/>
        </w:rPr>
        <w:t xml:space="preserve">[17]  </w:t>
      </w:r>
      <w:r>
        <w:rPr>
          <w:rFonts w:ascii="Georgia" w:cs="Georgia" w:eastAsia="Georgia" w:hAnsi="Georgia"/>
          <w:sz w:val="19"/>
          <w:szCs w:val="19"/>
        </w:rPr>
        <w:t xml:space="preserve">Singapore International Commercial Court (2023). SICC Annual Report 2022–23. Supreme Court, Singapore.</w:t>
      </w:r>
    </w:p>
    <w:p>
      <w:pPr>
        <w:spacing w:before="80" w:after="80" w:line="280"/>
        <w:ind w:left="720" w:hanging="720"/>
      </w:pPr>
      <w:r>
        <w:rPr>
          <w:rFonts w:ascii="Georgia" w:cs="Georgia" w:eastAsia="Georgia" w:hAnsi="Georgia"/>
          <w:b/>
          <w:bCs/>
          <w:color w:val="2c3e6b"/>
          <w:sz w:val="19"/>
          <w:szCs w:val="19"/>
        </w:rPr>
        <w:t xml:space="preserve">[18]  </w:t>
      </w:r>
      <w:r>
        <w:rPr>
          <w:rFonts w:ascii="Georgia" w:cs="Georgia" w:eastAsia="Georgia" w:hAnsi="Georgia"/>
          <w:sz w:val="19"/>
          <w:szCs w:val="19"/>
        </w:rPr>
        <w:t xml:space="preserve">Dubai International Financial Centre (2023). DIFC Courts: Annual Report 2022. Dubai.</w:t>
      </w:r>
    </w:p>
    <w:p>
      <w:pPr>
        <w:spacing w:before="80" w:after="80" w:line="280"/>
        <w:ind w:left="720" w:hanging="720"/>
      </w:pPr>
      <w:r>
        <w:rPr>
          <w:rFonts w:ascii="Georgia" w:cs="Georgia" w:eastAsia="Georgia" w:hAnsi="Georgia"/>
          <w:b/>
          <w:bCs/>
          <w:color w:val="2c3e6b"/>
          <w:sz w:val="19"/>
          <w:szCs w:val="19"/>
        </w:rPr>
        <w:t xml:space="preserve">[19]  </w:t>
      </w:r>
      <w:r>
        <w:rPr>
          <w:rFonts w:ascii="Georgia" w:cs="Georgia" w:eastAsia="Georgia" w:hAnsi="Georgia"/>
          <w:sz w:val="19"/>
          <w:szCs w:val="19"/>
        </w:rPr>
        <w:t xml:space="preserve">Donoughmore Commission Report (1928). Report of the Special Commission on the Constitution of Ceylon. Colonial Office, London.</w:t>
      </w:r>
    </w:p>
    <w:p>
      <w:pPr>
        <w:spacing w:before="80" w:after="80" w:line="280"/>
        <w:ind w:left="720" w:hanging="720"/>
      </w:pPr>
      <w:r>
        <w:rPr>
          <w:rFonts w:ascii="Georgia" w:cs="Georgia" w:eastAsia="Georgia" w:hAnsi="Georgia"/>
          <w:b/>
          <w:bCs/>
          <w:color w:val="2c3e6b"/>
          <w:sz w:val="19"/>
          <w:szCs w:val="19"/>
        </w:rPr>
        <w:t xml:space="preserve">[20]  </w:t>
      </w:r>
      <w:r>
        <w:rPr>
          <w:rFonts w:ascii="Georgia" w:cs="Georgia" w:eastAsia="Georgia" w:hAnsi="Georgia"/>
          <w:sz w:val="19"/>
          <w:szCs w:val="19"/>
        </w:rPr>
        <w:t xml:space="preserve">Wriggins, W.H. (1960). Ceylon: Dilemmas of a New Nation. Princeton University Press.</w:t>
      </w:r>
    </w:p>
    <w:p>
      <w:pPr>
        <w:spacing w:before="80" w:after="80" w:line="280"/>
        <w:ind w:left="720" w:hanging="720"/>
      </w:pPr>
      <w:r>
        <w:rPr>
          <w:rFonts w:ascii="Georgia" w:cs="Georgia" w:eastAsia="Georgia" w:hAnsi="Georgia"/>
          <w:b/>
          <w:bCs/>
          <w:color w:val="2c3e6b"/>
          <w:sz w:val="19"/>
          <w:szCs w:val="19"/>
        </w:rPr>
        <w:t xml:space="preserve">[21]  </w:t>
      </w:r>
      <w:r>
        <w:rPr>
          <w:rFonts w:ascii="Georgia" w:cs="Georgia" w:eastAsia="Georgia" w:hAnsi="Georgia"/>
          <w:sz w:val="19"/>
          <w:szCs w:val="19"/>
        </w:rPr>
        <w:t xml:space="preserve">Elampoornan, A. (2026). Tambapanni: A History Without Borders. [Companion paper. orcid.org/0009-0004-9181-2270]</w:t>
      </w:r>
    </w:p>
    <w:p>
      <w:pPr>
        <w:spacing w:before="80" w:after="80" w:line="280"/>
        <w:ind w:left="720" w:hanging="720"/>
      </w:pPr>
      <w:r>
        <w:rPr>
          <w:rFonts w:ascii="Georgia" w:cs="Georgia" w:eastAsia="Georgia" w:hAnsi="Georgia"/>
          <w:b/>
          <w:bCs/>
          <w:color w:val="2c3e6b"/>
          <w:sz w:val="19"/>
          <w:szCs w:val="19"/>
        </w:rPr>
        <w:t xml:space="preserve">[22]  </w:t>
      </w:r>
      <w:r>
        <w:rPr>
          <w:rFonts w:ascii="Georgia" w:cs="Georgia" w:eastAsia="Georgia" w:hAnsi="Georgia"/>
          <w:sz w:val="19"/>
          <w:szCs w:val="19"/>
        </w:rPr>
        <w:t xml:space="preserve">World Shipping Council (2024). Top 50 World Container Ports. Washington DC.</w:t>
      </w:r>
    </w:p>
    <w:p>
      <w:pPr>
        <w:spacing w:before="80" w:after="80" w:line="280"/>
        <w:ind w:left="720" w:hanging="720"/>
      </w:pPr>
      <w:r>
        <w:rPr>
          <w:rFonts w:ascii="Georgia" w:cs="Georgia" w:eastAsia="Georgia" w:hAnsi="Georgia"/>
          <w:b/>
          <w:bCs/>
          <w:color w:val="2c3e6b"/>
          <w:sz w:val="19"/>
          <w:szCs w:val="19"/>
        </w:rPr>
        <w:t xml:space="preserve">[23]  </w:t>
      </w:r>
      <w:r>
        <w:rPr>
          <w:rFonts w:ascii="Georgia" w:cs="Georgia" w:eastAsia="Georgia" w:hAnsi="Georgia"/>
          <w:sz w:val="19"/>
          <w:szCs w:val="19"/>
        </w:rPr>
        <w:t xml:space="preserve">Oxford Economics (2024). "Indian Ocean Trade Corridor Outlook 2024–2034." Oxford Economics Research, London.</w:t>
      </w:r>
    </w:p>
    <w:p>
      <w:pPr>
        <w:spacing w:before="80" w:after="80" w:line="280"/>
        <w:ind w:left="720" w:hanging="720"/>
      </w:pPr>
      <w:r>
        <w:rPr>
          <w:rFonts w:ascii="Georgia" w:cs="Georgia" w:eastAsia="Georgia" w:hAnsi="Georgia"/>
          <w:b/>
          <w:bCs/>
          <w:color w:val="2c3e6b"/>
          <w:sz w:val="19"/>
          <w:szCs w:val="19"/>
        </w:rPr>
        <w:t xml:space="preserve">[24]  </w:t>
      </w:r>
      <w:r>
        <w:rPr>
          <w:rFonts w:ascii="Georgia" w:cs="Georgia" w:eastAsia="Georgia" w:hAnsi="Georgia"/>
          <w:sz w:val="19"/>
          <w:szCs w:val="19"/>
        </w:rPr>
        <w:t xml:space="preserve">Colombo Plan Secretariat (2024). History and Mandate. colombo-plan.org. [Established July 1, 1951; conceived at Commonwealth Foreign Ministers Conference, Colombo, January 1950; secretariat headquartered in Colombo, Sri Lanka.]</w:t>
      </w:r>
    </w:p>
    <w:p>
      <w:pPr>
        <w:spacing w:before="80" w:after="80" w:line="280"/>
        <w:ind w:left="720" w:hanging="720"/>
      </w:pPr>
      <w:r>
        <w:rPr>
          <w:rFonts w:ascii="Georgia" w:cs="Georgia" w:eastAsia="Georgia" w:hAnsi="Georgia"/>
          <w:b/>
          <w:bCs/>
          <w:color w:val="2c3e6b"/>
          <w:sz w:val="19"/>
          <w:szCs w:val="19"/>
        </w:rPr>
        <w:t xml:space="preserve">[25]  </w:t>
      </w:r>
      <w:r>
        <w:rPr>
          <w:rFonts w:ascii="Georgia" w:cs="Georgia" w:eastAsia="Georgia" w:hAnsi="Georgia"/>
          <w:sz w:val="19"/>
          <w:szCs w:val="19"/>
        </w:rPr>
        <w:t xml:space="preserve">Colombo Plan Bureau (1990). Annual Report 1989: Review of Technical Cooperation. Colombo Plan Secretariat, Colombo. [Reports 465,781 training programs delivered by 1989; transitions of South Korea, Malaysia, Thailand from recipients to donors.]</w:t>
      </w:r>
    </w:p>
    <w:p>
      <w:pPr>
        <w:spacing w:before="80" w:after="80" w:line="280"/>
        <w:ind w:left="720" w:hanging="720"/>
      </w:pPr>
      <w:r>
        <w:rPr>
          <w:rFonts w:ascii="Georgia" w:cs="Georgia" w:eastAsia="Georgia" w:hAnsi="Georgia"/>
          <w:b/>
          <w:bCs/>
          <w:color w:val="2c3e6b"/>
          <w:sz w:val="19"/>
          <w:szCs w:val="19"/>
        </w:rPr>
        <w:t xml:space="preserve">[26]  </w:t>
      </w:r>
      <w:r>
        <w:rPr>
          <w:rFonts w:ascii="Georgia" w:cs="Georgia" w:eastAsia="Georgia" w:hAnsi="Georgia"/>
          <w:sz w:val="19"/>
          <w:szCs w:val="19"/>
        </w:rPr>
        <w:t xml:space="preserve">ASEAN Secretariat (2023). ASEAN Economic Community Blueprint 2025: Mid-Term Review. Jakarta.</w:t>
      </w:r>
    </w:p>
    <w:p>
      <w:pPr>
        <w:spacing w:before="80" w:after="80" w:line="280"/>
        <w:ind w:left="720" w:hanging="720"/>
      </w:pPr>
      <w:r>
        <w:rPr>
          <w:rFonts w:ascii="Georgia" w:cs="Georgia" w:eastAsia="Georgia" w:hAnsi="Georgia"/>
          <w:b/>
          <w:bCs/>
          <w:color w:val="2c3e6b"/>
          <w:sz w:val="19"/>
          <w:szCs w:val="19"/>
        </w:rPr>
        <w:t xml:space="preserve">[27]  </w:t>
      </w:r>
      <w:r>
        <w:rPr>
          <w:rFonts w:ascii="Georgia" w:cs="Georgia" w:eastAsia="Georgia" w:hAnsi="Georgia"/>
          <w:sz w:val="19"/>
          <w:szCs w:val="19"/>
        </w:rPr>
        <w:t xml:space="preserve">Parliament of Sri Lanka (1987). Thirteenth Amendment to the Constitution. Gazette Extraordinary No. 536/16, November 14, 1987. [Devolution to Provincial Councils under Indo-Sri Lanka Accord 1987.]</w:t>
      </w:r>
    </w:p>
    <w:p>
      <w:pPr>
        <w:spacing w:before="80" w:after="80" w:line="280"/>
        <w:ind w:left="720" w:hanging="720"/>
      </w:pPr>
      <w:r>
        <w:rPr>
          <w:rFonts w:ascii="Georgia" w:cs="Georgia" w:eastAsia="Georgia" w:hAnsi="Georgia"/>
          <w:b/>
          <w:bCs/>
          <w:color w:val="2c3e6b"/>
          <w:sz w:val="19"/>
          <w:szCs w:val="19"/>
        </w:rPr>
        <w:t xml:space="preserve">[28]  </w:t>
      </w:r>
      <w:r>
        <w:rPr>
          <w:rFonts w:ascii="Georgia" w:cs="Georgia" w:eastAsia="Georgia" w:hAnsi="Georgia"/>
          <w:sz w:val="19"/>
          <w:szCs w:val="19"/>
        </w:rPr>
        <w:t xml:space="preserve">International Crisis Group (2017). "Sri Lanka’s Transition to Nowhere." ICG Asia Report No. 286. Brussels.</w:t>
      </w:r>
    </w:p>
    <w:p>
      <w:pPr>
        <w:spacing w:before="80" w:after="80" w:line="280"/>
        <w:ind w:left="720" w:hanging="720"/>
      </w:pPr>
      <w:r>
        <w:rPr>
          <w:rFonts w:ascii="Georgia" w:cs="Georgia" w:eastAsia="Georgia" w:hAnsi="Georgia"/>
          <w:b/>
          <w:bCs/>
          <w:color w:val="2c3e6b"/>
          <w:sz w:val="19"/>
          <w:szCs w:val="19"/>
        </w:rPr>
        <w:t xml:space="preserve">[29]  </w:t>
      </w:r>
      <w:r>
        <w:rPr>
          <w:rFonts w:ascii="Georgia" w:cs="Georgia" w:eastAsia="Georgia" w:hAnsi="Georgia"/>
          <w:sz w:val="19"/>
          <w:szCs w:val="19"/>
        </w:rPr>
        <w:t xml:space="preserve">Ohmae, K. (1995). The End of the Nation State: The Rise of Regional Economies. Free Press, New York.</w:t>
      </w:r>
    </w:p>
    <w:p>
      <w:pPr>
        <w:spacing w:before="80" w:after="80" w:line="280"/>
        <w:ind w:left="720" w:hanging="720"/>
      </w:pPr>
      <w:r>
        <w:rPr>
          <w:rFonts w:ascii="Georgia" w:cs="Georgia" w:eastAsia="Georgia" w:hAnsi="Georgia"/>
          <w:b/>
          <w:bCs/>
          <w:color w:val="2c3e6b"/>
          <w:sz w:val="19"/>
          <w:szCs w:val="19"/>
        </w:rPr>
        <w:t xml:space="preserve">[30]  </w:t>
      </w:r>
      <w:r>
        <w:rPr>
          <w:rFonts w:ascii="Georgia" w:cs="Georgia" w:eastAsia="Georgia" w:hAnsi="Georgia"/>
          <w:sz w:val="19"/>
          <w:szCs w:val="19"/>
        </w:rPr>
        <w:t xml:space="preserve">Ricardo, D. (1817). On the Principles of Political Economy and Taxation. John Murray, London. [Chapter 7: On Foreign Trade — foundational statement of comparative advantage.]</w:t>
      </w:r>
    </w:p>
    <w:p>
      <w:pPr>
        <w:spacing w:before="80" w:after="80" w:line="280"/>
        <w:ind w:left="720" w:hanging="720"/>
      </w:pPr>
      <w:r>
        <w:rPr>
          <w:rFonts w:ascii="Georgia" w:cs="Georgia" w:eastAsia="Georgia" w:hAnsi="Georgia"/>
          <w:b/>
          <w:bCs/>
          <w:color w:val="2c3e6b"/>
          <w:sz w:val="19"/>
          <w:szCs w:val="19"/>
        </w:rPr>
        <w:t xml:space="preserve">[31]  </w:t>
      </w:r>
      <w:r>
        <w:rPr>
          <w:rFonts w:ascii="Georgia" w:cs="Georgia" w:eastAsia="Georgia" w:hAnsi="Georgia"/>
          <w:sz w:val="19"/>
          <w:szCs w:val="19"/>
        </w:rPr>
        <w:t xml:space="preserve">Porter, M.E. (1990). The Competitive Advantage of Nations. Free Press, New York.</w:t>
      </w:r>
    </w:p>
    <w:p>
      <w:pPr>
        <w:spacing w:before="80" w:after="80" w:line="280"/>
        <w:ind w:left="720" w:hanging="720"/>
      </w:pPr>
      <w:r>
        <w:rPr>
          <w:rFonts w:ascii="Georgia" w:cs="Georgia" w:eastAsia="Georgia" w:hAnsi="Georgia"/>
          <w:b/>
          <w:bCs/>
          <w:color w:val="2c3e6b"/>
          <w:sz w:val="19"/>
          <w:szCs w:val="19"/>
        </w:rPr>
        <w:t xml:space="preserve">[32]  </w:t>
      </w:r>
      <w:r>
        <w:rPr>
          <w:rFonts w:ascii="Georgia" w:cs="Georgia" w:eastAsia="Georgia" w:hAnsi="Georgia"/>
          <w:sz w:val="19"/>
          <w:szCs w:val="19"/>
        </w:rPr>
        <w:t xml:space="preserve">Krugman, P. (1994). "Competitiveness: A Dangerous Obsession." Foreign Affairs, 73(2), pp. 28-44.</w:t>
      </w:r>
    </w:p>
    <w:p>
      <w:pPr>
        <w:spacing w:before="80" w:after="80" w:line="280"/>
        <w:ind w:left="720" w:hanging="720"/>
      </w:pPr>
      <w:r>
        <w:rPr>
          <w:rFonts w:ascii="Georgia" w:cs="Georgia" w:eastAsia="Georgia" w:hAnsi="Georgia"/>
          <w:b/>
          <w:bCs/>
          <w:color w:val="2c3e6b"/>
          <w:sz w:val="19"/>
          <w:szCs w:val="19"/>
        </w:rPr>
        <w:t xml:space="preserve">[33]  </w:t>
      </w:r>
      <w:r>
        <w:rPr>
          <w:rFonts w:ascii="Georgia" w:cs="Georgia" w:eastAsia="Georgia" w:hAnsi="Georgia"/>
          <w:sz w:val="19"/>
          <w:szCs w:val="19"/>
        </w:rPr>
        <w:t xml:space="preserve">Hausmann, R., Hwang, J. and Rodrik, D. (2007). "What You Export Matters." Journal of Economic Growth, 12(1), pp. 1-25.</w:t>
      </w:r>
    </w:p>
    <w:p>
      <w:pPr>
        <w:spacing w:before="80" w:after="80" w:line="280"/>
        <w:ind w:left="720" w:hanging="720"/>
      </w:pPr>
      <w:r>
        <w:rPr>
          <w:rFonts w:ascii="Georgia" w:cs="Georgia" w:eastAsia="Georgia" w:hAnsi="Georgia"/>
          <w:b/>
          <w:bCs/>
          <w:color w:val="2c3e6b"/>
          <w:sz w:val="19"/>
          <w:szCs w:val="19"/>
        </w:rPr>
        <w:t xml:space="preserve">[34]  </w:t>
      </w:r>
      <w:r>
        <w:rPr>
          <w:rFonts w:ascii="Georgia" w:cs="Georgia" w:eastAsia="Georgia" w:hAnsi="Georgia"/>
          <w:sz w:val="19"/>
          <w:szCs w:val="19"/>
        </w:rPr>
        <w:t xml:space="preserve">Hohpe, G. (2019–2020). Smart Nation Fellowship, Government Technology Agency of Singapore (GovTech). [Hohpe served as Smart Nation Fellow, advising on cloud-centric government digital transformation strategy. See: tech.gov.sg/media/technews/four-key-insights-from-govtech-cloud-architect/]</w:t>
      </w:r>
    </w:p>
    <w:p>
      <w:pPr>
        <w:spacing w:before="80" w:after="80" w:line="280"/>
        <w:ind w:left="720" w:hanging="720"/>
      </w:pPr>
      <w:r>
        <w:rPr>
          <w:rFonts w:ascii="Georgia" w:cs="Georgia" w:eastAsia="Georgia" w:hAnsi="Georgia"/>
          <w:b/>
          <w:bCs/>
          <w:color w:val="2c3e6b"/>
          <w:sz w:val="19"/>
          <w:szCs w:val="19"/>
        </w:rPr>
        <w:t xml:space="preserve">[35]  </w:t>
      </w:r>
      <w:r>
        <w:rPr>
          <w:rFonts w:ascii="Georgia" w:cs="Georgia" w:eastAsia="Georgia" w:hAnsi="Georgia"/>
          <w:sz w:val="19"/>
          <w:szCs w:val="19"/>
        </w:rPr>
        <w:t xml:space="preserve">Orchard, F. (2021). Bold Vision: The Untold Story of Singapore’s Reserves and Its Sovereign Wealth Fund. GIC / Epigram Books, Singapore. [Podcast/audiobook series and commemorative book for GIC’s 40th anniversary. gicboldvision.podbean.com]</w:t>
      </w:r>
    </w:p>
    <w:p>
      <w:pPr>
        <w:spacing w:before="80" w:after="80" w:line="280"/>
        <w:ind w:left="720" w:hanging="720"/>
      </w:pPr>
      <w:r>
        <w:rPr>
          <w:rFonts w:ascii="Georgia" w:cs="Georgia" w:eastAsia="Georgia" w:hAnsi="Georgia"/>
          <w:b/>
          <w:bCs/>
          <w:color w:val="2c3e6b"/>
          <w:sz w:val="19"/>
          <w:szCs w:val="19"/>
        </w:rPr>
        <w:t xml:space="preserve">[36]  </w:t>
      </w:r>
      <w:r>
        <w:rPr>
          <w:rFonts w:ascii="Georgia" w:cs="Georgia" w:eastAsia="Georgia" w:hAnsi="Georgia"/>
          <w:sz w:val="19"/>
          <w:szCs w:val="19"/>
        </w:rPr>
        <w:t xml:space="preserve">GIC (2021). "Who We Are: Founding and Values." gic.com.sg. [GIC established 1981; founding values: Prudence, Respect, Integrity, Merit, Excellence — PRIME. Meritocracy named explicitly as precondition for success by both Dr Goh Keng Swee and Lee Kuan Yew.]</w:t>
      </w:r>
    </w:p>
    <w:p>
      <w:pPr>
        <w:spacing w:before="80" w:after="80" w:line="280"/>
        <w:ind w:left="720" w:hanging="720"/>
      </w:pPr>
      <w:r>
        <w:rPr>
          <w:rFonts w:ascii="Georgia" w:cs="Georgia" w:eastAsia="Georgia" w:hAnsi="Georgia"/>
          <w:b/>
          <w:bCs/>
          <w:color w:val="2c3e6b"/>
          <w:sz w:val="19"/>
          <w:szCs w:val="19"/>
        </w:rPr>
        <w:t xml:space="preserve">[38]  </w:t>
      </w:r>
      <w:r>
        <w:rPr>
          <w:rFonts w:ascii="Georgia" w:cs="Georgia" w:eastAsia="Georgia" w:hAnsi="Georgia"/>
          <w:sz w:val="19"/>
          <w:szCs w:val="19"/>
        </w:rPr>
        <w:t xml:space="preserve">Harvard Growth Lab / Observatory of Economic Complexity (2023). Economic Complexity Index (ECI) and Complexity Outlook Index (COI), 2021 data. atlas.hks.harvard.edu/rankings. [Sri Lanka ECI: −0.24, ranked 83rd; COI: +0.59. Singapore ECI: 1.83, ranked 5th. Malaysia ECI: 0.95, ranked 28th. Mauritius ECI: −0.17, ranked 74th.]</w:t>
      </w:r>
    </w:p>
    <w:p>
      <w:pPr>
        <w:spacing w:before="80" w:after="80" w:line="280"/>
        <w:ind w:left="720" w:hanging="720"/>
      </w:pPr>
      <w:r>
        <w:rPr>
          <w:rFonts w:ascii="Georgia" w:cs="Georgia" w:eastAsia="Georgia" w:hAnsi="Georgia"/>
          <w:b/>
          <w:bCs/>
          <w:color w:val="2c3e6b"/>
          <w:sz w:val="19"/>
          <w:szCs w:val="19"/>
        </w:rPr>
        <w:t xml:space="preserve">[39]  </w:t>
      </w:r>
      <w:r>
        <w:rPr>
          <w:rFonts w:ascii="Georgia" w:cs="Georgia" w:eastAsia="Georgia" w:hAnsi="Georgia"/>
          <w:sz w:val="19"/>
          <w:szCs w:val="19"/>
        </w:rPr>
        <w:t xml:space="preserve">QS World University Rankings 2025 (published June 2024). University of Colombo ranked 951st–1000th globally; highest-ranked Sri Lankan institution. Only three Sri Lankan universities appear in the rankings. Singapore NUS ranked 8th. Malaysia UM ranked in the 60s. India IITs in the 150s–200s. topuniversities.com/world-university-rankings</w:t>
      </w:r>
    </w:p>
    <w:p>
      <w:pPr>
        <w:spacing w:before="80" w:after="80" w:line="280"/>
        <w:ind w:left="720" w:hanging="720"/>
      </w:pPr>
      <w:r>
        <w:rPr>
          <w:rFonts w:ascii="Georgia" w:cs="Georgia" w:eastAsia="Georgia" w:hAnsi="Georgia"/>
          <w:b/>
          <w:bCs/>
          <w:color w:val="2c3e6b"/>
          <w:sz w:val="19"/>
          <w:szCs w:val="19"/>
        </w:rPr>
        <w:t xml:space="preserve">[40]  </w:t>
      </w:r>
      <w:r>
        <w:rPr>
          <w:rFonts w:ascii="Georgia" w:cs="Georgia" w:eastAsia="Georgia" w:hAnsi="Georgia"/>
          <w:sz w:val="19"/>
          <w:szCs w:val="19"/>
        </w:rPr>
        <w:t xml:space="preserve">National Science Foundation Sri Lanka (2021). Statistical Handbook on Research and Development of Sri Lanka 2020. NSF, Colombo. [GERD: 0.12% of GDP in 2020. Higher education sector: 26.7% of GERD. Historical peak: 0.184% in 1996. Comparison: Singapore 2.2%, Malaysia 1.0%, India 0.6%, Vietnam 0.4%.]</w:t>
      </w:r>
    </w:p>
    <w:p>
      <w:pPr>
        <w:spacing w:before="80" w:after="80" w:line="280"/>
        <w:ind w:left="720" w:hanging="720"/>
      </w:pPr>
      <w:r>
        <w:rPr>
          <w:rFonts w:ascii="Georgia" w:cs="Georgia" w:eastAsia="Georgia" w:hAnsi="Georgia"/>
          <w:b/>
          <w:bCs/>
          <w:color w:val="2c3e6b"/>
          <w:sz w:val="19"/>
          <w:szCs w:val="19"/>
        </w:rPr>
        <w:t xml:space="preserve">[41]  </w:t>
      </w:r>
      <w:r>
        <w:rPr>
          <w:rFonts w:ascii="Georgia" w:cs="Georgia" w:eastAsia="Georgia" w:hAnsi="Georgia"/>
          <w:sz w:val="19"/>
          <w:szCs w:val="19"/>
        </w:rPr>
        <w:t xml:space="preserve">World Bank / AHEAD Programme (2025). Higher Education Reforms: ClearHerPath to Skills and Jobs in Sri Lanka. Washington DC. [2022: only 23% of college-age Sri Lankans enrolled in programmes equipping critical thinking and employer-valued skills. 2019: only one-third of university students in STEM; of those, over half in biological sciences. Sri Lanka records highest share of Humanities/Social Sciences enrolment and lowest share of Science/Engineering among comparable economies.]</w:t>
      </w:r>
    </w:p>
    <w:p>
      <w:pPr>
        <w:spacing w:before="80" w:after="80" w:line="280"/>
        <w:ind w:left="720" w:hanging="720"/>
      </w:pPr>
      <w:r>
        <w:rPr>
          <w:rFonts w:ascii="Georgia" w:cs="Georgia" w:eastAsia="Georgia" w:hAnsi="Georgia"/>
          <w:b/>
          <w:bCs/>
          <w:color w:val="2c3e6b"/>
          <w:sz w:val="19"/>
          <w:szCs w:val="19"/>
        </w:rPr>
        <w:t xml:space="preserve">[42]  </w:t>
      </w:r>
      <w:r>
        <w:rPr>
          <w:rFonts w:ascii="Georgia" w:cs="Georgia" w:eastAsia="Georgia" w:hAnsi="Georgia"/>
          <w:sz w:val="19"/>
          <w:szCs w:val="19"/>
        </w:rPr>
        <w:t xml:space="preserve">Daily FT (2024). Challenges faced by the higher education sector in Sri Lanka; Liyanage, I.M.K. (various). Mismatch Between the Education System and the Job Market in Sri Lanka. [Low priority given to research by majority of HEIs. Rote learning and exam-based assessment documented as structural feature. Skills mismatch between graduates and employers recognised by ILO since early 1970s. Outdated curricula and absence of industry input in curriculum design confirmed across employer surveys.]; Arab News (2024). Medical brain drain worsens in Sri Lanka as 25% of doctors ready to migrate. [Doctors earning $170–$720/month; UK/Australia salaries 20–30× higher; 1,800+ doctors left in 2022–2023; 5,000 have completed migration qualification exams.]</w:t>
      </w:r>
    </w:p>
    <w:p>
      <w:pPr>
        <w:spacing w:before="80" w:after="80" w:line="280"/>
        <w:ind w:left="720" w:hanging="720"/>
      </w:pPr>
      <w:r>
        <w:rPr>
          <w:rFonts w:ascii="Georgia" w:cs="Georgia" w:eastAsia="Georgia" w:hAnsi="Georgia"/>
          <w:b/>
          <w:bCs/>
          <w:color w:val="2c3e6b"/>
          <w:sz w:val="19"/>
          <w:szCs w:val="19"/>
        </w:rPr>
        <w:t xml:space="preserve">[45]  </w:t>
      </w:r>
      <w:r>
        <w:rPr>
          <w:rFonts w:ascii="Georgia" w:cs="Georgia" w:eastAsia="Georgia" w:hAnsi="Georgia"/>
          <w:sz w:val="19"/>
          <w:szCs w:val="19"/>
        </w:rPr>
        <w:t xml:space="preserve">UNESCO Institute for Statistics (2023). Research and Experimental Development (R&amp;D): Gross Domestic Expenditure on R&amp;D (GERD) as a percentage of GDP, 2020 data. uis.unesco.org/en/topic/research-and-development. [Singapore: 2.21%; Malaysia: 1.05%; India: 0.64%; Vietnam: 0.40%. NSF Sri Lanka figure (0.12%) drawn from National Science Foundation Sri Lanka (2021) Statistical Handbook.]</w:t>
      </w:r>
    </w:p>
    <w:p>
      <w:pPr>
        <w:spacing w:before="80" w:after="80" w:line="280"/>
        <w:ind w:left="720" w:hanging="720"/>
      </w:pPr>
      <w:r>
        <w:rPr>
          <w:rFonts w:ascii="Georgia" w:cs="Georgia" w:eastAsia="Georgia" w:hAnsi="Georgia"/>
          <w:b/>
          <w:bCs/>
          <w:color w:val="2c3e6b"/>
          <w:sz w:val="19"/>
          <w:szCs w:val="19"/>
        </w:rPr>
        <w:t xml:space="preserve">[43]  </w:t>
      </w:r>
      <w:r>
        <w:rPr>
          <w:rFonts w:ascii="Georgia" w:cs="Georgia" w:eastAsia="Georgia" w:hAnsi="Georgia"/>
          <w:sz w:val="19"/>
          <w:szCs w:val="19"/>
        </w:rPr>
        <w:t xml:space="preserve">Central Bank of Sri Lanka (2023). Annual Report 2023. CBSL, Colombo. [Workers’ remittances: USD 3.86 billion January–August 2023, up 74.4% year-on-year; full-year 2022: USD 3.79 billion. cbsl.gov.lk/en/publications/annual-report]</w:t>
      </w:r>
    </w:p>
    <w:p>
      <w:pPr>
        <w:spacing w:before="80" w:after="80" w:line="280"/>
        <w:ind w:left="720" w:hanging="720"/>
      </w:pPr>
      <w:r>
        <w:rPr>
          <w:rFonts w:ascii="Georgia" w:cs="Georgia" w:eastAsia="Georgia" w:hAnsi="Georgia"/>
          <w:b/>
          <w:bCs/>
          <w:color w:val="2c3e6b"/>
          <w:sz w:val="19"/>
          <w:szCs w:val="19"/>
        </w:rPr>
        <w:t xml:space="preserve">[44]  </w:t>
      </w:r>
      <w:r>
        <w:rPr>
          <w:rFonts w:ascii="Georgia" w:cs="Georgia" w:eastAsia="Georgia" w:hAnsi="Georgia"/>
          <w:sz w:val="19"/>
          <w:szCs w:val="19"/>
        </w:rPr>
        <w:t xml:space="preserve">Sri Lanka Bureau of Foreign Employment (SLBFE) (2023). Annual Statistical Report 2022. Colombo. [311,056 departures for foreign employment in 2022, an all-time high. Nearly 60% semi-skilled or low-skilled workers; professional and clerical departures: 32%. slbfe.gov.lk]</w:t>
      </w:r>
    </w:p>
    <w:p>
      <w:pPr>
        <w:spacing w:before="80" w:after="80" w:line="280"/>
        <w:ind w:left="720" w:hanging="720"/>
      </w:pPr>
      <w:r>
        <w:rPr>
          <w:rFonts w:ascii="Georgia" w:cs="Georgia" w:eastAsia="Georgia" w:hAnsi="Georgia"/>
          <w:b/>
          <w:bCs/>
          <w:color w:val="2c3e6b"/>
          <w:sz w:val="19"/>
          <w:szCs w:val="19"/>
        </w:rPr>
        <w:t xml:space="preserve">[47]  </w:t>
      </w:r>
      <w:r>
        <w:rPr>
          <w:rFonts w:ascii="Georgia" w:cs="Georgia" w:eastAsia="Georgia" w:hAnsi="Georgia"/>
          <w:sz w:val="19"/>
          <w:szCs w:val="19"/>
        </w:rPr>
        <w:t xml:space="preserve">Sri Lanka Bureau of Foreign Employment (SLBFE) (2023). Statistics 2022. Colombo. Table 3: Total Registration by Manpower Level 2018–2022. [2022 total departures: 311,056. Semi-skilled and low-skilled combined (including domestic housekeeping assistants 78,140 + others 105,509): 183,649 departures, representing 59.04% of total. Domestic housekeeping assistants alone: 25.12%. Professional level: 14,307 (4.60%). slbfe.lk/wp-content/uploads/2023/09/Statistics-2022.pdf]</w:t>
      </w:r>
    </w:p>
    <w:p>
      <w:pPr>
        <w:spacing w:before="80" w:after="80" w:line="280"/>
        <w:ind w:left="720" w:hanging="720"/>
      </w:pPr>
      <w:r>
        <w:rPr>
          <w:rFonts w:ascii="Georgia" w:cs="Georgia" w:eastAsia="Georgia" w:hAnsi="Georgia"/>
          <w:b/>
          <w:bCs/>
          <w:color w:val="2c3e6b"/>
          <w:sz w:val="19"/>
          <w:szCs w:val="19"/>
        </w:rPr>
        <w:t xml:space="preserve">[48]  </w:t>
      </w:r>
      <w:r>
        <w:rPr>
          <w:rFonts w:ascii="Georgia" w:cs="Georgia" w:eastAsia="Georgia" w:hAnsi="Georgia"/>
          <w:sz w:val="19"/>
          <w:szCs w:val="19"/>
        </w:rPr>
        <w:t xml:space="preserve">Central Bank of Sri Lanka (2023). Quarterly Bulletin of Workers’ Remittances and Labour Migration, Q2 2023. Economic Research Department, CBSL, Colombo. [76.5% of departures in H1 2023 destined for Middle East. Top remittance-source countries Q2 2023: Kuwait 11.0%, Qatar 10.6%, UAE 10.1%, United States 9.4%, Saudi Arabia 9.3%. “Nearly 60% of departures for foreign employment is concentrated in the semi-skilled and low-skilled categories.” “Female departures for foreign employment are highly concentrated on semi-skilled category.” cbsl.gov.lk]</w:t>
      </w:r>
    </w:p>
    <w:p>
      <w:pPr>
        <w:spacing w:before="80" w:after="80" w:line="280"/>
        <w:ind w:left="720" w:hanging="720"/>
      </w:pPr>
      <w:r>
        <w:rPr>
          <w:rFonts w:ascii="Georgia" w:cs="Georgia" w:eastAsia="Georgia" w:hAnsi="Georgia"/>
          <w:b/>
          <w:bCs/>
          <w:color w:val="2c3e6b"/>
          <w:sz w:val="19"/>
          <w:szCs w:val="19"/>
        </w:rPr>
        <w:t xml:space="preserve">[49]  </w:t>
      </w:r>
      <w:r>
        <w:rPr>
          <w:rFonts w:ascii="Georgia" w:cs="Georgia" w:eastAsia="Georgia" w:hAnsi="Georgia"/>
          <w:sz w:val="19"/>
          <w:szCs w:val="19"/>
        </w:rPr>
        <w:t xml:space="preserve">Withers, M. (2024). “Are remittances ‘resilient?’ Evidence from Sri Lanka between COVID-19 and the crisis.” Journal of Sociology, online first. [Approximately 51.5% of remittances in 2019 originated from migrant workers employed in West Asia; West Asian workers accounted for more than 87% of registered departures. “The vast majority of these workers are employed in low-wage occupations classified as ‘low-skilled’, ‘semi-skilled’, ‘clerical’, ‘skilled’ and ‘middle-level’ by the SLBFE.” doi:10.1177/01171968241266333]</w:t>
      </w:r>
    </w:p>
    <w:p>
      <w:pPr>
        <w:spacing w:before="80" w:after="80" w:line="280"/>
        <w:ind w:left="720" w:hanging="720"/>
      </w:pPr>
      <w:r>
        <w:rPr>
          <w:rFonts w:ascii="Georgia" w:cs="Georgia" w:eastAsia="Georgia" w:hAnsi="Georgia"/>
          <w:b/>
          <w:bCs/>
          <w:color w:val="2c3e6b"/>
          <w:sz w:val="19"/>
          <w:szCs w:val="19"/>
        </w:rPr>
        <w:t xml:space="preserve">[46]  </w:t>
      </w:r>
      <w:r>
        <w:rPr>
          <w:rFonts w:ascii="Georgia" w:cs="Georgia" w:eastAsia="Georgia" w:hAnsi="Georgia"/>
          <w:sz w:val="19"/>
          <w:szCs w:val="19"/>
        </w:rPr>
        <w:t xml:space="preserve">Department of Census and Statistics Sri Lanka / Security Forces HQ Jaffna. Jaffna District Agricultural Holdings Survey. [84,416 total allotments covering 24,924 ha; smallest 73,483 allotments (87%) average 0.12 ha / 48 perches. DCS Economic Census 2013/14 classifies holdings under 40 perches as marginal homesteads.]; University of Jaffna, Department of Civil Engineering (2015). Workshop on Water Conflicts Resolution, Treatment and Desalination - WaSo Project. [Iranamadu command area: 8,455 ha; 9,100 families (40% of Kilinochchi district); Yala limited by tank storage; channel rehabilitation could raise cropping intensity from 1.18 to 1.35.]; Arumugam, T. (2017). Desalination or a River for Jaffna? Sunday Island, 30 January 2017, via Thuppahi blog. [Vanni farmers objected ADB pipeline would eliminate Yala cultivation (tank at 30% Yala capacity in average year); project redesigned around Thalaiyadi desalination plant. Approx. 60% of Iranamadu paddy landowners are Jaffna peninsula residents.]</w:t>
      </w:r>
    </w:p>
    <w:p>
      <w:pPr>
        <w:spacing w:before="80" w:after="80" w:line="280"/>
        <w:ind w:left="720" w:hanging="720"/>
      </w:pPr>
      <w:r>
        <w:rPr>
          <w:rFonts w:ascii="Georgia" w:cs="Georgia" w:eastAsia="Georgia" w:hAnsi="Georgia"/>
          <w:b/>
          <w:bCs/>
          <w:color w:val="2c3e6b"/>
          <w:sz w:val="19"/>
          <w:szCs w:val="19"/>
        </w:rPr>
        <w:t xml:space="preserve">[37]  </w:t>
      </w:r>
      <w:r>
        <w:rPr>
          <w:rFonts w:ascii="Georgia" w:cs="Georgia" w:eastAsia="Georgia" w:hAnsi="Georgia"/>
          <w:sz w:val="19"/>
          <w:szCs w:val="19"/>
        </w:rPr>
        <w:t xml:space="preserve">Dellanna, L. (2022). Ergodicity: How Irreversible Outcomes Affect Long-Term Performance in Work, Investing, Relationships, Sport, and Beyond (3rd ed.). Independently published. [Basketball pooling game: luca-dellanna.com/games/basketball]</w:t>
      </w:r>
    </w:p>
    <w:p>
      <w:pPr>
        <w:spacing w:before="60" w:after="6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w:p>
    <w:pPr>
      <w:pStyle w:val="Footer"/>
      <w:jc w:val="left"/>
      <w:rPr>
        <w:sz w:val="15"/>
        <w:szCs w:val="15"/>
        <w:color w:val="2c3e6b"/>
      </w:rPr>
    </w:pPr>
    <w:r>
      <w:rPr>
        <w:b/>
        <w:sz w:val="15"/>
        <w:szCs w:val="15"/>
        <w:color w:val="2c3e6b"/>
      </w:rPr>
      <w:t xml:space="preserve">Tambapanni Positioned: A Strategic Framework for State Building and Macroeconomic Opportunity</w:t>
    </w:r>
  </w:p>
  <w:p>
    <w:pPr>
      <w:pStyle w:val="Footer"/>
      <w:rPr>
        <w:sz w:val="15"/>
        <w:szCs w:val="15"/>
        <w:color w:val="888888"/>
      </w:rPr>
    </w:pPr>
    <w:r>
      <w:rPr>
        <w:sz w:val="15"/>
        <w:szCs w:val="15"/>
        <w:color w:val="888888"/>
      </w:rPr>
      <w:t xml:space="preserve">Ananthaneshan Elampoornan  •  ORCID: 0009-0004-9181-2270  •  March 2026  •  Companion to: Tambapanni: A History Without Borders          Page </w:t>
    </w:r>
    <w:r>
      <w:rPr>
        <w:sz w:val="15"/>
        <w:szCs w:val="15"/>
        <w:color w:val="888888"/>
      </w:rPr>
      <w:fldChar w:fldCharType="begin"/>
    </w:r>
    <w:r>
      <w:rPr>
        <w:sz w:val="15"/>
        <w:szCs w:val="15"/>
        <w:color w:val="888888"/>
      </w:rPr>
      <w:instrText xml:space="preserve"> PAGE </w:instrText>
    </w:r>
    <w:r>
      <w:rPr>
        <w:sz w:val="15"/>
        <w:szCs w:val="15"/>
        <w:color w:val="888888"/>
      </w:rPr>
      <w:fldChar w:fldCharType="separate"/>
    </w:r>
    <w:r>
      <w:rPr>
        <w:sz w:val="15"/>
        <w:szCs w:val="15"/>
        <w:color w:val="888888"/>
      </w:rPr>
      <w:t>1</w:t>
    </w:r>
    <w:r>
      <w:rPr>
        <w:sz w:val="15"/>
        <w:szCs w:val="15"/>
        <w:color w:val="88888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200"/>
      <w:outlineLvl w:val="0"/>
    </w:pPr>
    <w:rPr>
      <w:rFonts w:ascii="Georgia" w:cs="Georgia" w:eastAsia="Georgia" w:hAnsi="Georgia"/>
      <w:b/>
      <w:bCs/>
      <w:sz w:val="34"/>
      <w:szCs w:val="34"/>
    </w:rPr>
  </w:style>
  <w:style w:type="paragraph" w:styleId="Heading2">
    <w:name w:val="Heading 2"/>
    <w:basedOn w:val="Normal"/>
    <w:next w:val="Normal"/>
    <w:pPr>
      <w:spacing w:before="320" w:after="16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2026-03-06T15:22:18.905Z</dcterms:created>
  <dcterms:modified xsi:type="dcterms:W3CDTF">2026-03-06T15:22:18.906Z</dcterms:modified>
</cp:coreProperties>
</file>

<file path=docProps/custom.xml><?xml version="1.0" encoding="utf-8"?>
<Properties xmlns="http://schemas.openxmlformats.org/officeDocument/2006/custom-properties" xmlns:vt="http://schemas.openxmlformats.org/officeDocument/2006/docPropsVTypes"/>
</file>