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56404" w14:textId="77777777" w:rsidR="00597D22" w:rsidRPr="00597D22" w:rsidRDefault="00597D22" w:rsidP="00597D22">
      <w:pPr>
        <w:jc w:val="center"/>
        <w:rPr>
          <w:rFonts w:cs="Times New Roman"/>
          <w:bCs/>
          <w:i/>
          <w:sz w:val="24"/>
          <w:szCs w:val="24"/>
        </w:rPr>
      </w:pPr>
      <w:r w:rsidRPr="00597D22">
        <w:rPr>
          <w:bCs/>
          <w:noProof/>
        </w:rPr>
        <w:drawing>
          <wp:inline distT="0" distB="0" distL="0" distR="0" wp14:anchorId="36E91279" wp14:editId="2D7ECCC0">
            <wp:extent cx="2241826" cy="886460"/>
            <wp:effectExtent l="0" t="0" r="6350" b="8890"/>
            <wp:docPr id="625435447" name="Picture 7" descr="Hong Kong Baptist University School of Business Marks 65th Anniversary with  Multiple Awards | 传讯拓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ng Kong Baptist University School of Business Marks 65th Anniversary with  Multiple Awards | 传讯拓展"/>
                    <pic:cNvPicPr>
                      <a:picLocks noChangeAspect="1" noChangeArrowheads="1"/>
                    </pic:cNvPicPr>
                  </pic:nvPicPr>
                  <pic:blipFill rotWithShape="1">
                    <a:blip r:embed="rId8">
                      <a:extLst>
                        <a:ext uri="{28A0092B-C50C-407E-A947-70E740481C1C}">
                          <a14:useLocalDpi xmlns:a14="http://schemas.microsoft.com/office/drawing/2010/main" val="0"/>
                        </a:ext>
                      </a:extLst>
                    </a:blip>
                    <a:srcRect l="30473" t="35497" r="28840" b="33740"/>
                    <a:stretch/>
                  </pic:blipFill>
                  <pic:spPr bwMode="auto">
                    <a:xfrm>
                      <a:off x="0" y="0"/>
                      <a:ext cx="2247887" cy="888857"/>
                    </a:xfrm>
                    <a:prstGeom prst="rect">
                      <a:avLst/>
                    </a:prstGeom>
                    <a:noFill/>
                    <a:ln>
                      <a:noFill/>
                    </a:ln>
                    <a:extLst>
                      <a:ext uri="{53640926-AAD7-44D8-BBD7-CCE9431645EC}">
                        <a14:shadowObscured xmlns:a14="http://schemas.microsoft.com/office/drawing/2010/main"/>
                      </a:ext>
                    </a:extLst>
                  </pic:spPr>
                </pic:pic>
              </a:graphicData>
            </a:graphic>
          </wp:inline>
        </w:drawing>
      </w:r>
    </w:p>
    <w:p w14:paraId="462AE809" w14:textId="77777777" w:rsidR="00597D22" w:rsidRPr="00597D22" w:rsidRDefault="00597D22" w:rsidP="00597D22">
      <w:pPr>
        <w:jc w:val="center"/>
        <w:rPr>
          <w:rFonts w:cs="Times New Roman"/>
          <w:b/>
          <w:i/>
          <w:sz w:val="24"/>
          <w:szCs w:val="24"/>
        </w:rPr>
      </w:pPr>
      <w:r w:rsidRPr="00597D22">
        <w:rPr>
          <w:rFonts w:cs="Times New Roman"/>
          <w:b/>
          <w:i/>
          <w:sz w:val="24"/>
          <w:szCs w:val="24"/>
        </w:rPr>
        <w:t>ECON7055: Projects for Data Analytics</w:t>
      </w:r>
    </w:p>
    <w:p w14:paraId="4CD044F8" w14:textId="77777777" w:rsidR="00597D22" w:rsidRDefault="00597D22" w:rsidP="00597D22">
      <w:pPr>
        <w:spacing w:line="240" w:lineRule="auto"/>
        <w:rPr>
          <w:rFonts w:cs="Times New Roman"/>
          <w:bCs/>
          <w:i/>
          <w:sz w:val="24"/>
          <w:szCs w:val="24"/>
        </w:rPr>
      </w:pPr>
    </w:p>
    <w:p w14:paraId="3664AA83" w14:textId="422D0479" w:rsidR="00597D22" w:rsidRPr="00597D22" w:rsidRDefault="00597D22" w:rsidP="00597D22">
      <w:pPr>
        <w:spacing w:line="240" w:lineRule="auto"/>
        <w:jc w:val="center"/>
        <w:rPr>
          <w:b/>
          <w:bCs/>
          <w:sz w:val="28"/>
          <w:szCs w:val="28"/>
        </w:rPr>
      </w:pPr>
      <w:r w:rsidRPr="00597D22">
        <w:rPr>
          <w:b/>
          <w:bCs/>
          <w:sz w:val="28"/>
          <w:szCs w:val="28"/>
        </w:rPr>
        <w:t>Volatility and Trading Market Behavior of Reliance Industries Limited: A Cross-market investigation</w:t>
      </w:r>
    </w:p>
    <w:p w14:paraId="06E593ED" w14:textId="251EF1FB" w:rsidR="00597D22" w:rsidRPr="00597D22" w:rsidRDefault="00597D22" w:rsidP="00597D22">
      <w:pPr>
        <w:spacing w:line="240" w:lineRule="auto"/>
        <w:jc w:val="center"/>
        <w:rPr>
          <w:rFonts w:cs="Times New Roman"/>
          <w:bCs/>
          <w:i/>
          <w:sz w:val="24"/>
          <w:szCs w:val="24"/>
        </w:rPr>
      </w:pPr>
      <w:r w:rsidRPr="00597D22">
        <w:rPr>
          <w:rFonts w:cs="Times New Roman"/>
          <w:b/>
          <w:i/>
          <w:sz w:val="24"/>
          <w:szCs w:val="24"/>
        </w:rPr>
        <w:t>By</w:t>
      </w:r>
      <w:r w:rsidRPr="00597D22">
        <w:rPr>
          <w:rFonts w:cs="Times New Roman"/>
          <w:bCs/>
          <w:i/>
          <w:sz w:val="24"/>
          <w:szCs w:val="24"/>
        </w:rPr>
        <w:t xml:space="preserve"> Poorva Nahar</w:t>
      </w:r>
    </w:p>
    <w:p w14:paraId="4C48306A" w14:textId="261076CB" w:rsidR="00597D22" w:rsidRDefault="00597D22" w:rsidP="00597D22">
      <w:pPr>
        <w:spacing w:line="240" w:lineRule="auto"/>
        <w:jc w:val="center"/>
        <w:rPr>
          <w:rFonts w:cs="Times New Roman"/>
          <w:bCs/>
          <w:i/>
          <w:sz w:val="24"/>
          <w:szCs w:val="24"/>
        </w:rPr>
      </w:pPr>
      <w:r w:rsidRPr="00597D22">
        <w:rPr>
          <w:rFonts w:cs="Times New Roman"/>
          <w:b/>
          <w:i/>
          <w:sz w:val="24"/>
          <w:szCs w:val="24"/>
        </w:rPr>
        <w:t>Supervised By</w:t>
      </w:r>
      <w:r w:rsidRPr="00597D22">
        <w:rPr>
          <w:rFonts w:cs="Times New Roman"/>
          <w:bCs/>
          <w:i/>
          <w:sz w:val="24"/>
          <w:szCs w:val="24"/>
        </w:rPr>
        <w:t>: Dr. Victor Hung</w:t>
      </w:r>
    </w:p>
    <w:p w14:paraId="53325A14" w14:textId="77777777" w:rsidR="00597D22" w:rsidRDefault="00597D22" w:rsidP="00597D22">
      <w:pPr>
        <w:spacing w:line="240" w:lineRule="auto"/>
        <w:jc w:val="center"/>
        <w:rPr>
          <w:rFonts w:cs="Times New Roman"/>
          <w:bCs/>
          <w:i/>
          <w:sz w:val="24"/>
          <w:szCs w:val="24"/>
        </w:rPr>
      </w:pPr>
    </w:p>
    <w:p w14:paraId="79FEA4D8" w14:textId="29826C02" w:rsidR="00597D22" w:rsidRPr="00597D22" w:rsidRDefault="00597D22" w:rsidP="00597D22">
      <w:pPr>
        <w:spacing w:line="240" w:lineRule="auto"/>
        <w:jc w:val="center"/>
        <w:rPr>
          <w:rFonts w:cs="Times New Roman"/>
          <w:bCs/>
          <w:i/>
          <w:sz w:val="24"/>
          <w:szCs w:val="24"/>
        </w:rPr>
      </w:pPr>
      <w:r>
        <w:rPr>
          <w:rFonts w:cs="Times New Roman"/>
          <w:bCs/>
          <w:i/>
          <w:sz w:val="24"/>
          <w:szCs w:val="24"/>
        </w:rPr>
        <w:t>25</w:t>
      </w:r>
      <w:r w:rsidRPr="00597D22">
        <w:rPr>
          <w:rFonts w:cs="Times New Roman"/>
          <w:bCs/>
          <w:i/>
          <w:sz w:val="24"/>
          <w:szCs w:val="24"/>
          <w:vertAlign w:val="superscript"/>
        </w:rPr>
        <w:t>th</w:t>
      </w:r>
      <w:r>
        <w:rPr>
          <w:rFonts w:cs="Times New Roman"/>
          <w:bCs/>
          <w:i/>
          <w:sz w:val="24"/>
          <w:szCs w:val="24"/>
        </w:rPr>
        <w:t xml:space="preserve"> April, 2025 </w:t>
      </w:r>
    </w:p>
    <w:p w14:paraId="7233E72B" w14:textId="77777777" w:rsidR="003B09DB" w:rsidRDefault="00771676">
      <w:pPr>
        <w:pStyle w:val="Heading1"/>
      </w:pPr>
      <w:r>
        <w:t>Abstract</w:t>
      </w:r>
    </w:p>
    <w:p w14:paraId="63C933C0" w14:textId="47FB3B2C" w:rsidR="005F14E8" w:rsidRDefault="005F14E8">
      <w:r>
        <w:t xml:space="preserve">The study investigates the trading patterns of Reliance Industries Limited (RIL) across </w:t>
      </w:r>
      <w:r w:rsidR="005F665D">
        <w:t>two</w:t>
      </w:r>
      <w:r>
        <w:t xml:space="preserve"> major venues – Bombay Stock Exchange (BSE)</w:t>
      </w:r>
      <w:r w:rsidR="00C44A57">
        <w:t xml:space="preserve"> </w:t>
      </w:r>
      <w:r>
        <w:t>and London Stock Exchange (LSE). By analyzing 10- minute midpoint returns over a two-month sample (January-February 2025). Through the study I aim to understand the dynamics of cross-border trading and the implications for liquidity and price discovery. The data pipeline consists of: (</w:t>
      </w:r>
      <w:r w:rsidR="00597D22">
        <w:t>I</w:t>
      </w:r>
      <w:r>
        <w:t xml:space="preserve">) mapping each metric onto session-overlap </w:t>
      </w:r>
      <w:r w:rsidR="00597D22">
        <w:t>windows;</w:t>
      </w:r>
      <w:r>
        <w:t xml:space="preserve"> (ii) aligning all price series on a common UTC 10-minute grid;(iii) </w:t>
      </w:r>
      <w:r w:rsidR="00406C40">
        <w:t>market microstructure considerations</w:t>
      </w:r>
      <w:r>
        <w:t xml:space="preserve"> ;(</w:t>
      </w:r>
      <w:r w:rsidR="00597D22">
        <w:t>iv) risk</w:t>
      </w:r>
      <w:r w:rsidR="00406C40">
        <w:t xml:space="preserve"> metrics </w:t>
      </w:r>
      <w:r w:rsidR="00597D22">
        <w:t>development.</w:t>
      </w:r>
      <w:r w:rsidR="001D6EB3">
        <w:t xml:space="preserve"> E</w:t>
      </w:r>
      <w:r>
        <w:t>mpirical results show</w:t>
      </w:r>
      <w:r w:rsidR="00406C40">
        <w:t xml:space="preserve"> significant tail-risk clustering during the overlapping hours of BSE and LSE. This further </w:t>
      </w:r>
      <w:r w:rsidR="00597D22">
        <w:t>highlights</w:t>
      </w:r>
      <w:r w:rsidR="00406C40">
        <w:t xml:space="preserve"> the importance of adjusting to real-time price and liquidity on Reliance’s trading behavior. </w:t>
      </w:r>
    </w:p>
    <w:p w14:paraId="26F2378F" w14:textId="77777777" w:rsidR="003B09DB" w:rsidRDefault="00771676">
      <w:pPr>
        <w:pStyle w:val="Heading1"/>
      </w:pPr>
      <w:r>
        <w:t>Keywords</w:t>
      </w:r>
    </w:p>
    <w:p w14:paraId="354A3860" w14:textId="711E1904" w:rsidR="003B09DB" w:rsidRDefault="00771676">
      <w:r>
        <w:t>Intraday risk; Value at Risk; Sharpe ratio; realized covariance; inverse‑VaR allocation; session overlap; cross‑listed equities</w:t>
      </w:r>
      <w:r w:rsidR="00597D22">
        <w:t xml:space="preserve">; liquidity; statistical analysis </w:t>
      </w:r>
    </w:p>
    <w:p w14:paraId="39DD9501" w14:textId="77777777" w:rsidR="00597D22" w:rsidRDefault="00597D22"/>
    <w:p w14:paraId="0B10F8DD" w14:textId="77777777" w:rsidR="00597D22" w:rsidRDefault="00597D22"/>
    <w:p w14:paraId="0728B08D" w14:textId="77777777" w:rsidR="00597D22" w:rsidRDefault="00597D22"/>
    <w:p w14:paraId="35527B5B" w14:textId="77777777" w:rsidR="00597D22" w:rsidRDefault="00597D22"/>
    <w:p w14:paraId="7B618307" w14:textId="7CCCF43A" w:rsidR="003B09DB" w:rsidRDefault="004E6B7C">
      <w:pPr>
        <w:pStyle w:val="Heading1"/>
      </w:pPr>
      <w:r>
        <w:lastRenderedPageBreak/>
        <w:t>1. Introduction</w:t>
      </w:r>
    </w:p>
    <w:p w14:paraId="3F83FB39" w14:textId="5A384A8C" w:rsidR="00942B72" w:rsidRDefault="001D6EB3">
      <w:r>
        <w:t>Around the clock trading has fundamentally reshaped global equity markets. It has also resulted in extending price discovery well beyond the traditional session hours. One of Asia’s largest conglomerates by market capitalization, Reliance Industries Limited (RIL) is presented by opportunities and challenges by the advent of 24 x 5 trading hours the Bombay Stock Exchange (BSE)</w:t>
      </w:r>
      <w:r w:rsidR="00C44A57">
        <w:t xml:space="preserve"> and</w:t>
      </w:r>
      <w:r>
        <w:t xml:space="preserve"> London Stock </w:t>
      </w:r>
      <w:r w:rsidR="00597D22">
        <w:t>Exchange (</w:t>
      </w:r>
      <w:r>
        <w:t>LSE). With this, the investors gain instant access to liquidity as well as real-time price signals. Additionally, we can also determine how these high-frequency volatility and tail-risk clustering can materialize in micro-windows which would demand in a more robust, sub-hour risk-management tool.</w:t>
      </w:r>
    </w:p>
    <w:p w14:paraId="2C47AB2A" w14:textId="36F2D6BE" w:rsidR="00122220" w:rsidRDefault="00122220" w:rsidP="00122220">
      <w:pPr>
        <w:pStyle w:val="Heading3"/>
        <w:numPr>
          <w:ilvl w:val="1"/>
          <w:numId w:val="14"/>
        </w:numPr>
      </w:pPr>
      <w:r>
        <w:t>Why Reliance Industries Limited?</w:t>
      </w:r>
    </w:p>
    <w:p w14:paraId="17B2CF64" w14:textId="69FBC2A4" w:rsidR="00A35E5B" w:rsidRDefault="00A35E5B" w:rsidP="00122220">
      <w:r>
        <w:t>Reliance Industries Limited</w:t>
      </w:r>
      <w:r w:rsidR="003E216E">
        <w:t>, headquarter in Mumbai, Maharashtra, India</w:t>
      </w:r>
      <w:r>
        <w:t xml:space="preserve"> combines energy, petrochemicals, refining, retail, and telecommunication under one corporate umbrella. </w:t>
      </w:r>
      <w:r w:rsidR="003E216E">
        <w:t xml:space="preserve"> Listed in Fortune 500, RIL is the largest private sector corporation in India. It was founded by Dhirubhai Ambani in 1966 as a polyester firm and was renamed to Reliance Industries on May 8</w:t>
      </w:r>
      <w:r w:rsidR="003E216E" w:rsidRPr="003E216E">
        <w:rPr>
          <w:vertAlign w:val="superscript"/>
        </w:rPr>
        <w:t>th</w:t>
      </w:r>
      <w:r w:rsidR="003E216E">
        <w:t>, 1973. At the moment, Reliance Industries Limited is actively traded on the BSE</w:t>
      </w:r>
      <w:r w:rsidR="00C44A57">
        <w:t xml:space="preserve"> and LSE </w:t>
      </w:r>
      <w:r w:rsidR="003E216E">
        <w:t xml:space="preserve">but under different formats and entities. </w:t>
      </w:r>
    </w:p>
    <w:p w14:paraId="63665962" w14:textId="14B79797" w:rsidR="003E216E" w:rsidRDefault="003E216E" w:rsidP="003E216E">
      <w:pPr>
        <w:pStyle w:val="ListParagraph"/>
        <w:numPr>
          <w:ilvl w:val="0"/>
          <w:numId w:val="15"/>
        </w:numPr>
      </w:pPr>
      <w:r>
        <w:t xml:space="preserve">BSE: Reliance Industries Ltd is listed with the security code 500325 and is actively traded as an equity stock on BSE. It is a part of the BSE Sensex index. </w:t>
      </w:r>
    </w:p>
    <w:p w14:paraId="73BC9588" w14:textId="29A0ACA8" w:rsidR="00C44A57" w:rsidRDefault="00C44A57" w:rsidP="003E216E">
      <w:pPr>
        <w:pStyle w:val="ListParagraph"/>
        <w:numPr>
          <w:ilvl w:val="0"/>
          <w:numId w:val="15"/>
        </w:numPr>
      </w:pPr>
      <w:r>
        <w:t xml:space="preserve">LSE: Reliance Industries Limited’s Global Depositary Receipts (GDRs) are traded on London Stock Exchange under the ticker symbol RIGD. </w:t>
      </w:r>
    </w:p>
    <w:p w14:paraId="1491D2D5" w14:textId="3F3BED80" w:rsidR="004B2FFD" w:rsidRPr="00122220" w:rsidRDefault="004B2FFD" w:rsidP="001634C8">
      <w:pPr>
        <w:ind w:left="360"/>
      </w:pPr>
      <w:r>
        <w:t xml:space="preserve">Reliance Industries Limited makes an ideal prototype for developing and testing intraday risk metrics. By focusing on </w:t>
      </w:r>
      <w:r w:rsidR="005F665D">
        <w:t xml:space="preserve">a </w:t>
      </w:r>
      <w:r>
        <w:t xml:space="preserve">single firm, we can isolate the impact of corporate specific news, that is, broader market noise.  Moreover, RIL’s cross-listings on BSE and LSE allows us to compare how extended trading hours and microstructural differences across rising markets influence high-frequency volatility and price dynamics. </w:t>
      </w:r>
    </w:p>
    <w:p w14:paraId="322C88FA" w14:textId="16D1E1CC" w:rsidR="00122220" w:rsidRDefault="00122220" w:rsidP="00122220">
      <w:pPr>
        <w:pStyle w:val="Heading3"/>
      </w:pPr>
      <w:r>
        <w:t xml:space="preserve">1.2 Market </w:t>
      </w:r>
      <w:r w:rsidR="00597D22">
        <w:t>Context:</w:t>
      </w:r>
      <w:r>
        <w:t xml:space="preserve"> BSE</w:t>
      </w:r>
      <w:r w:rsidR="00C44A57">
        <w:t xml:space="preserve"> and LSE</w:t>
      </w:r>
    </w:p>
    <w:p w14:paraId="51739196" w14:textId="245BD685" w:rsidR="001634C8" w:rsidRPr="009D53F0" w:rsidRDefault="00122220" w:rsidP="001634C8">
      <w:pPr>
        <w:jc w:val="both"/>
        <w:rPr>
          <w:rFonts w:ascii="Times New Roman" w:hAnsi="Times New Roman" w:cs="Times New Roman"/>
          <w:sz w:val="24"/>
          <w:szCs w:val="24"/>
        </w:rPr>
      </w:pPr>
      <w:r>
        <w:t xml:space="preserve">The </w:t>
      </w:r>
      <w:r w:rsidR="004B2FFD">
        <w:t>two</w:t>
      </w:r>
      <w:r>
        <w:t xml:space="preserve"> exchanges have </w:t>
      </w:r>
      <w:r w:rsidR="00597D22">
        <w:t>witnessed notable</w:t>
      </w:r>
      <w:r>
        <w:t xml:space="preserve"> developments since the beginning of 2025.</w:t>
      </w:r>
      <w:r w:rsidR="001634C8">
        <w:t xml:space="preserve"> </w:t>
      </w:r>
      <w:r w:rsidR="001634C8" w:rsidRPr="009D53F0">
        <w:rPr>
          <w:rFonts w:ascii="Times New Roman" w:hAnsi="Times New Roman" w:cs="Times New Roman"/>
          <w:sz w:val="24"/>
          <w:szCs w:val="24"/>
        </w:rPr>
        <w:t xml:space="preserve">The modern global stock market operates as an interconnected 24-hour system, with major exchanges creating a continuous chain of trading across time zones. </w:t>
      </w:r>
    </w:p>
    <w:p w14:paraId="7B0EA368" w14:textId="5717DE4F" w:rsidR="001634C8" w:rsidRPr="005F665D" w:rsidRDefault="001634C8" w:rsidP="001634C8">
      <w:pPr>
        <w:rPr>
          <w:rFonts w:cs="Times New Roman"/>
        </w:rPr>
      </w:pPr>
      <w:r w:rsidRPr="005F665D">
        <w:rPr>
          <w:rFonts w:cs="Times New Roman"/>
          <w:b/>
          <w:bCs/>
        </w:rPr>
        <w:t>The Indian stock exchanges</w:t>
      </w:r>
      <w:r w:rsidRPr="005F665D">
        <w:rPr>
          <w:rFonts w:cs="Times New Roman"/>
        </w:rPr>
        <w:t xml:space="preserve"> hold a place of prominence not only in Asia but also at the global stage. The Bombay Stock Exchange (BSE) is one of the oldest exchanges across the world, while the National Stock Exchange (NSE) is among the best in terms of sophistication and advancement of technology. Since nineties, we </w:t>
      </w:r>
      <w:r w:rsidR="005F665D" w:rsidRPr="005F665D">
        <w:rPr>
          <w:rFonts w:cs="Times New Roman"/>
        </w:rPr>
        <w:t>have seen</w:t>
      </w:r>
      <w:r w:rsidRPr="005F665D">
        <w:rPr>
          <w:rFonts w:cs="Times New Roman"/>
        </w:rPr>
        <w:t xml:space="preserve"> a rapid growth in the Indian stock market.  On 24</w:t>
      </w:r>
      <w:r w:rsidRPr="005F665D">
        <w:rPr>
          <w:rFonts w:cs="Times New Roman"/>
          <w:vertAlign w:val="superscript"/>
        </w:rPr>
        <w:t>th</w:t>
      </w:r>
      <w:r w:rsidRPr="005F665D">
        <w:rPr>
          <w:rFonts w:cs="Times New Roman"/>
        </w:rPr>
        <w:t xml:space="preserve"> January, the Indian Stock Market has pipped Hong Kong, to become the fourth-highest equity market globally, according to Bloomberg.</w:t>
      </w:r>
    </w:p>
    <w:p w14:paraId="38FE39F5" w14:textId="2F81C186" w:rsidR="001634C8" w:rsidRPr="005F665D" w:rsidRDefault="001634C8" w:rsidP="001634C8">
      <w:pPr>
        <w:jc w:val="both"/>
        <w:rPr>
          <w:rFonts w:cs="Times New Roman"/>
          <w:lang w:val="en-IN"/>
        </w:rPr>
      </w:pPr>
      <w:r w:rsidRPr="005F665D">
        <w:rPr>
          <w:rFonts w:cs="Times New Roman"/>
          <w:b/>
          <w:bCs/>
          <w:lang w:val="en-IN"/>
        </w:rPr>
        <w:t>London Stock Exchange (LSE)</w:t>
      </w:r>
      <w:r w:rsidRPr="005F665D">
        <w:rPr>
          <w:rFonts w:cs="Times New Roman"/>
          <w:lang w:val="en-IN"/>
        </w:rPr>
        <w:t xml:space="preserve">: The LSE is one of the oldest and most prestigious stock exchanges in the world. It serves as a hub for international capital flows, attracting companies </w:t>
      </w:r>
      <w:r w:rsidRPr="005F665D">
        <w:rPr>
          <w:rFonts w:cs="Times New Roman"/>
          <w:lang w:val="en-IN"/>
        </w:rPr>
        <w:lastRenderedPageBreak/>
        <w:t>from various sectors and regions. The LSE's global reach enhances its role in price discovery and market integration.</w:t>
      </w:r>
    </w:p>
    <w:p w14:paraId="2E5B507D" w14:textId="0294A1C3" w:rsidR="002945BC" w:rsidRDefault="00122220" w:rsidP="001634C8">
      <w:r>
        <w:t xml:space="preserve"> I believe this heightens the relevance of the study.  Bombay Stock Exchange (BSE), in February 2025, extended its retail-segment trading window by 30 minutes to accommodate growing algorithmic participation</w:t>
      </w:r>
      <w:r w:rsidR="005F665D">
        <w:t xml:space="preserve">. </w:t>
      </w:r>
      <w:r>
        <w:t xml:space="preserve">When we talk about the London Stock Exchange, it has reported that it witnessed a 12% rise in average daily trade count in Q1 (2025) due to trading-venue consolidation and </w:t>
      </w:r>
      <w:r w:rsidR="005F665D">
        <w:t>reduced</w:t>
      </w:r>
      <w:r>
        <w:t xml:space="preserve"> transaction fees. </w:t>
      </w:r>
    </w:p>
    <w:p w14:paraId="3DBE3D52" w14:textId="50F66110" w:rsidR="004B2FFD" w:rsidRPr="004B2FFD" w:rsidRDefault="004B2FFD" w:rsidP="004B2FFD">
      <w:pPr>
        <w:jc w:val="center"/>
        <w:rPr>
          <w:i/>
          <w:iCs/>
        </w:rPr>
      </w:pPr>
      <w:r w:rsidRPr="004B2FFD">
        <w:rPr>
          <w:b/>
          <w:bCs/>
          <w:i/>
          <w:iCs/>
        </w:rPr>
        <w:t>Table 1:</w:t>
      </w:r>
      <w:r w:rsidRPr="004B2FFD">
        <w:rPr>
          <w:i/>
          <w:iCs/>
        </w:rPr>
        <w:t xml:space="preserve"> The key attributes of BSE and LSE </w:t>
      </w:r>
      <w:r w:rsidR="00597D22" w:rsidRPr="004B2FFD">
        <w:rPr>
          <w:i/>
          <w:iCs/>
        </w:rPr>
        <w:t>are:</w:t>
      </w:r>
    </w:p>
    <w:tbl>
      <w:tblPr>
        <w:tblStyle w:val="TableGrid"/>
        <w:tblW w:w="0" w:type="auto"/>
        <w:tblInd w:w="360" w:type="dxa"/>
        <w:tblLook w:val="04A0" w:firstRow="1" w:lastRow="0" w:firstColumn="1" w:lastColumn="0" w:noHBand="0" w:noVBand="1"/>
      </w:tblPr>
      <w:tblGrid>
        <w:gridCol w:w="2034"/>
        <w:gridCol w:w="2071"/>
        <w:gridCol w:w="2086"/>
        <w:gridCol w:w="2079"/>
      </w:tblGrid>
      <w:tr w:rsidR="004B2FFD" w14:paraId="0D30339E" w14:textId="77777777" w:rsidTr="00771676">
        <w:tc>
          <w:tcPr>
            <w:tcW w:w="2214" w:type="dxa"/>
          </w:tcPr>
          <w:p w14:paraId="464349C8" w14:textId="77777777" w:rsidR="004B2FFD" w:rsidRPr="004B2FFD" w:rsidRDefault="004B2FFD" w:rsidP="00771676">
            <w:pPr>
              <w:jc w:val="center"/>
              <w:rPr>
                <w:b/>
                <w:bCs/>
              </w:rPr>
            </w:pPr>
            <w:r w:rsidRPr="004B2FFD">
              <w:rPr>
                <w:b/>
                <w:bCs/>
              </w:rPr>
              <w:t>Exchange</w:t>
            </w:r>
          </w:p>
          <w:p w14:paraId="1E725314" w14:textId="77777777" w:rsidR="004B2FFD" w:rsidRPr="004B2FFD" w:rsidRDefault="004B2FFD" w:rsidP="00771676">
            <w:pPr>
              <w:jc w:val="center"/>
              <w:rPr>
                <w:b/>
                <w:bCs/>
              </w:rPr>
            </w:pPr>
          </w:p>
        </w:tc>
        <w:tc>
          <w:tcPr>
            <w:tcW w:w="2214" w:type="dxa"/>
          </w:tcPr>
          <w:p w14:paraId="22E9DC71" w14:textId="77777777" w:rsidR="004B2FFD" w:rsidRPr="004B2FFD" w:rsidRDefault="004B2FFD" w:rsidP="00771676">
            <w:pPr>
              <w:jc w:val="center"/>
              <w:rPr>
                <w:b/>
                <w:bCs/>
              </w:rPr>
            </w:pPr>
            <w:r w:rsidRPr="004B2FFD">
              <w:rPr>
                <w:b/>
                <w:bCs/>
              </w:rPr>
              <w:t>Established</w:t>
            </w:r>
          </w:p>
        </w:tc>
        <w:tc>
          <w:tcPr>
            <w:tcW w:w="2214" w:type="dxa"/>
          </w:tcPr>
          <w:p w14:paraId="00BA9B0B" w14:textId="69406579" w:rsidR="004B2FFD" w:rsidRPr="004B2FFD" w:rsidRDefault="004B2FFD" w:rsidP="00771676">
            <w:pPr>
              <w:jc w:val="center"/>
              <w:rPr>
                <w:b/>
                <w:bCs/>
              </w:rPr>
            </w:pPr>
            <w:r w:rsidRPr="004B2FFD">
              <w:rPr>
                <w:b/>
                <w:bCs/>
              </w:rPr>
              <w:t xml:space="preserve">Local </w:t>
            </w:r>
            <w:r w:rsidR="00597D22" w:rsidRPr="004B2FFD">
              <w:rPr>
                <w:b/>
                <w:bCs/>
              </w:rPr>
              <w:t>Hours (</w:t>
            </w:r>
            <w:r w:rsidRPr="004B2FFD">
              <w:rPr>
                <w:b/>
                <w:bCs/>
              </w:rPr>
              <w:t>UTC)</w:t>
            </w:r>
          </w:p>
        </w:tc>
        <w:tc>
          <w:tcPr>
            <w:tcW w:w="2214" w:type="dxa"/>
          </w:tcPr>
          <w:p w14:paraId="11DAAD1F" w14:textId="77777777" w:rsidR="004B2FFD" w:rsidRPr="004B2FFD" w:rsidRDefault="004B2FFD" w:rsidP="00771676">
            <w:pPr>
              <w:jc w:val="center"/>
              <w:rPr>
                <w:b/>
                <w:bCs/>
              </w:rPr>
            </w:pPr>
            <w:r w:rsidRPr="004B2FFD">
              <w:rPr>
                <w:b/>
                <w:bCs/>
              </w:rPr>
              <w:t>2025 Highlights</w:t>
            </w:r>
          </w:p>
        </w:tc>
      </w:tr>
      <w:tr w:rsidR="004B2FFD" w14:paraId="369D8AB9" w14:textId="77777777" w:rsidTr="00771676">
        <w:tc>
          <w:tcPr>
            <w:tcW w:w="2214" w:type="dxa"/>
          </w:tcPr>
          <w:p w14:paraId="0D38D99B" w14:textId="77777777" w:rsidR="004B2FFD" w:rsidRDefault="004B2FFD" w:rsidP="00771676">
            <w:r>
              <w:t xml:space="preserve">Bombay Stock Exchange  </w:t>
            </w:r>
          </w:p>
          <w:p w14:paraId="5900B6AF" w14:textId="77777777" w:rsidR="004B2FFD" w:rsidRDefault="004B2FFD" w:rsidP="00771676">
            <w:r>
              <w:t xml:space="preserve">(BSE) </w:t>
            </w:r>
          </w:p>
        </w:tc>
        <w:tc>
          <w:tcPr>
            <w:tcW w:w="2214" w:type="dxa"/>
          </w:tcPr>
          <w:p w14:paraId="0B6D2F95" w14:textId="77777777" w:rsidR="004B2FFD" w:rsidRDefault="004B2FFD" w:rsidP="00771676">
            <w:r>
              <w:t xml:space="preserve">1875 </w:t>
            </w:r>
          </w:p>
        </w:tc>
        <w:tc>
          <w:tcPr>
            <w:tcW w:w="2214" w:type="dxa"/>
          </w:tcPr>
          <w:p w14:paraId="76C71462" w14:textId="77777777" w:rsidR="004B2FFD" w:rsidRDefault="004B2FFD" w:rsidP="00771676">
            <w:r>
              <w:t>09:15-15:30(+5:30)</w:t>
            </w:r>
          </w:p>
        </w:tc>
        <w:tc>
          <w:tcPr>
            <w:tcW w:w="2214" w:type="dxa"/>
          </w:tcPr>
          <w:p w14:paraId="4E65E8B7" w14:textId="77777777" w:rsidR="004B2FFD" w:rsidRDefault="004B2FFD" w:rsidP="00771676">
            <w:r>
              <w:t xml:space="preserve">Retail segment extended by 30 min; rise in algo participation </w:t>
            </w:r>
          </w:p>
        </w:tc>
      </w:tr>
      <w:tr w:rsidR="004B2FFD" w14:paraId="1C4C6369" w14:textId="77777777" w:rsidTr="00771676">
        <w:tc>
          <w:tcPr>
            <w:tcW w:w="2214" w:type="dxa"/>
          </w:tcPr>
          <w:p w14:paraId="54DFB7AB" w14:textId="77777777" w:rsidR="004B2FFD" w:rsidRDefault="004B2FFD" w:rsidP="00771676">
            <w:r>
              <w:t xml:space="preserve">London Stock Exchange (LSE) </w:t>
            </w:r>
          </w:p>
        </w:tc>
        <w:tc>
          <w:tcPr>
            <w:tcW w:w="2214" w:type="dxa"/>
          </w:tcPr>
          <w:p w14:paraId="2595FA82" w14:textId="77777777" w:rsidR="004B2FFD" w:rsidRDefault="004B2FFD" w:rsidP="00771676">
            <w:r>
              <w:t xml:space="preserve">1801 </w:t>
            </w:r>
          </w:p>
        </w:tc>
        <w:tc>
          <w:tcPr>
            <w:tcW w:w="2214" w:type="dxa"/>
          </w:tcPr>
          <w:p w14:paraId="05B80979" w14:textId="77777777" w:rsidR="004B2FFD" w:rsidRDefault="004B2FFD" w:rsidP="00771676">
            <w:r>
              <w:t>08:00-16:30 (0:00)</w:t>
            </w:r>
          </w:p>
        </w:tc>
        <w:tc>
          <w:tcPr>
            <w:tcW w:w="2214" w:type="dxa"/>
          </w:tcPr>
          <w:p w14:paraId="00501BF0" w14:textId="77777777" w:rsidR="004B2FFD" w:rsidRDefault="004B2FFD" w:rsidP="00771676">
            <w:r>
              <w:t xml:space="preserve">12% rise in daily trades after fee cuts </w:t>
            </w:r>
          </w:p>
        </w:tc>
      </w:tr>
    </w:tbl>
    <w:p w14:paraId="676235FE" w14:textId="77777777" w:rsidR="004B2FFD" w:rsidRPr="00122220" w:rsidRDefault="004B2FFD" w:rsidP="00122220"/>
    <w:p w14:paraId="0C6237F2" w14:textId="7E05549D" w:rsidR="00122220" w:rsidRDefault="00122220" w:rsidP="00122220">
      <w:pPr>
        <w:pStyle w:val="Heading3"/>
      </w:pPr>
      <w:r>
        <w:t xml:space="preserve">1.3 Research Questions and Contributions </w:t>
      </w:r>
    </w:p>
    <w:p w14:paraId="4BB4BA47" w14:textId="112AAE47" w:rsidR="008A78FF" w:rsidRDefault="006D0582">
      <w:r>
        <w:t xml:space="preserve">This brings us to the research questions. </w:t>
      </w:r>
      <w:r w:rsidR="004B2FFD">
        <w:t xml:space="preserve">Now, building on the </w:t>
      </w:r>
      <w:r w:rsidR="005F665D">
        <w:t>recent market</w:t>
      </w:r>
      <w:r w:rsidR="004B2FFD">
        <w:t xml:space="preserve"> structure innovations and firm-specific events, two central questions can be posed:</w:t>
      </w:r>
    </w:p>
    <w:p w14:paraId="23CC0FE3" w14:textId="57980A3F" w:rsidR="004B2FFD" w:rsidRDefault="004B2FFD" w:rsidP="004B2FFD">
      <w:pPr>
        <w:pStyle w:val="ListParagraph"/>
        <w:numPr>
          <w:ilvl w:val="0"/>
          <w:numId w:val="16"/>
        </w:numPr>
        <w:rPr>
          <w:i/>
          <w:iCs/>
        </w:rPr>
      </w:pPr>
      <w:r w:rsidRPr="008A78FF">
        <w:rPr>
          <w:i/>
          <w:iCs/>
        </w:rPr>
        <w:t>How did transitioning towards continuous/automatic trading hours impact intraday volatility and price movements of R</w:t>
      </w:r>
      <w:r w:rsidR="008A78FF" w:rsidRPr="008A78FF">
        <w:rPr>
          <w:i/>
          <w:iCs/>
        </w:rPr>
        <w:t>eliance Industries (RIL) stock across BSE and LSE?</w:t>
      </w:r>
    </w:p>
    <w:p w14:paraId="15AC5A94" w14:textId="51C6E12B" w:rsidR="008A78FF" w:rsidRDefault="008A78FF" w:rsidP="008A78FF">
      <w:pPr>
        <w:ind w:left="360"/>
      </w:pPr>
      <w:r>
        <w:t xml:space="preserve">This question explicitly links the trend of extended trading hours with the volatility and price dynamics </w:t>
      </w:r>
      <w:r w:rsidR="005F665D">
        <w:t>observed</w:t>
      </w:r>
      <w:r>
        <w:t xml:space="preserve"> in different markets. I also aimed to explore the relationship between price volatility and swings to trading activities. </w:t>
      </w:r>
    </w:p>
    <w:p w14:paraId="40BFA182" w14:textId="45E381C9" w:rsidR="00122220" w:rsidRPr="008A78FF" w:rsidRDefault="008A78FF" w:rsidP="00122220">
      <w:pPr>
        <w:pStyle w:val="ListParagraph"/>
        <w:numPr>
          <w:ilvl w:val="0"/>
          <w:numId w:val="16"/>
        </w:numPr>
        <w:rPr>
          <w:i/>
          <w:iCs/>
        </w:rPr>
      </w:pPr>
      <w:r w:rsidRPr="008A78FF">
        <w:rPr>
          <w:i/>
          <w:iCs/>
        </w:rPr>
        <w:t xml:space="preserve">Can rolling 10- minute Value at Risk (VaR) </w:t>
      </w:r>
      <w:r w:rsidR="005F665D">
        <w:rPr>
          <w:i/>
          <w:iCs/>
        </w:rPr>
        <w:t>spikes</w:t>
      </w:r>
      <w:r w:rsidRPr="008A78FF">
        <w:rPr>
          <w:i/>
          <w:iCs/>
        </w:rPr>
        <w:t xml:space="preserve"> serve as early warning signals of emerging tail-risk clusters? And how do they align major corporate announcements and macroeconomic news releases</w:t>
      </w:r>
      <w:r>
        <w:rPr>
          <w:i/>
          <w:iCs/>
        </w:rPr>
        <w:t>?</w:t>
      </w:r>
    </w:p>
    <w:p w14:paraId="17C4EB11" w14:textId="76CCD3D4" w:rsidR="003B09DB" w:rsidRDefault="004E6B7C">
      <w:pPr>
        <w:pStyle w:val="Heading1"/>
      </w:pPr>
      <w:r>
        <w:t>2. Literature Review</w:t>
      </w:r>
    </w:p>
    <w:p w14:paraId="2E06A39D" w14:textId="56D73864" w:rsidR="004E6B7C" w:rsidRDefault="004E6B7C" w:rsidP="004E6B7C">
      <w:r>
        <w:t xml:space="preserve">Over the last two decades, we have seen a rising interest of academic and practitioners in continuous trading and high-frequency risk measurements. In this section, I aim to review key strands of research that inform our non-parametric and parametric approaches. </w:t>
      </w:r>
    </w:p>
    <w:p w14:paraId="371EF175" w14:textId="77777777" w:rsidR="00D75553" w:rsidRDefault="00D75553" w:rsidP="004E6B7C"/>
    <w:p w14:paraId="644147A6" w14:textId="77777777" w:rsidR="00D75553" w:rsidRDefault="00D75553" w:rsidP="004E6B7C"/>
    <w:p w14:paraId="77899A82" w14:textId="77777777" w:rsidR="00D75553" w:rsidRDefault="00D75553" w:rsidP="004E6B7C"/>
    <w:p w14:paraId="6D5C0610" w14:textId="3BCE40C2" w:rsidR="00510E20" w:rsidRPr="00510E20" w:rsidRDefault="00510E20" w:rsidP="00510E20">
      <w:pPr>
        <w:jc w:val="center"/>
        <w:rPr>
          <w:i/>
          <w:iCs/>
        </w:rPr>
      </w:pPr>
      <w:r w:rsidRPr="004B2FFD">
        <w:rPr>
          <w:b/>
          <w:bCs/>
          <w:i/>
          <w:iCs/>
        </w:rPr>
        <w:lastRenderedPageBreak/>
        <w:t xml:space="preserve">Table </w:t>
      </w:r>
      <w:r>
        <w:rPr>
          <w:b/>
          <w:bCs/>
          <w:i/>
          <w:iCs/>
        </w:rPr>
        <w:t>2</w:t>
      </w:r>
      <w:r w:rsidRPr="004B2FFD">
        <w:rPr>
          <w:b/>
          <w:bCs/>
          <w:i/>
          <w:iCs/>
        </w:rPr>
        <w:t>:</w:t>
      </w:r>
      <w:r w:rsidRPr="004B2FFD">
        <w:rPr>
          <w:i/>
          <w:iCs/>
        </w:rPr>
        <w:t xml:space="preserve"> </w:t>
      </w:r>
      <w:r>
        <w:rPr>
          <w:i/>
          <w:iCs/>
        </w:rPr>
        <w:t xml:space="preserve">Literature Review </w:t>
      </w:r>
    </w:p>
    <w:tbl>
      <w:tblPr>
        <w:tblStyle w:val="TableGrid"/>
        <w:tblW w:w="0" w:type="auto"/>
        <w:tblLook w:val="04A0" w:firstRow="1" w:lastRow="0" w:firstColumn="1" w:lastColumn="0" w:noHBand="0" w:noVBand="1"/>
      </w:tblPr>
      <w:tblGrid>
        <w:gridCol w:w="2162"/>
        <w:gridCol w:w="2167"/>
        <w:gridCol w:w="2137"/>
        <w:gridCol w:w="2164"/>
      </w:tblGrid>
      <w:tr w:rsidR="00E9720F" w14:paraId="5EAC68C2" w14:textId="77777777" w:rsidTr="00010980">
        <w:tc>
          <w:tcPr>
            <w:tcW w:w="2162" w:type="dxa"/>
          </w:tcPr>
          <w:p w14:paraId="0988D418" w14:textId="403FEA06" w:rsidR="0079006C" w:rsidRDefault="0079006C" w:rsidP="004E6B7C">
            <w:r>
              <w:t xml:space="preserve">Study </w:t>
            </w:r>
          </w:p>
        </w:tc>
        <w:tc>
          <w:tcPr>
            <w:tcW w:w="2167" w:type="dxa"/>
          </w:tcPr>
          <w:p w14:paraId="613D5A9C" w14:textId="5F054E06" w:rsidR="0079006C" w:rsidRDefault="0079006C" w:rsidP="004E6B7C"/>
        </w:tc>
        <w:tc>
          <w:tcPr>
            <w:tcW w:w="2137" w:type="dxa"/>
          </w:tcPr>
          <w:p w14:paraId="09C9EDDD" w14:textId="63B69FB8" w:rsidR="0079006C" w:rsidRDefault="009E1BF9" w:rsidP="004E6B7C">
            <w:r>
              <w:t xml:space="preserve">Insights </w:t>
            </w:r>
            <w:r w:rsidR="0079006C">
              <w:t xml:space="preserve"> </w:t>
            </w:r>
          </w:p>
        </w:tc>
        <w:tc>
          <w:tcPr>
            <w:tcW w:w="2164" w:type="dxa"/>
          </w:tcPr>
          <w:p w14:paraId="22B6ECF0" w14:textId="3A7700D1" w:rsidR="0079006C" w:rsidRDefault="0079006C" w:rsidP="004E6B7C">
            <w:r>
              <w:t xml:space="preserve">Main Findings </w:t>
            </w:r>
          </w:p>
        </w:tc>
      </w:tr>
      <w:tr w:rsidR="00E9720F" w14:paraId="7B1729C4" w14:textId="77777777" w:rsidTr="00010980">
        <w:tc>
          <w:tcPr>
            <w:tcW w:w="2162" w:type="dxa"/>
          </w:tcPr>
          <w:p w14:paraId="48378F42" w14:textId="1674057A" w:rsidR="00E3642C" w:rsidRPr="00E3642C" w:rsidRDefault="00E3642C" w:rsidP="0017245C">
            <w:pPr>
              <w:rPr>
                <w:lang w:val="en-IN"/>
              </w:rPr>
            </w:pPr>
            <w:r w:rsidRPr="00E3642C">
              <w:rPr>
                <w:lang w:val="en-IN"/>
              </w:rPr>
              <w:t>Market microstructure: A survey of micro foundations, empirical results, and policy implications</w:t>
            </w:r>
          </w:p>
          <w:p w14:paraId="173BD5D0" w14:textId="7D9E319D" w:rsidR="0079006C" w:rsidRDefault="0079006C" w:rsidP="0017245C"/>
        </w:tc>
        <w:tc>
          <w:tcPr>
            <w:tcW w:w="2167" w:type="dxa"/>
          </w:tcPr>
          <w:p w14:paraId="6D863F49" w14:textId="7B466D32" w:rsidR="0079006C" w:rsidRDefault="009E1BF9" w:rsidP="0017245C">
            <w:r>
              <w:t>Biais, Glosten and Spatt</w:t>
            </w:r>
            <w:r w:rsidR="00E3642C">
              <w:t xml:space="preserve"> (2005)</w:t>
            </w:r>
          </w:p>
        </w:tc>
        <w:tc>
          <w:tcPr>
            <w:tcW w:w="2137" w:type="dxa"/>
          </w:tcPr>
          <w:p w14:paraId="5236D299" w14:textId="55B65FB8" w:rsidR="0079006C" w:rsidRDefault="00E3642C" w:rsidP="0017245C">
            <w:r>
              <w:t>Continuous</w:t>
            </w:r>
            <w:r w:rsidR="009E1BF9">
              <w:t xml:space="preserve"> trading can improve price discovery when frictions (inventory costs, adverse selection </w:t>
            </w:r>
            <w:r w:rsidR="00E9720F">
              <w:t>are managed</w:t>
            </w:r>
            <w:r w:rsidR="009E1BF9">
              <w:t xml:space="preserve">. </w:t>
            </w:r>
          </w:p>
        </w:tc>
        <w:tc>
          <w:tcPr>
            <w:tcW w:w="2164" w:type="dxa"/>
          </w:tcPr>
          <w:p w14:paraId="1C3A13D2" w14:textId="772F9177" w:rsidR="0079006C" w:rsidRDefault="00E3642C" w:rsidP="0017245C">
            <w:r>
              <w:t xml:space="preserve">Theoretical survey synthesizing microstructure models with empirical evidence from multiple exchanges. </w:t>
            </w:r>
          </w:p>
        </w:tc>
      </w:tr>
      <w:tr w:rsidR="00E9720F" w14:paraId="1EA6D0F1" w14:textId="77777777" w:rsidTr="00010980">
        <w:tc>
          <w:tcPr>
            <w:tcW w:w="2162" w:type="dxa"/>
          </w:tcPr>
          <w:p w14:paraId="42AA332C" w14:textId="73FEBB6A" w:rsidR="0079006C" w:rsidRDefault="00E3642C" w:rsidP="0017245C">
            <w:r>
              <w:t xml:space="preserve">Market Microstructure and Market Liquidity </w:t>
            </w:r>
          </w:p>
        </w:tc>
        <w:tc>
          <w:tcPr>
            <w:tcW w:w="2167" w:type="dxa"/>
          </w:tcPr>
          <w:p w14:paraId="1679F947" w14:textId="566EC290" w:rsidR="0079006C" w:rsidRDefault="00E3642C" w:rsidP="0017245C">
            <w:r w:rsidRPr="00E3642C">
              <w:t>Muranaga, J., &amp; Shimizu, T. (2023)</w:t>
            </w:r>
          </w:p>
        </w:tc>
        <w:tc>
          <w:tcPr>
            <w:tcW w:w="2137" w:type="dxa"/>
          </w:tcPr>
          <w:p w14:paraId="605CC78C" w14:textId="004F1C36" w:rsidR="0079006C" w:rsidRDefault="00E9720F" w:rsidP="0017245C">
            <w:r>
              <w:t xml:space="preserve">High Liquidity reduces price uncertainties and improves price discovery; electronic trading and information disclosure impacts liquidity </w:t>
            </w:r>
          </w:p>
        </w:tc>
        <w:tc>
          <w:tcPr>
            <w:tcW w:w="2164" w:type="dxa"/>
          </w:tcPr>
          <w:p w14:paraId="62602CE2" w14:textId="3C4C12ED" w:rsidR="0079006C" w:rsidRDefault="00E9720F" w:rsidP="0017245C">
            <w:r>
              <w:t xml:space="preserve">The authors constructures a simulation model of a continuous auction market trading hypothetical assets to provide insights into mechanisms behind liquidity and price stability. </w:t>
            </w:r>
          </w:p>
        </w:tc>
      </w:tr>
      <w:tr w:rsidR="00E9720F" w14:paraId="1CF3E806" w14:textId="77777777" w:rsidTr="00010980">
        <w:tc>
          <w:tcPr>
            <w:tcW w:w="2162" w:type="dxa"/>
          </w:tcPr>
          <w:p w14:paraId="00AA642D" w14:textId="5E816655" w:rsidR="0079006C" w:rsidRDefault="00E9720F" w:rsidP="0017245C">
            <w:r>
              <w:t xml:space="preserve">Liquidity and Market Efficiency </w:t>
            </w:r>
          </w:p>
        </w:tc>
        <w:tc>
          <w:tcPr>
            <w:tcW w:w="2167" w:type="dxa"/>
          </w:tcPr>
          <w:p w14:paraId="23D1D5C9" w14:textId="5C2326F4" w:rsidR="0079006C" w:rsidRDefault="00E9720F" w:rsidP="0017245C">
            <w:r w:rsidRPr="00E9720F">
              <w:t>Chordia, T., Roll, R. W., &amp; Subrahmanyam, A. (2007).</w:t>
            </w:r>
          </w:p>
        </w:tc>
        <w:tc>
          <w:tcPr>
            <w:tcW w:w="2137" w:type="dxa"/>
          </w:tcPr>
          <w:p w14:paraId="440345C7" w14:textId="668A03C8" w:rsidR="0079006C" w:rsidRDefault="00E9720F" w:rsidP="0017245C">
            <w:r>
              <w:t>Market Liquidity positively impacts market efficiency, the open-close/close-open return variance ratios increased with a decrease in tick price.</w:t>
            </w:r>
          </w:p>
        </w:tc>
        <w:tc>
          <w:tcPr>
            <w:tcW w:w="2164" w:type="dxa"/>
          </w:tcPr>
          <w:p w14:paraId="4C98CCC1" w14:textId="74AAC8C7" w:rsidR="0079006C" w:rsidRDefault="00B82498" w:rsidP="0017245C">
            <w:r>
              <w:t xml:space="preserve">Daily and intraday NYSE data analysis (1993-2002); vector autoregressions of returns and order imbalances; transactional cost analysis across different trading conditions. </w:t>
            </w:r>
          </w:p>
        </w:tc>
      </w:tr>
      <w:tr w:rsidR="00E9720F" w14:paraId="35467F51" w14:textId="77777777" w:rsidTr="00010980">
        <w:tc>
          <w:tcPr>
            <w:tcW w:w="2162" w:type="dxa"/>
          </w:tcPr>
          <w:p w14:paraId="5418F4D6" w14:textId="6ECC1F36" w:rsidR="0079006C" w:rsidRDefault="00B82498" w:rsidP="0017245C">
            <w:r>
              <w:t xml:space="preserve">On the effects of continuous trading. </w:t>
            </w:r>
          </w:p>
        </w:tc>
        <w:tc>
          <w:tcPr>
            <w:tcW w:w="2167" w:type="dxa"/>
          </w:tcPr>
          <w:p w14:paraId="5C759A98" w14:textId="68829260" w:rsidR="0079006C" w:rsidRDefault="00B82498" w:rsidP="0017245C">
            <w:r w:rsidRPr="00B82498">
              <w:t>Indriawan, I., Gascó, R. P., &amp; Shkilko, A. (2020).</w:t>
            </w:r>
          </w:p>
        </w:tc>
        <w:tc>
          <w:tcPr>
            <w:tcW w:w="2137" w:type="dxa"/>
          </w:tcPr>
          <w:p w14:paraId="26B8A5CB" w14:textId="7E4CF181" w:rsidR="0079006C" w:rsidRDefault="00B82498" w:rsidP="0017245C">
            <w:r>
              <w:t xml:space="preserve">Focused on adverse selection and trading costs shifting from auctions to continuous trading led to increase in adverse selection’ hence, released spreads decrease; cross-sectional variation is witnessed. </w:t>
            </w:r>
          </w:p>
        </w:tc>
        <w:tc>
          <w:tcPr>
            <w:tcW w:w="2164" w:type="dxa"/>
          </w:tcPr>
          <w:p w14:paraId="14BD17CB" w14:textId="7A101839" w:rsidR="0079006C" w:rsidRDefault="00B82498" w:rsidP="0017245C">
            <w:r>
              <w:t>S</w:t>
            </w:r>
            <w:r w:rsidR="00010980">
              <w:t xml:space="preserve">ample data is collected from 100 Taiwan Stock Exchange stocks </w:t>
            </w:r>
            <w:r w:rsidR="00597D22">
              <w:t>(9</w:t>
            </w:r>
            <w:r w:rsidR="00010980">
              <w:t xml:space="preserve"> months</w:t>
            </w:r>
            <w:r w:rsidR="00597D22">
              <w:t>);</w:t>
            </w:r>
            <w:r w:rsidR="00010980">
              <w:t xml:space="preserve"> DID framework is used. Data included trading volumes share prices and was matched with a sample of Hong Kong Stocks for comparative analysis.</w:t>
            </w:r>
          </w:p>
        </w:tc>
      </w:tr>
    </w:tbl>
    <w:p w14:paraId="199D8774" w14:textId="1C6D804A" w:rsidR="0079006C" w:rsidRDefault="0079006C" w:rsidP="004E6B7C"/>
    <w:p w14:paraId="20C6AA88" w14:textId="2C3D1BEF" w:rsidR="003056C8" w:rsidRDefault="003056C8" w:rsidP="004E6B7C">
      <w:r>
        <w:t xml:space="preserve">The above studies in the table collectively demonstrate the following: </w:t>
      </w:r>
    </w:p>
    <w:p w14:paraId="00B0B808" w14:textId="2A928085" w:rsidR="00010980" w:rsidRDefault="0017245C" w:rsidP="00010980">
      <w:pPr>
        <w:pStyle w:val="ListParagraph"/>
        <w:numPr>
          <w:ilvl w:val="0"/>
          <w:numId w:val="17"/>
        </w:numPr>
      </w:pPr>
      <w:r>
        <w:lastRenderedPageBreak/>
        <w:t>Trading frictions can be cut due to continuous trading and overlapping sessions, only if markets offer enough transparency and liquidity.</w:t>
      </w:r>
    </w:p>
    <w:p w14:paraId="64DC6A1F" w14:textId="0BDB6858" w:rsidR="0017245C" w:rsidRDefault="0017245C" w:rsidP="00010980">
      <w:pPr>
        <w:pStyle w:val="ListParagraph"/>
        <w:numPr>
          <w:ilvl w:val="0"/>
          <w:numId w:val="17"/>
        </w:numPr>
      </w:pPr>
      <w:r>
        <w:t xml:space="preserve">High frequency studies, such as, session-overlap regressions, panel models) find liquidity surges and when exchanges run concurrently, it narrows </w:t>
      </w:r>
      <w:r w:rsidR="005F665D">
        <w:t xml:space="preserve">the </w:t>
      </w:r>
      <w:r>
        <w:t xml:space="preserve">spread, suggesting LSE and BSE’s overlapping </w:t>
      </w:r>
      <w:r w:rsidR="00597D22">
        <w:t>hours should</w:t>
      </w:r>
      <w:r>
        <w:t xml:space="preserve"> exhibit the same. </w:t>
      </w:r>
    </w:p>
    <w:p w14:paraId="1D976576" w14:textId="63FE541F" w:rsidR="0017245C" w:rsidRDefault="0017245C" w:rsidP="00010980">
      <w:pPr>
        <w:pStyle w:val="ListParagraph"/>
        <w:numPr>
          <w:ilvl w:val="0"/>
          <w:numId w:val="17"/>
        </w:numPr>
      </w:pPr>
      <w:r>
        <w:t xml:space="preserve">Next, moving onto a true 24 x 5 market </w:t>
      </w:r>
      <w:r w:rsidR="00597D22">
        <w:t>(such</w:t>
      </w:r>
      <w:r>
        <w:t xml:space="preserve"> as the proposed </w:t>
      </w:r>
      <w:r w:rsidR="00597D22">
        <w:t>“24</w:t>
      </w:r>
      <w:r>
        <w:t xml:space="preserve"> Exchange”) leads to a promise </w:t>
      </w:r>
      <w:r w:rsidR="005F665D">
        <w:t>of</w:t>
      </w:r>
      <w:r>
        <w:t xml:space="preserve"> further efficiency gains. However, this also results in hurdles such as: real-time data syncing, risk frameworks and even cross-jurisdiction regulation. </w:t>
      </w:r>
    </w:p>
    <w:p w14:paraId="395875A4" w14:textId="1DD3F4CF" w:rsidR="0017245C" w:rsidRDefault="0017245C" w:rsidP="0017245C">
      <w:r>
        <w:t xml:space="preserve">With this, it finally sets the stage for the analysis: </w:t>
      </w:r>
    </w:p>
    <w:p w14:paraId="6D1D4588" w14:textId="1E2EEAD2" w:rsidR="0017245C" w:rsidRDefault="0017245C" w:rsidP="0017245C">
      <w:pPr>
        <w:pStyle w:val="ListParagraph"/>
        <w:numPr>
          <w:ilvl w:val="1"/>
          <w:numId w:val="17"/>
        </w:numPr>
      </w:pPr>
      <w:r>
        <w:t xml:space="preserve">Computing 10-minute realized volatility for RIL, </w:t>
      </w:r>
      <w:r w:rsidR="005F665D">
        <w:t>filtering</w:t>
      </w:r>
      <w:r>
        <w:t xml:space="preserve"> out the jumps to isolate the routine noise from extreme moves. </w:t>
      </w:r>
    </w:p>
    <w:p w14:paraId="3796F40D" w14:textId="53EBA1DB" w:rsidR="0017245C" w:rsidRDefault="0017245C" w:rsidP="0017245C">
      <w:pPr>
        <w:pStyle w:val="ListParagraph"/>
        <w:numPr>
          <w:ilvl w:val="1"/>
          <w:numId w:val="17"/>
        </w:numPr>
      </w:pPr>
      <w:r>
        <w:t xml:space="preserve">To examine how the trading volumes and price-risk co-evolve through each exchange’s session. This would spotlight </w:t>
      </w:r>
      <w:r w:rsidR="005F665D">
        <w:t>overlapping</w:t>
      </w:r>
      <w:r>
        <w:t xml:space="preserve"> windows. </w:t>
      </w:r>
    </w:p>
    <w:p w14:paraId="0180C9FB" w14:textId="7FF44DE6" w:rsidR="004E6B7C" w:rsidRPr="004E6B7C" w:rsidRDefault="0017245C" w:rsidP="004E6B7C">
      <w:pPr>
        <w:pStyle w:val="ListParagraph"/>
        <w:numPr>
          <w:ilvl w:val="1"/>
          <w:numId w:val="17"/>
        </w:numPr>
      </w:pPr>
      <w:r>
        <w:t xml:space="preserve">To apply </w:t>
      </w:r>
      <w:r w:rsidR="005F665D">
        <w:t>rolling-quantile</w:t>
      </w:r>
      <w:r>
        <w:t xml:space="preserve"> </w:t>
      </w:r>
      <w:r w:rsidR="00597D22">
        <w:t>Var</w:t>
      </w:r>
      <w:r>
        <w:t xml:space="preserve"> to point out tail-risk clusters that are emerging in real time. Also, to </w:t>
      </w:r>
      <w:r w:rsidR="005F665D">
        <w:t>assess</w:t>
      </w:r>
      <w:r>
        <w:t xml:space="preserve"> </w:t>
      </w:r>
      <w:r w:rsidR="005F665D">
        <w:t>whether</w:t>
      </w:r>
      <w:r>
        <w:t xml:space="preserve"> overlap dynamics amplify or dampen them. </w:t>
      </w:r>
    </w:p>
    <w:p w14:paraId="2E62C867" w14:textId="09465017" w:rsidR="003B09DB" w:rsidRDefault="00D75553" w:rsidP="00D75553">
      <w:pPr>
        <w:pStyle w:val="Heading1"/>
      </w:pPr>
      <w:r>
        <w:t>3.</w:t>
      </w:r>
      <w:r w:rsidR="00771676">
        <w:t>Data</w:t>
      </w:r>
      <w:r w:rsidR="00C35E73">
        <w:t xml:space="preserve"> Analysis </w:t>
      </w:r>
    </w:p>
    <w:p w14:paraId="1260F833" w14:textId="52B95DA7" w:rsidR="001634C8" w:rsidRDefault="001634C8" w:rsidP="001634C8">
      <w:pPr>
        <w:rPr>
          <w:color w:val="0D0D0D" w:themeColor="text1" w:themeTint="F2"/>
        </w:rPr>
      </w:pPr>
      <w:r>
        <w:t xml:space="preserve">The study aims to understand the valuable groundwork by documenting volatility measures and session comparisons. </w:t>
      </w:r>
      <w:r w:rsidRPr="006D0582">
        <w:rPr>
          <w:color w:val="548DD4" w:themeColor="text2" w:themeTint="99"/>
        </w:rPr>
        <w:t xml:space="preserve">It is important to note that greater precision is required by the risk managers and automated controllers with the continuous trading being entrenched. </w:t>
      </w:r>
      <w:r>
        <w:rPr>
          <w:color w:val="0D0D0D" w:themeColor="text1" w:themeTint="F2"/>
        </w:rPr>
        <w:t xml:space="preserve">The paper refocuses the framework of a 10-minute midpoint returns on BSE and LSE over a two-month sample (January-February,2025) by integrating </w:t>
      </w:r>
      <w:r w:rsidR="005F665D">
        <w:rPr>
          <w:color w:val="0D0D0D" w:themeColor="text1" w:themeTint="F2"/>
        </w:rPr>
        <w:t xml:space="preserve">two </w:t>
      </w:r>
      <w:r w:rsidR="00990E3B">
        <w:rPr>
          <w:color w:val="0D0D0D" w:themeColor="text1" w:themeTint="F2"/>
        </w:rPr>
        <w:t>analyzing factors</w:t>
      </w:r>
      <w:r>
        <w:rPr>
          <w:color w:val="0D0D0D" w:themeColor="text1" w:themeTint="F2"/>
        </w:rPr>
        <w:t xml:space="preserve">: </w:t>
      </w:r>
    </w:p>
    <w:p w14:paraId="2D1E825D" w14:textId="11500CC9" w:rsidR="001634C8" w:rsidRDefault="001634C8" w:rsidP="001634C8">
      <w:pPr>
        <w:pStyle w:val="ListParagraph"/>
        <w:numPr>
          <w:ilvl w:val="0"/>
          <w:numId w:val="12"/>
        </w:numPr>
        <w:rPr>
          <w:color w:val="0D0D0D" w:themeColor="text1" w:themeTint="F2"/>
        </w:rPr>
      </w:pPr>
      <w:r>
        <w:rPr>
          <w:color w:val="0D0D0D" w:themeColor="text1" w:themeTint="F2"/>
        </w:rPr>
        <w:t xml:space="preserve"> </w:t>
      </w:r>
      <w:r w:rsidR="005F665D">
        <w:rPr>
          <w:color w:val="0D0D0D" w:themeColor="text1" w:themeTint="F2"/>
        </w:rPr>
        <w:t xml:space="preserve">Market Microstructure considerations  </w:t>
      </w:r>
    </w:p>
    <w:p w14:paraId="5A8D91DF" w14:textId="23717278" w:rsidR="001634C8" w:rsidRPr="005F665D" w:rsidRDefault="001634C8" w:rsidP="005F665D">
      <w:pPr>
        <w:pStyle w:val="ListParagraph"/>
        <w:numPr>
          <w:ilvl w:val="0"/>
          <w:numId w:val="12"/>
        </w:numPr>
        <w:rPr>
          <w:color w:val="0D0D0D" w:themeColor="text1" w:themeTint="F2"/>
        </w:rPr>
      </w:pPr>
      <w:r>
        <w:rPr>
          <w:color w:val="0D0D0D" w:themeColor="text1" w:themeTint="F2"/>
        </w:rPr>
        <w:t xml:space="preserve">  </w:t>
      </w:r>
      <w:r w:rsidR="005F665D">
        <w:rPr>
          <w:color w:val="0D0D0D" w:themeColor="text1" w:themeTint="F2"/>
        </w:rPr>
        <w:t xml:space="preserve">Risk Metrics Developments </w:t>
      </w:r>
    </w:p>
    <w:p w14:paraId="20AFC68E" w14:textId="524127FB" w:rsidR="001634C8" w:rsidRPr="001634C8" w:rsidRDefault="001634C8" w:rsidP="001634C8">
      <w:r>
        <w:t xml:space="preserve">All timestamps have been anchored to UTC and the data was aligned to 10-minute grid. With this, I have aimed to preserve intraday structure while accommodating each exchange’s unique trading schedule. In order to ensure data integrity, missing intervals (&lt; 4 per day) are forward-filled to maintain continuity and days with excessive gaps are dropped. The resulting panel, comprised of roughly 6,900 observations per market. This provided ample granularity to detect the microstructural risk patterns. </w:t>
      </w:r>
    </w:p>
    <w:p w14:paraId="1F1DE1D6" w14:textId="27F2F1D1" w:rsidR="00C35E73" w:rsidRDefault="00C35E73" w:rsidP="00C35E73">
      <w:pPr>
        <w:pStyle w:val="Heading2"/>
        <w:numPr>
          <w:ilvl w:val="1"/>
          <w:numId w:val="14"/>
        </w:numPr>
      </w:pPr>
      <w:r>
        <w:t xml:space="preserve">Data Preparation and Feature Engineering </w:t>
      </w:r>
    </w:p>
    <w:p w14:paraId="77523AAF" w14:textId="622703F3" w:rsidR="00510E20" w:rsidRDefault="00C35E73" w:rsidP="00C35E73">
      <w:r>
        <w:t>The intraday market data was obtained from Bloomberg Terminal, comprising of two sheets- BSE and LSE- each containing time-stamped observations of Open, High, Low, Close prices, simple moving averages (5-, 10-,15- period) and traded volume. The data ranges from January 28</w:t>
      </w:r>
      <w:r w:rsidRPr="00C35E73">
        <w:rPr>
          <w:vertAlign w:val="superscript"/>
        </w:rPr>
        <w:t>th</w:t>
      </w:r>
      <w:r>
        <w:t>, 2025- March 11</w:t>
      </w:r>
      <w:r w:rsidRPr="00C35E73">
        <w:rPr>
          <w:vertAlign w:val="superscript"/>
        </w:rPr>
        <w:t>th</w:t>
      </w:r>
      <w:r>
        <w:t xml:space="preserve">, 2025.  During the data preparation phase, I applied the following cleaning pipeline: timestamp columns were converted to data frames, coerces all price and volume fields to numeric and removed any exact duplicate rows. </w:t>
      </w:r>
    </w:p>
    <w:p w14:paraId="419DD640" w14:textId="77777777" w:rsidR="005F665D" w:rsidRDefault="005F665D" w:rsidP="00C35E73"/>
    <w:p w14:paraId="2C2D155E" w14:textId="49C855B5" w:rsidR="00510E20" w:rsidRPr="00510E20" w:rsidRDefault="00510E20" w:rsidP="00510E20">
      <w:pPr>
        <w:jc w:val="center"/>
        <w:rPr>
          <w:i/>
          <w:iCs/>
        </w:rPr>
      </w:pPr>
      <w:r w:rsidRPr="004B2FFD">
        <w:rPr>
          <w:b/>
          <w:bCs/>
          <w:i/>
          <w:iCs/>
        </w:rPr>
        <w:t xml:space="preserve">Table </w:t>
      </w:r>
      <w:r w:rsidR="00990E3B">
        <w:rPr>
          <w:b/>
          <w:bCs/>
          <w:i/>
          <w:iCs/>
        </w:rPr>
        <w:t>3:</w:t>
      </w:r>
      <w:r w:rsidRPr="004B2FFD">
        <w:rPr>
          <w:i/>
          <w:iCs/>
        </w:rPr>
        <w:t xml:space="preserve"> </w:t>
      </w:r>
      <w:r>
        <w:rPr>
          <w:i/>
          <w:iCs/>
        </w:rPr>
        <w:t xml:space="preserve">Dataset and Missing Values </w:t>
      </w:r>
    </w:p>
    <w:tbl>
      <w:tblPr>
        <w:tblStyle w:val="TableGrid"/>
        <w:tblW w:w="0" w:type="auto"/>
        <w:tblLook w:val="04A0" w:firstRow="1" w:lastRow="0" w:firstColumn="1" w:lastColumn="0" w:noHBand="0" w:noVBand="1"/>
      </w:tblPr>
      <w:tblGrid>
        <w:gridCol w:w="2876"/>
        <w:gridCol w:w="2877"/>
        <w:gridCol w:w="2877"/>
      </w:tblGrid>
      <w:tr w:rsidR="00510E20" w14:paraId="2A4E1192" w14:textId="77777777" w:rsidTr="00510E20">
        <w:tc>
          <w:tcPr>
            <w:tcW w:w="2876" w:type="dxa"/>
          </w:tcPr>
          <w:p w14:paraId="14CD4129" w14:textId="1B08F4EE" w:rsidR="00510E20" w:rsidRDefault="00510E20" w:rsidP="00C35E73">
            <w:r>
              <w:t xml:space="preserve">Exchange </w:t>
            </w:r>
          </w:p>
        </w:tc>
        <w:tc>
          <w:tcPr>
            <w:tcW w:w="2877" w:type="dxa"/>
          </w:tcPr>
          <w:p w14:paraId="21498C9A" w14:textId="37ED0321" w:rsidR="00510E20" w:rsidRDefault="00510E20" w:rsidP="00C35E73">
            <w:r>
              <w:t xml:space="preserve">Observations </w:t>
            </w:r>
          </w:p>
        </w:tc>
        <w:tc>
          <w:tcPr>
            <w:tcW w:w="2877" w:type="dxa"/>
          </w:tcPr>
          <w:p w14:paraId="1DA3A718" w14:textId="51F58616" w:rsidR="00510E20" w:rsidRDefault="00510E20" w:rsidP="00C35E73">
            <w:r>
              <w:t xml:space="preserve">Leading </w:t>
            </w:r>
            <w:r w:rsidR="00597D22">
              <w:t>Nas (</w:t>
            </w:r>
            <w:r>
              <w:t xml:space="preserve">5-period SMAVG) </w:t>
            </w:r>
          </w:p>
        </w:tc>
      </w:tr>
      <w:tr w:rsidR="00510E20" w14:paraId="54D85E67" w14:textId="77777777" w:rsidTr="00510E20">
        <w:tc>
          <w:tcPr>
            <w:tcW w:w="2876" w:type="dxa"/>
          </w:tcPr>
          <w:p w14:paraId="1004DD51" w14:textId="2DA45DBE" w:rsidR="00510E20" w:rsidRDefault="00510E20" w:rsidP="00C35E73">
            <w:r>
              <w:t xml:space="preserve">BSE </w:t>
            </w:r>
          </w:p>
        </w:tc>
        <w:tc>
          <w:tcPr>
            <w:tcW w:w="2877" w:type="dxa"/>
          </w:tcPr>
          <w:p w14:paraId="25AB26A6" w14:textId="430FDBB8" w:rsidR="00510E20" w:rsidRDefault="00510E20" w:rsidP="00C35E73">
            <w:r>
              <w:t xml:space="preserve">1230 </w:t>
            </w:r>
          </w:p>
        </w:tc>
        <w:tc>
          <w:tcPr>
            <w:tcW w:w="2877" w:type="dxa"/>
          </w:tcPr>
          <w:p w14:paraId="31F666F4" w14:textId="3B536AFC" w:rsidR="00510E20" w:rsidRDefault="00510E20" w:rsidP="00C35E73">
            <w:r>
              <w:t xml:space="preserve">4 </w:t>
            </w:r>
          </w:p>
        </w:tc>
      </w:tr>
      <w:tr w:rsidR="00510E20" w14:paraId="4FC363B4" w14:textId="77777777" w:rsidTr="00510E20">
        <w:tc>
          <w:tcPr>
            <w:tcW w:w="2876" w:type="dxa"/>
          </w:tcPr>
          <w:p w14:paraId="0BAA855D" w14:textId="142A50FB" w:rsidR="00510E20" w:rsidRDefault="00510E20" w:rsidP="00C35E73">
            <w:r>
              <w:t xml:space="preserve">LSE </w:t>
            </w:r>
          </w:p>
        </w:tc>
        <w:tc>
          <w:tcPr>
            <w:tcW w:w="2877" w:type="dxa"/>
          </w:tcPr>
          <w:p w14:paraId="27CB0280" w14:textId="34DA6139" w:rsidR="00510E20" w:rsidRDefault="00510E20" w:rsidP="00C35E73">
            <w:r>
              <w:t xml:space="preserve">986 </w:t>
            </w:r>
          </w:p>
        </w:tc>
        <w:tc>
          <w:tcPr>
            <w:tcW w:w="2877" w:type="dxa"/>
          </w:tcPr>
          <w:p w14:paraId="322BA771" w14:textId="37FD3C15" w:rsidR="00510E20" w:rsidRDefault="00510E20" w:rsidP="00C35E73">
            <w:r>
              <w:t xml:space="preserve">4 </w:t>
            </w:r>
          </w:p>
        </w:tc>
      </w:tr>
    </w:tbl>
    <w:p w14:paraId="068E7B76" w14:textId="77777777" w:rsidR="00510E20" w:rsidRDefault="00510E20" w:rsidP="00510E20"/>
    <w:p w14:paraId="00614057" w14:textId="1411B662" w:rsidR="00C35E73" w:rsidRDefault="00C35E73" w:rsidP="00510E20">
      <w:r>
        <w:t xml:space="preserve">Post data cleaning, I moved onto the feature- engineering step, where I derived two core microstructure variables on each cleaned feed: </w:t>
      </w:r>
    </w:p>
    <w:p w14:paraId="56D77460" w14:textId="5F85B8EF" w:rsidR="00C35E73" w:rsidRPr="00510E20" w:rsidRDefault="00C35E73" w:rsidP="00C35E73">
      <w:pPr>
        <w:pStyle w:val="ListParagraph"/>
        <w:numPr>
          <w:ilvl w:val="0"/>
          <w:numId w:val="21"/>
        </w:numPr>
      </w:pPr>
      <w:r>
        <w:t xml:space="preserve">Continuous compounded (log) returns:  </w:t>
      </w:r>
      <m:oMath>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t</m:t>
            </m:r>
          </m:sub>
        </m:sSub>
        <m:r>
          <w:rPr>
            <w:rFonts w:ascii="Cambria Math" w:hAnsi="Cambria Math"/>
            <w:vertAlign w:val="superscript"/>
          </w:rPr>
          <m:t>=In</m:t>
        </m:r>
        <m:d>
          <m:dPr>
            <m:ctrlPr>
              <w:rPr>
                <w:rFonts w:ascii="Cambria Math" w:hAnsi="Cambria Math"/>
                <w:i/>
                <w:vertAlign w:val="superscript"/>
              </w:rPr>
            </m:ctrlPr>
          </m:dPr>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t</m:t>
                    </m:r>
                  </m:sub>
                </m:sSub>
              </m:num>
              <m:den>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t-1</m:t>
                    </m:r>
                  </m:sub>
                </m:sSub>
              </m:den>
            </m:f>
          </m:e>
        </m:d>
      </m:oMath>
    </w:p>
    <w:p w14:paraId="734DCD9C" w14:textId="2D57E614" w:rsidR="00C35E73" w:rsidRDefault="00510E20" w:rsidP="00510E20">
      <w:pPr>
        <w:pStyle w:val="ListParagraph"/>
        <w:numPr>
          <w:ilvl w:val="0"/>
          <w:numId w:val="21"/>
        </w:numPr>
      </w:pPr>
      <w:r>
        <w:t xml:space="preserve">Percentage Volume Changes: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t-1</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t-1 </m:t>
                </m:r>
              </m:sub>
            </m:sSub>
          </m:den>
        </m:f>
      </m:oMath>
    </w:p>
    <w:p w14:paraId="2D9053E9" w14:textId="0739BF7B" w:rsidR="00510E20" w:rsidRDefault="00510E20" w:rsidP="00510E20">
      <w:pPr>
        <w:pStyle w:val="ListParagraph"/>
      </w:pPr>
      <w:r>
        <w:t xml:space="preserve">The above engineering helps in standardizing the data for downstream analysis. It also helped in ensuring consistent types. Each tick is now enriched with the fundamental return and liquidity dynamics. </w:t>
      </w:r>
    </w:p>
    <w:p w14:paraId="74D4AFA5" w14:textId="77777777" w:rsidR="00510E20" w:rsidRDefault="00510E20" w:rsidP="00510E20">
      <w:pPr>
        <w:pStyle w:val="ListParagraph"/>
      </w:pPr>
    </w:p>
    <w:p w14:paraId="232317A4" w14:textId="6F084F5B" w:rsidR="00510E20" w:rsidRDefault="00510E20" w:rsidP="00510E20">
      <w:pPr>
        <w:jc w:val="center"/>
        <w:rPr>
          <w:i/>
          <w:iCs/>
        </w:rPr>
      </w:pPr>
      <w:r>
        <w:rPr>
          <w:b/>
          <w:bCs/>
          <w:i/>
          <w:iCs/>
        </w:rPr>
        <w:t xml:space="preserve">Figure </w:t>
      </w:r>
      <w:r w:rsidR="00597D22">
        <w:rPr>
          <w:b/>
          <w:bCs/>
          <w:i/>
          <w:iCs/>
        </w:rPr>
        <w:t>1:</w:t>
      </w:r>
      <w:r w:rsidRPr="004B2FFD">
        <w:rPr>
          <w:i/>
          <w:iCs/>
        </w:rPr>
        <w:t xml:space="preserve"> </w:t>
      </w:r>
      <w:r>
        <w:rPr>
          <w:i/>
          <w:iCs/>
        </w:rPr>
        <w:t xml:space="preserve">BSE closing price-path </w:t>
      </w:r>
    </w:p>
    <w:p w14:paraId="0E618BEC" w14:textId="3B3F9CCD" w:rsidR="00510E20" w:rsidRDefault="00CB5537" w:rsidP="00510E20">
      <w:pPr>
        <w:jc w:val="center"/>
        <w:rPr>
          <w:i/>
          <w:iCs/>
        </w:rPr>
      </w:pPr>
      <w:r>
        <w:rPr>
          <w:noProof/>
        </w:rPr>
        <w:drawing>
          <wp:inline distT="0" distB="0" distL="0" distR="0" wp14:anchorId="57CB783C" wp14:editId="4B620C49">
            <wp:extent cx="5486400" cy="2743200"/>
            <wp:effectExtent l="0" t="0" r="0" b="0"/>
            <wp:docPr id="1464532596" name="Picture 1" descr="Something went wrong with render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thing went wrong with rendering th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492B6D18" w14:textId="5884F972" w:rsidR="00CB5537" w:rsidRDefault="00CB5537" w:rsidP="00CB5537">
      <w:r>
        <w:t xml:space="preserve">Figure 1 plots the cleaned intraday closing price path for BSE feed over a representative trading session. It can be seen that there is a clear upward drift in the morning session, followed by a plateau as liquidity tapers off.  At 10-minute intervals, we can see the short-term spikes and dips reflecting price discovery and order-flow imbalances. </w:t>
      </w:r>
    </w:p>
    <w:p w14:paraId="1174183F" w14:textId="77777777" w:rsidR="00D75553" w:rsidRDefault="00D75553" w:rsidP="00CB5537"/>
    <w:p w14:paraId="410B9D3C" w14:textId="77777777" w:rsidR="00D75553" w:rsidRPr="00CB5537" w:rsidRDefault="00D75553" w:rsidP="00CB5537"/>
    <w:p w14:paraId="61B8EE67" w14:textId="207CAF60" w:rsidR="00510E20" w:rsidRDefault="00CB5537" w:rsidP="00CB5537">
      <w:pPr>
        <w:jc w:val="center"/>
        <w:rPr>
          <w:i/>
          <w:iCs/>
        </w:rPr>
      </w:pPr>
      <w:r w:rsidRPr="00CB5537">
        <w:rPr>
          <w:b/>
          <w:bCs/>
          <w:i/>
          <w:iCs/>
        </w:rPr>
        <w:lastRenderedPageBreak/>
        <w:t>Figure 2</w:t>
      </w:r>
      <w:r>
        <w:rPr>
          <w:i/>
          <w:iCs/>
        </w:rPr>
        <w:t xml:space="preserve">: BSE log-return histogram </w:t>
      </w:r>
    </w:p>
    <w:p w14:paraId="1D55A4F1" w14:textId="33E75FF0" w:rsidR="00CB5537" w:rsidRPr="00CB5537" w:rsidRDefault="00CB5537" w:rsidP="00CB5537">
      <w:pPr>
        <w:jc w:val="center"/>
        <w:rPr>
          <w:i/>
          <w:iCs/>
        </w:rPr>
      </w:pPr>
      <w:r>
        <w:rPr>
          <w:noProof/>
        </w:rPr>
        <w:drawing>
          <wp:inline distT="0" distB="0" distL="0" distR="0" wp14:anchorId="7077179A" wp14:editId="1E50C2A7">
            <wp:extent cx="5486400" cy="3657600"/>
            <wp:effectExtent l="0" t="0" r="0" b="0"/>
            <wp:docPr id="1965535146" name="Picture 3" descr="Something went wrong with render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mething went wrong with rendering th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CC91F76" w14:textId="6180CA9D" w:rsidR="00CB5537" w:rsidRDefault="00CB5537" w:rsidP="00510E20">
      <w:r>
        <w:t xml:space="preserve">Figure 2 shows the histogram of those same 10-minute log returns for RIL stock. Key observations include: most returns are small, as indicted by a pronounced peak near zero. There is also evidence of volatility clustering as shown by the fat tails on both sides. The </w:t>
      </w:r>
      <w:r w:rsidR="00372460">
        <w:t>distribution's</w:t>
      </w:r>
      <w:r>
        <w:t xml:space="preserve"> leptokurtosis underscores the need for risk measures (such as VaR). </w:t>
      </w:r>
    </w:p>
    <w:p w14:paraId="5BD685F1" w14:textId="2022464A" w:rsidR="00510E20" w:rsidRDefault="00510E20" w:rsidP="00510E20">
      <w:r>
        <w:t>Secondary plots (the LSE price path and return histogram appear in Appendix A).</w:t>
      </w:r>
    </w:p>
    <w:p w14:paraId="589698FD" w14:textId="28F96875" w:rsidR="00771676" w:rsidRPr="00771676" w:rsidRDefault="00771676" w:rsidP="00771676">
      <w:pPr>
        <w:jc w:val="center"/>
        <w:rPr>
          <w:i/>
          <w:iCs/>
        </w:rPr>
      </w:pPr>
      <w:r w:rsidRPr="00CB5537">
        <w:rPr>
          <w:b/>
          <w:bCs/>
          <w:i/>
          <w:iCs/>
        </w:rPr>
        <w:t xml:space="preserve">Figure </w:t>
      </w:r>
      <w:r>
        <w:rPr>
          <w:b/>
          <w:bCs/>
          <w:i/>
          <w:iCs/>
        </w:rPr>
        <w:t>3</w:t>
      </w:r>
      <w:r>
        <w:rPr>
          <w:i/>
          <w:iCs/>
        </w:rPr>
        <w:t>: BSE and LSE Trading hours and Overlap (UTC)</w:t>
      </w:r>
    </w:p>
    <w:p w14:paraId="61E0FDA9" w14:textId="20EB1897" w:rsidR="00771676" w:rsidRDefault="00771676" w:rsidP="00510E20">
      <w:r>
        <w:rPr>
          <w:noProof/>
        </w:rPr>
        <w:drawing>
          <wp:inline distT="0" distB="0" distL="0" distR="0" wp14:anchorId="6068D397" wp14:editId="76949872">
            <wp:extent cx="5486400" cy="1645920"/>
            <wp:effectExtent l="0" t="0" r="0" b="0"/>
            <wp:docPr id="596880304" name="Picture 1" descr="Something went wrong with render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thing went wrong with rendering th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p w14:paraId="764E3F0C" w14:textId="3B9E8D1A" w:rsidR="001634C8" w:rsidRDefault="001634C8" w:rsidP="00510E20">
      <w:r>
        <w:t xml:space="preserve">The above chart shows us the overlapping hours between the London stock exchange and Bombay stock Exchange. The following is interpreted: </w:t>
      </w:r>
    </w:p>
    <w:p w14:paraId="7B39EFEA" w14:textId="31C2AD41" w:rsidR="001634C8" w:rsidRDefault="001634C8" w:rsidP="001634C8">
      <w:pPr>
        <w:pStyle w:val="ListParagraph"/>
        <w:numPr>
          <w:ilvl w:val="0"/>
          <w:numId w:val="30"/>
        </w:numPr>
      </w:pPr>
      <w:r>
        <w:t>The LSE trading hours are from 08:00 UTC to 16:30 UTC.</w:t>
      </w:r>
    </w:p>
    <w:p w14:paraId="2A97EC17" w14:textId="0A83103A" w:rsidR="001634C8" w:rsidRDefault="001634C8" w:rsidP="001634C8">
      <w:pPr>
        <w:pStyle w:val="ListParagraph"/>
        <w:numPr>
          <w:ilvl w:val="0"/>
          <w:numId w:val="30"/>
        </w:numPr>
      </w:pPr>
      <w:r>
        <w:lastRenderedPageBreak/>
        <w:t>The BSE trading hours are from 03:45 UTC to 10:00 UTC.</w:t>
      </w:r>
    </w:p>
    <w:p w14:paraId="1248B29B" w14:textId="5B23250F" w:rsidR="001634C8" w:rsidRDefault="001634C8" w:rsidP="001634C8">
      <w:pPr>
        <w:pStyle w:val="ListParagraph"/>
        <w:numPr>
          <w:ilvl w:val="0"/>
          <w:numId w:val="30"/>
        </w:numPr>
      </w:pPr>
      <w:r>
        <w:t xml:space="preserve">The overlapping </w:t>
      </w:r>
      <w:r w:rsidR="00372460">
        <w:t>hours</w:t>
      </w:r>
      <w:r>
        <w:t xml:space="preserve"> (purple section) are when both the markets are open simultaneously </w:t>
      </w:r>
      <w:r w:rsidR="00597D22">
        <w:t>(08:00</w:t>
      </w:r>
      <w:r>
        <w:t xml:space="preserve">-10:00). </w:t>
      </w:r>
    </w:p>
    <w:p w14:paraId="36CF75D8" w14:textId="1B981FF5" w:rsidR="001634C8" w:rsidRDefault="001634C8" w:rsidP="001634C8">
      <w:pPr>
        <w:ind w:left="360"/>
      </w:pPr>
      <w:r>
        <w:t xml:space="preserve">Let’s now talk about what is likely to happen in the overlapping trading hours. During the </w:t>
      </w:r>
      <w:r w:rsidR="00597D22">
        <w:t>two-hour</w:t>
      </w:r>
      <w:r>
        <w:t xml:space="preserve"> overlap, the traders can execute cross-venue hedges or even transfer all in real time. Secondly, special attention should be paid to spreads and liquidity in this window. This is because the venue-to-venue inefficiencies is witnessed as the prices keep diverging. </w:t>
      </w:r>
    </w:p>
    <w:p w14:paraId="38E86769" w14:textId="77777777" w:rsidR="00771676" w:rsidRDefault="00771676" w:rsidP="00510E20"/>
    <w:p w14:paraId="7B9AC42B" w14:textId="65EBF5C5" w:rsidR="001C6E37" w:rsidRDefault="001C6E37" w:rsidP="001C6E37">
      <w:pPr>
        <w:pStyle w:val="Heading2"/>
        <w:numPr>
          <w:ilvl w:val="1"/>
          <w:numId w:val="14"/>
        </w:numPr>
      </w:pPr>
      <w:r>
        <w:t xml:space="preserve">Market Microstructure Analysis </w:t>
      </w:r>
    </w:p>
    <w:p w14:paraId="00C37855" w14:textId="4D151372" w:rsidR="001C6E37" w:rsidRDefault="001C6E37" w:rsidP="001C6E37">
      <w:pPr>
        <w:pStyle w:val="Heading4"/>
        <w:numPr>
          <w:ilvl w:val="2"/>
          <w:numId w:val="14"/>
        </w:numPr>
      </w:pPr>
      <w:r>
        <w:t xml:space="preserve">Order Book dynamics (Roll’s spread estimates) </w:t>
      </w:r>
    </w:p>
    <w:p w14:paraId="063C299D" w14:textId="702A0AED" w:rsidR="001C6E37" w:rsidRDefault="00AA19FD" w:rsidP="001C6E37">
      <w:r>
        <w:t xml:space="preserve">In this step, I tried to estimate the hidden “buy-sell gap” in the </w:t>
      </w:r>
      <w:r w:rsidR="00597D22">
        <w:t>10-minute</w:t>
      </w:r>
      <w:r>
        <w:t xml:space="preserve"> price series. For this, Roll’s (1984) spread proxy was used which also exploited the fact that price change in opposite directions is seen at the bid and ask. Table 3 reports these estimates.  If an up-move is frequently followed by a down-move, so an average round-trip cost or the implicit bid-ask spread can be determined by: </w:t>
      </w:r>
    </w:p>
    <w:p w14:paraId="490D3597" w14:textId="1A474964" w:rsidR="00AA19FD" w:rsidRPr="00AA19FD" w:rsidRDefault="00000000" w:rsidP="001C6E37">
      <m:oMathPara>
        <m:oMath>
          <m:acc>
            <m:accPr>
              <m:ctrlPr>
                <w:rPr>
                  <w:rFonts w:ascii="Cambria Math" w:hAnsi="Cambria Math"/>
                  <w:i/>
                </w:rPr>
              </m:ctrlPr>
            </m:accPr>
            <m:e>
              <m:r>
                <w:rPr>
                  <w:rFonts w:ascii="Cambria Math" w:hAnsi="Cambria Math"/>
                </w:rPr>
                <m:t>s</m:t>
              </m:r>
            </m:e>
          </m:acc>
          <m:r>
            <w:rPr>
              <w:rFonts w:ascii="Cambria Math" w:hAnsi="Cambria Math"/>
            </w:rPr>
            <m:t xml:space="preserve">=2 </m:t>
          </m:r>
          <m:rad>
            <m:radPr>
              <m:degHide m:val="1"/>
              <m:ctrlPr>
                <w:rPr>
                  <w:rFonts w:ascii="Cambria Math" w:hAnsi="Cambria Math"/>
                  <w:i/>
                </w:rPr>
              </m:ctrlPr>
            </m:radPr>
            <m:deg/>
            <m:e>
              <m:r>
                <w:rPr>
                  <w:rFonts w:ascii="Cambria Math" w:hAnsi="Cambria Math"/>
                </w:rPr>
                <m:t>- Cov (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e>
          </m:rad>
        </m:oMath>
      </m:oMathPara>
    </w:p>
    <w:p w14:paraId="4CA4F901" w14:textId="77777777" w:rsidR="00AA19FD" w:rsidRPr="00AA19FD" w:rsidRDefault="00AA19FD" w:rsidP="001C6E37"/>
    <w:p w14:paraId="5E554ED2" w14:textId="75735C80" w:rsidR="00AA19FD" w:rsidRDefault="00AA19FD" w:rsidP="00AA19FD">
      <w:pPr>
        <w:jc w:val="center"/>
        <w:rPr>
          <w:i/>
          <w:iCs/>
        </w:rPr>
      </w:pPr>
      <w:r>
        <w:rPr>
          <w:b/>
          <w:bCs/>
          <w:i/>
          <w:iCs/>
        </w:rPr>
        <w:t xml:space="preserve">Table </w:t>
      </w:r>
      <w:r w:rsidR="00D75553">
        <w:rPr>
          <w:b/>
          <w:bCs/>
          <w:i/>
          <w:iCs/>
        </w:rPr>
        <w:t>4</w:t>
      </w:r>
      <w:r w:rsidR="00597D22">
        <w:rPr>
          <w:b/>
          <w:bCs/>
          <w:i/>
          <w:iCs/>
        </w:rPr>
        <w:t>:</w:t>
      </w:r>
      <w:r w:rsidRPr="004B2FFD">
        <w:rPr>
          <w:i/>
          <w:iCs/>
        </w:rPr>
        <w:t xml:space="preserve"> </w:t>
      </w:r>
      <w:r>
        <w:rPr>
          <w:i/>
          <w:iCs/>
        </w:rPr>
        <w:t xml:space="preserve">Roll’s Spread Estimates </w:t>
      </w:r>
    </w:p>
    <w:tbl>
      <w:tblPr>
        <w:tblStyle w:val="TableGrid"/>
        <w:tblW w:w="0" w:type="auto"/>
        <w:tblLook w:val="04A0" w:firstRow="1" w:lastRow="0" w:firstColumn="1" w:lastColumn="0" w:noHBand="0" w:noVBand="1"/>
      </w:tblPr>
      <w:tblGrid>
        <w:gridCol w:w="2876"/>
        <w:gridCol w:w="2877"/>
        <w:gridCol w:w="2877"/>
      </w:tblGrid>
      <w:tr w:rsidR="00AA19FD" w14:paraId="3EF35729" w14:textId="77777777" w:rsidTr="00AA19FD">
        <w:tc>
          <w:tcPr>
            <w:tcW w:w="2876" w:type="dxa"/>
          </w:tcPr>
          <w:p w14:paraId="37A97A06" w14:textId="1D70CEFF" w:rsidR="00AA19FD" w:rsidRDefault="00AA19FD" w:rsidP="00AA19FD">
            <w:pPr>
              <w:jc w:val="center"/>
              <w:rPr>
                <w:i/>
                <w:iCs/>
              </w:rPr>
            </w:pPr>
          </w:p>
        </w:tc>
        <w:tc>
          <w:tcPr>
            <w:tcW w:w="2877" w:type="dxa"/>
          </w:tcPr>
          <w:p w14:paraId="7BBAF877" w14:textId="278E083E" w:rsidR="00AA19FD" w:rsidRPr="00AA19FD" w:rsidRDefault="00AA19FD" w:rsidP="00AA19FD">
            <w:pPr>
              <w:jc w:val="center"/>
              <w:rPr>
                <w:b/>
                <w:bCs/>
                <w:i/>
                <w:iCs/>
              </w:rPr>
            </w:pPr>
            <w:r w:rsidRPr="00AA19FD">
              <w:rPr>
                <w:b/>
                <w:bCs/>
                <w:i/>
                <w:iCs/>
              </w:rPr>
              <w:t xml:space="preserve">Exchange </w:t>
            </w:r>
          </w:p>
        </w:tc>
        <w:tc>
          <w:tcPr>
            <w:tcW w:w="2877" w:type="dxa"/>
          </w:tcPr>
          <w:p w14:paraId="4EDAE796" w14:textId="5C5AB749" w:rsidR="00AA19FD" w:rsidRPr="00AA19FD" w:rsidRDefault="00597D22" w:rsidP="00AA19FD">
            <w:pPr>
              <w:jc w:val="center"/>
              <w:rPr>
                <w:b/>
                <w:bCs/>
                <w:i/>
                <w:iCs/>
              </w:rPr>
            </w:pPr>
            <w:r w:rsidRPr="00AA19FD">
              <w:rPr>
                <w:b/>
                <w:bCs/>
                <w:i/>
                <w:iCs/>
              </w:rPr>
              <w:t>Roll Spread</w:t>
            </w:r>
            <w:r w:rsidR="00AA19FD" w:rsidRPr="00AA19FD">
              <w:rPr>
                <w:b/>
                <w:bCs/>
                <w:i/>
                <w:iCs/>
              </w:rPr>
              <w:t xml:space="preserve"> </w:t>
            </w:r>
          </w:p>
        </w:tc>
      </w:tr>
      <w:tr w:rsidR="00AA19FD" w14:paraId="2C51BD6F" w14:textId="77777777" w:rsidTr="00AA19FD">
        <w:tc>
          <w:tcPr>
            <w:tcW w:w="2876" w:type="dxa"/>
          </w:tcPr>
          <w:p w14:paraId="1863886E" w14:textId="0BC1C074" w:rsidR="00AA19FD" w:rsidRPr="00AA19FD" w:rsidRDefault="00AA19FD" w:rsidP="00AA19FD">
            <w:pPr>
              <w:jc w:val="center"/>
              <w:rPr>
                <w:b/>
                <w:bCs/>
                <w:i/>
                <w:iCs/>
              </w:rPr>
            </w:pPr>
            <w:r w:rsidRPr="00AA19FD">
              <w:rPr>
                <w:b/>
                <w:bCs/>
                <w:i/>
                <w:iCs/>
              </w:rPr>
              <w:t>0</w:t>
            </w:r>
          </w:p>
        </w:tc>
        <w:tc>
          <w:tcPr>
            <w:tcW w:w="2877" w:type="dxa"/>
          </w:tcPr>
          <w:p w14:paraId="3A3F6196" w14:textId="77777777" w:rsidR="00AA19FD" w:rsidRDefault="00AA19FD" w:rsidP="00AA19FD">
            <w:pPr>
              <w:jc w:val="center"/>
            </w:pPr>
            <w:r>
              <w:t xml:space="preserve">BSE </w:t>
            </w:r>
          </w:p>
          <w:p w14:paraId="3D7590D8" w14:textId="1B3C487C" w:rsidR="00AA19FD" w:rsidRPr="00AA19FD" w:rsidRDefault="00AA19FD" w:rsidP="00AA19FD"/>
        </w:tc>
        <w:tc>
          <w:tcPr>
            <w:tcW w:w="2877" w:type="dxa"/>
          </w:tcPr>
          <w:p w14:paraId="624280BD" w14:textId="1E08DB1E" w:rsidR="00AA19FD" w:rsidRDefault="00AA19FD" w:rsidP="00AA19FD">
            <w:pPr>
              <w:jc w:val="center"/>
              <w:rPr>
                <w:i/>
                <w:iCs/>
              </w:rPr>
            </w:pPr>
            <w:r>
              <w:rPr>
                <w:i/>
                <w:iCs/>
              </w:rPr>
              <w:t xml:space="preserve">Null </w:t>
            </w:r>
          </w:p>
        </w:tc>
      </w:tr>
      <w:tr w:rsidR="00AA19FD" w14:paraId="5567C4BD" w14:textId="77777777" w:rsidTr="00AA19FD">
        <w:tc>
          <w:tcPr>
            <w:tcW w:w="2876" w:type="dxa"/>
          </w:tcPr>
          <w:p w14:paraId="56DD1EF1" w14:textId="2300D9A1" w:rsidR="00AA19FD" w:rsidRPr="00AA19FD" w:rsidRDefault="00AA19FD" w:rsidP="00AA19FD">
            <w:pPr>
              <w:jc w:val="center"/>
              <w:rPr>
                <w:b/>
                <w:bCs/>
                <w:i/>
                <w:iCs/>
              </w:rPr>
            </w:pPr>
            <w:r w:rsidRPr="00AA19FD">
              <w:rPr>
                <w:b/>
                <w:bCs/>
                <w:i/>
                <w:iCs/>
              </w:rPr>
              <w:t>1</w:t>
            </w:r>
          </w:p>
        </w:tc>
        <w:tc>
          <w:tcPr>
            <w:tcW w:w="2877" w:type="dxa"/>
          </w:tcPr>
          <w:p w14:paraId="3EE9D317" w14:textId="77777777" w:rsidR="00AA19FD" w:rsidRDefault="00AA19FD" w:rsidP="00AA19FD">
            <w:pPr>
              <w:jc w:val="center"/>
              <w:rPr>
                <w:i/>
                <w:iCs/>
              </w:rPr>
            </w:pPr>
            <w:r>
              <w:rPr>
                <w:i/>
                <w:iCs/>
              </w:rPr>
              <w:t>LSE</w:t>
            </w:r>
          </w:p>
          <w:p w14:paraId="7BF8F8A9" w14:textId="175F286E" w:rsidR="00AA19FD" w:rsidRDefault="00AA19FD" w:rsidP="00AA19FD">
            <w:pPr>
              <w:jc w:val="center"/>
              <w:rPr>
                <w:i/>
                <w:iCs/>
              </w:rPr>
            </w:pPr>
          </w:p>
        </w:tc>
        <w:tc>
          <w:tcPr>
            <w:tcW w:w="2877" w:type="dxa"/>
          </w:tcPr>
          <w:p w14:paraId="196867EE" w14:textId="219F7948" w:rsidR="00AA19FD" w:rsidRDefault="00AA19FD" w:rsidP="00AA19FD">
            <w:pPr>
              <w:jc w:val="center"/>
              <w:rPr>
                <w:i/>
                <w:iCs/>
              </w:rPr>
            </w:pPr>
            <w:r>
              <w:rPr>
                <w:i/>
                <w:iCs/>
              </w:rPr>
              <w:t xml:space="preserve">0.9310 </w:t>
            </w:r>
          </w:p>
        </w:tc>
      </w:tr>
    </w:tbl>
    <w:p w14:paraId="74433820" w14:textId="77777777" w:rsidR="00AA19FD" w:rsidRDefault="00AA19FD" w:rsidP="00AA19FD"/>
    <w:p w14:paraId="41AB89EE" w14:textId="74F9724C" w:rsidR="00AA19FD" w:rsidRDefault="00AA19FD" w:rsidP="00AA19FD">
      <w:r>
        <w:t xml:space="preserve">The estimate for BSE is not measurable as BSE series </w:t>
      </w:r>
      <w:r w:rsidR="00372460">
        <w:t xml:space="preserve">has </w:t>
      </w:r>
      <w:r>
        <w:t xml:space="preserve">minimal up/down bounce at the sampling frequency. On the other hand, the LSE data implies an average round-trip cost of about 0.93 price units. That is, as a trade, I would lose roughly </w:t>
      </w:r>
      <w:r w:rsidR="00372460">
        <w:t>£ 0.03</w:t>
      </w:r>
      <w:r>
        <w:t xml:space="preserve"> when buying rather then immediately selling. With this, we are able to learn about the first gauge of transaction costs and liquidity in each of these markets. </w:t>
      </w:r>
    </w:p>
    <w:p w14:paraId="1774DF8E" w14:textId="35C213F2" w:rsidR="00AA19FD" w:rsidRDefault="00AF3FC2" w:rsidP="00AF3FC2">
      <w:pPr>
        <w:pStyle w:val="Heading4"/>
        <w:numPr>
          <w:ilvl w:val="2"/>
          <w:numId w:val="14"/>
        </w:numPr>
      </w:pPr>
      <w:r>
        <w:t>Trade Impact Analysis</w:t>
      </w:r>
    </w:p>
    <w:p w14:paraId="722CE0F8" w14:textId="2E411047" w:rsidR="00AF3FC2" w:rsidRDefault="00AF3FC2" w:rsidP="00AF3FC2">
      <w:r>
        <w:t xml:space="preserve">Here, I conducted a regression analysis to understand the </w:t>
      </w:r>
      <w:r w:rsidR="00597D22">
        <w:t>relationship between</w:t>
      </w:r>
      <w:r>
        <w:t xml:space="preserve"> the price changes and trading volumes for both </w:t>
      </w:r>
      <w:r w:rsidR="00372460">
        <w:t xml:space="preserve">the </w:t>
      </w:r>
      <w:r>
        <w:t xml:space="preserve">BSE and LSE Exchanges. </w:t>
      </w:r>
    </w:p>
    <w:p w14:paraId="1E689136" w14:textId="77777777" w:rsidR="00D75553" w:rsidRDefault="00D75553" w:rsidP="00AF3FC2"/>
    <w:p w14:paraId="4CDB0061" w14:textId="77777777" w:rsidR="00D75553" w:rsidRPr="00AF3FC2" w:rsidRDefault="00D75553" w:rsidP="00AF3FC2"/>
    <w:p w14:paraId="006485E6" w14:textId="40D0184C" w:rsidR="00AF3FC2" w:rsidRPr="00AF3FC2" w:rsidRDefault="00AF3FC2" w:rsidP="00AF3FC2">
      <w:pPr>
        <w:pStyle w:val="ListParagraph"/>
        <w:ind w:left="360"/>
        <w:rPr>
          <w:i/>
          <w:iCs/>
        </w:rPr>
      </w:pPr>
      <w:r>
        <w:rPr>
          <w:b/>
          <w:bCs/>
          <w:i/>
          <w:iCs/>
        </w:rPr>
        <w:lastRenderedPageBreak/>
        <w:t xml:space="preserve">                                          </w:t>
      </w:r>
      <w:r w:rsidRPr="00AF3FC2">
        <w:rPr>
          <w:b/>
          <w:bCs/>
          <w:i/>
          <w:iCs/>
        </w:rPr>
        <w:t xml:space="preserve">Table </w:t>
      </w:r>
      <w:r w:rsidR="00D75553">
        <w:rPr>
          <w:b/>
          <w:bCs/>
          <w:i/>
          <w:iCs/>
        </w:rPr>
        <w:t>5</w:t>
      </w:r>
      <w:r w:rsidR="00597D22" w:rsidRPr="00AF3FC2">
        <w:rPr>
          <w:b/>
          <w:bCs/>
          <w:i/>
          <w:iCs/>
        </w:rPr>
        <w:t>:</w:t>
      </w:r>
      <w:r w:rsidRPr="00AF3FC2">
        <w:rPr>
          <w:i/>
          <w:iCs/>
        </w:rPr>
        <w:t xml:space="preserve"> Roll’s Spread Estimates </w:t>
      </w:r>
    </w:p>
    <w:tbl>
      <w:tblPr>
        <w:tblStyle w:val="TableGrid"/>
        <w:tblW w:w="0" w:type="auto"/>
        <w:tblLook w:val="04A0" w:firstRow="1" w:lastRow="0" w:firstColumn="1" w:lastColumn="0" w:noHBand="0" w:noVBand="1"/>
      </w:tblPr>
      <w:tblGrid>
        <w:gridCol w:w="2060"/>
        <w:gridCol w:w="2325"/>
        <w:gridCol w:w="2222"/>
        <w:gridCol w:w="2023"/>
      </w:tblGrid>
      <w:tr w:rsidR="00AF3FC2" w14:paraId="7E244EF6" w14:textId="534397EB" w:rsidTr="00AF3FC2">
        <w:tc>
          <w:tcPr>
            <w:tcW w:w="2060" w:type="dxa"/>
          </w:tcPr>
          <w:p w14:paraId="2B7187DF" w14:textId="77777777" w:rsidR="00AF3FC2" w:rsidRDefault="00AF3FC2" w:rsidP="00771676">
            <w:pPr>
              <w:jc w:val="center"/>
              <w:rPr>
                <w:i/>
                <w:iCs/>
              </w:rPr>
            </w:pPr>
          </w:p>
        </w:tc>
        <w:tc>
          <w:tcPr>
            <w:tcW w:w="2325" w:type="dxa"/>
          </w:tcPr>
          <w:p w14:paraId="3D763C26" w14:textId="77777777" w:rsidR="00AF3FC2" w:rsidRPr="00AA19FD" w:rsidRDefault="00AF3FC2" w:rsidP="00771676">
            <w:pPr>
              <w:jc w:val="center"/>
              <w:rPr>
                <w:b/>
                <w:bCs/>
                <w:i/>
                <w:iCs/>
              </w:rPr>
            </w:pPr>
            <w:r w:rsidRPr="00AA19FD">
              <w:rPr>
                <w:b/>
                <w:bCs/>
                <w:i/>
                <w:iCs/>
              </w:rPr>
              <w:t xml:space="preserve">Exchange </w:t>
            </w:r>
          </w:p>
        </w:tc>
        <w:tc>
          <w:tcPr>
            <w:tcW w:w="2222" w:type="dxa"/>
          </w:tcPr>
          <w:p w14:paraId="7BEE4043" w14:textId="63CCCA57" w:rsidR="00AF3FC2" w:rsidRPr="00AA19FD" w:rsidRDefault="00AF3FC2" w:rsidP="00771676">
            <w:pPr>
              <w:jc w:val="center"/>
              <w:rPr>
                <w:b/>
                <w:bCs/>
                <w:i/>
                <w:iCs/>
              </w:rPr>
            </w:pPr>
            <w:r>
              <w:rPr>
                <w:b/>
                <w:bCs/>
                <w:i/>
                <w:iCs/>
              </w:rPr>
              <w:t xml:space="preserve">Beta </w:t>
            </w:r>
          </w:p>
        </w:tc>
        <w:tc>
          <w:tcPr>
            <w:tcW w:w="2023" w:type="dxa"/>
          </w:tcPr>
          <w:p w14:paraId="6327FA25" w14:textId="5213620C" w:rsidR="00AF3FC2" w:rsidRDefault="00AF3FC2" w:rsidP="00771676">
            <w:pPr>
              <w:jc w:val="center"/>
              <w:rPr>
                <w:b/>
                <w:bCs/>
                <w:i/>
                <w:iCs/>
              </w:rPr>
            </w:pPr>
            <w:r>
              <w:rPr>
                <w:b/>
                <w:bCs/>
                <w:i/>
                <w:iCs/>
              </w:rPr>
              <w:t xml:space="preserve">R-squared </w:t>
            </w:r>
          </w:p>
        </w:tc>
      </w:tr>
      <w:tr w:rsidR="00AF3FC2" w14:paraId="014C761D" w14:textId="0FB44D3D" w:rsidTr="00AF3FC2">
        <w:tc>
          <w:tcPr>
            <w:tcW w:w="2060" w:type="dxa"/>
          </w:tcPr>
          <w:p w14:paraId="51F620B0" w14:textId="77777777" w:rsidR="00AF3FC2" w:rsidRPr="00AA19FD" w:rsidRDefault="00AF3FC2" w:rsidP="00771676">
            <w:pPr>
              <w:jc w:val="center"/>
              <w:rPr>
                <w:b/>
                <w:bCs/>
                <w:i/>
                <w:iCs/>
              </w:rPr>
            </w:pPr>
            <w:r w:rsidRPr="00AA19FD">
              <w:rPr>
                <w:b/>
                <w:bCs/>
                <w:i/>
                <w:iCs/>
              </w:rPr>
              <w:t>0</w:t>
            </w:r>
          </w:p>
        </w:tc>
        <w:tc>
          <w:tcPr>
            <w:tcW w:w="2325" w:type="dxa"/>
          </w:tcPr>
          <w:p w14:paraId="6A50DA60" w14:textId="77777777" w:rsidR="00AF3FC2" w:rsidRPr="00AF3FC2" w:rsidRDefault="00AF3FC2" w:rsidP="00771676">
            <w:pPr>
              <w:jc w:val="center"/>
            </w:pPr>
            <w:r w:rsidRPr="00AF3FC2">
              <w:t xml:space="preserve">BSE </w:t>
            </w:r>
          </w:p>
          <w:p w14:paraId="3AD677EE" w14:textId="77777777" w:rsidR="00AF3FC2" w:rsidRPr="00AF3FC2" w:rsidRDefault="00AF3FC2" w:rsidP="00771676"/>
        </w:tc>
        <w:tc>
          <w:tcPr>
            <w:tcW w:w="2222" w:type="dxa"/>
          </w:tcPr>
          <w:p w14:paraId="3B6F6BD9" w14:textId="60FBCF4F" w:rsidR="00AF3FC2" w:rsidRPr="00AF3FC2" w:rsidRDefault="00AF3FC2" w:rsidP="00AF3FC2">
            <w:pPr>
              <w:jc w:val="center"/>
              <w:rPr>
                <w:lang w:val="en-IN"/>
              </w:rPr>
            </w:pPr>
            <w:r w:rsidRPr="00AF3FC2">
              <w:rPr>
                <w:lang w:val="en-IN"/>
              </w:rPr>
              <w:t>- 0.000002</w:t>
            </w:r>
          </w:p>
          <w:p w14:paraId="50C3C43F" w14:textId="0D24CE94" w:rsidR="00AF3FC2" w:rsidRPr="00AF3FC2" w:rsidRDefault="00AF3FC2" w:rsidP="00AF3FC2">
            <w:pPr>
              <w:jc w:val="center"/>
            </w:pPr>
          </w:p>
        </w:tc>
        <w:tc>
          <w:tcPr>
            <w:tcW w:w="2023" w:type="dxa"/>
          </w:tcPr>
          <w:p w14:paraId="1303D0F0" w14:textId="5F15AA7A" w:rsidR="00AF3FC2" w:rsidRPr="00AF3FC2" w:rsidRDefault="00AF3FC2" w:rsidP="00771676">
            <w:pPr>
              <w:jc w:val="center"/>
            </w:pPr>
            <w:r w:rsidRPr="00AF3FC2">
              <w:t xml:space="preserve">0.000217 </w:t>
            </w:r>
          </w:p>
        </w:tc>
      </w:tr>
      <w:tr w:rsidR="00AF3FC2" w14:paraId="6B1863FD" w14:textId="14734E5F" w:rsidTr="00AF3FC2">
        <w:tc>
          <w:tcPr>
            <w:tcW w:w="2060" w:type="dxa"/>
          </w:tcPr>
          <w:p w14:paraId="6D5BE61D" w14:textId="77777777" w:rsidR="00AF3FC2" w:rsidRPr="00AA19FD" w:rsidRDefault="00AF3FC2" w:rsidP="00771676">
            <w:pPr>
              <w:jc w:val="center"/>
              <w:rPr>
                <w:b/>
                <w:bCs/>
                <w:i/>
                <w:iCs/>
              </w:rPr>
            </w:pPr>
            <w:r w:rsidRPr="00AA19FD">
              <w:rPr>
                <w:b/>
                <w:bCs/>
                <w:i/>
                <w:iCs/>
              </w:rPr>
              <w:t>1</w:t>
            </w:r>
          </w:p>
        </w:tc>
        <w:tc>
          <w:tcPr>
            <w:tcW w:w="2325" w:type="dxa"/>
          </w:tcPr>
          <w:p w14:paraId="7997CD7C" w14:textId="77777777" w:rsidR="00AF3FC2" w:rsidRPr="00AF3FC2" w:rsidRDefault="00AF3FC2" w:rsidP="00771676">
            <w:pPr>
              <w:jc w:val="center"/>
            </w:pPr>
            <w:r w:rsidRPr="00AF3FC2">
              <w:t>LSE</w:t>
            </w:r>
          </w:p>
          <w:p w14:paraId="4FB30974" w14:textId="77777777" w:rsidR="00AF3FC2" w:rsidRPr="00AF3FC2" w:rsidRDefault="00AF3FC2" w:rsidP="00771676">
            <w:pPr>
              <w:jc w:val="center"/>
            </w:pPr>
          </w:p>
        </w:tc>
        <w:tc>
          <w:tcPr>
            <w:tcW w:w="2222" w:type="dxa"/>
          </w:tcPr>
          <w:p w14:paraId="227E8747" w14:textId="2259324E" w:rsidR="00AF3FC2" w:rsidRPr="00AF3FC2" w:rsidRDefault="00AF3FC2" w:rsidP="00AF3FC2">
            <w:pPr>
              <w:jc w:val="center"/>
            </w:pPr>
            <w:r w:rsidRPr="00AF3FC2">
              <w:t>0.000001</w:t>
            </w:r>
          </w:p>
        </w:tc>
        <w:tc>
          <w:tcPr>
            <w:tcW w:w="2023" w:type="dxa"/>
          </w:tcPr>
          <w:p w14:paraId="26925B6B" w14:textId="24E686BE" w:rsidR="00AF3FC2" w:rsidRPr="00AF3FC2" w:rsidRDefault="00AF3FC2" w:rsidP="00BC07FF">
            <w:pPr>
              <w:pStyle w:val="ListParagraph"/>
              <w:numPr>
                <w:ilvl w:val="1"/>
                <w:numId w:val="22"/>
              </w:numPr>
              <w:jc w:val="center"/>
            </w:pPr>
          </w:p>
        </w:tc>
      </w:tr>
    </w:tbl>
    <w:p w14:paraId="01180102" w14:textId="693CBE47" w:rsidR="00AF3FC2" w:rsidRPr="00BC07FF" w:rsidRDefault="00AF3FC2" w:rsidP="00BC07FF">
      <w:pPr>
        <w:rPr>
          <w:lang w:val="en-IN"/>
        </w:rPr>
      </w:pPr>
      <w:r>
        <w:t xml:space="preserve">BSE’s volume-impact </w:t>
      </w:r>
      <w:r w:rsidR="00597D22">
        <w:t xml:space="preserve">coefficient </w:t>
      </w:r>
      <w:r w:rsidR="00597D22" w:rsidRPr="00AF3FC2">
        <w:t>β</w:t>
      </w:r>
      <w:r>
        <w:t xml:space="preserve"> is </w:t>
      </w:r>
      <w:r w:rsidR="00597D22">
        <w:t>approximately -</w:t>
      </w:r>
      <w:r w:rsidRPr="00BC07FF">
        <w:rPr>
          <w:lang w:val="en-IN"/>
        </w:rPr>
        <w:t xml:space="preserve"> 0.000002</w:t>
      </w:r>
      <w:r w:rsidR="00BC07FF" w:rsidRPr="00BC07FF">
        <w:rPr>
          <w:lang w:val="en-IN"/>
        </w:rPr>
        <w:t xml:space="preserve">. </w:t>
      </w:r>
      <w:r>
        <w:t xml:space="preserve">This indicates that a one-unit increase in traded volume is associated with a mere negative price change. In addition, </w:t>
      </w:r>
      <w:r w:rsidRPr="00AF3FC2">
        <w:t>R²</w:t>
      </w:r>
      <w:r>
        <w:t xml:space="preserve"> shows that volume does not explain any price volatility at this horizon. </w:t>
      </w:r>
      <w:r w:rsidR="00BC07FF">
        <w:t xml:space="preserve"> </w:t>
      </w:r>
      <w:r>
        <w:t xml:space="preserve">For LSE, </w:t>
      </w:r>
      <w:r w:rsidRPr="00AF3FC2">
        <w:t>β</w:t>
      </w:r>
      <w:r>
        <w:t xml:space="preserve"> is </w:t>
      </w:r>
      <w:r w:rsidR="00597D22" w:rsidRPr="00AF3FC2">
        <w:t>0.000001</w:t>
      </w:r>
      <w:r w:rsidR="00597D22">
        <w:t>.</w:t>
      </w:r>
      <w:r>
        <w:t xml:space="preserve"> It suggests a small positive impact of volume on price, with a slightly higher </w:t>
      </w:r>
      <w:r w:rsidRPr="00AF3FC2">
        <w:t>R²</w:t>
      </w:r>
      <w:r w:rsidR="00BC07FF">
        <w:t xml:space="preserve">. </w:t>
      </w:r>
      <w:r>
        <w:t xml:space="preserve">I believe neither </w:t>
      </w:r>
      <w:r w:rsidR="00597D22">
        <w:t>market</w:t>
      </w:r>
      <w:r>
        <w:t xml:space="preserve"> exhibits a strong immediate price response to trade size over a </w:t>
      </w:r>
      <w:r w:rsidR="00372460">
        <w:t>10-minute</w:t>
      </w:r>
      <w:r>
        <w:t xml:space="preserve"> interval. </w:t>
      </w:r>
    </w:p>
    <w:p w14:paraId="54DFA5AF" w14:textId="30646B0F" w:rsidR="00AF3FC2" w:rsidRDefault="000A1499" w:rsidP="000A1499">
      <w:pPr>
        <w:pStyle w:val="Heading4"/>
        <w:numPr>
          <w:ilvl w:val="2"/>
          <w:numId w:val="14"/>
        </w:numPr>
      </w:pPr>
      <w:r>
        <w:t xml:space="preserve">Amihud illiquidity ratios for BSE and LSE </w:t>
      </w:r>
    </w:p>
    <w:p w14:paraId="4B29373A" w14:textId="561460D2" w:rsidR="000A1499" w:rsidRDefault="000A1499" w:rsidP="000A1499">
      <w:r>
        <w:t>In this section</w:t>
      </w:r>
      <w:r w:rsidR="00372460">
        <w:t>,</w:t>
      </w:r>
      <w:r>
        <w:t xml:space="preserve"> I will explore the Amihud (2002) illiquidity </w:t>
      </w:r>
      <w:r w:rsidR="00372460">
        <w:t>ratio</w:t>
      </w:r>
      <w:r>
        <w:t xml:space="preserve">. It is defined as follows: </w:t>
      </w:r>
    </w:p>
    <w:p w14:paraId="1F7385C3" w14:textId="48239788" w:rsidR="000A1499" w:rsidRDefault="00000000" w:rsidP="000A1499">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0A1499">
        <w:t xml:space="preserve">; </w:t>
      </w:r>
    </w:p>
    <w:p w14:paraId="7282661F" w14:textId="20480572" w:rsidR="004E287B" w:rsidRPr="00372460" w:rsidRDefault="000A1499" w:rsidP="00372460">
      <w:pPr>
        <w:rPr>
          <w:i/>
          <w:iCs/>
        </w:rPr>
      </w:pPr>
      <w:r>
        <w:t xml:space="preserve">Where </w:t>
      </w:r>
      <m:oMath>
        <m:sSub>
          <m:sSubPr>
            <m:ctrlPr>
              <w:rPr>
                <w:rFonts w:ascii="Cambria Math" w:hAnsi="Cambria Math"/>
                <w:i/>
              </w:rPr>
            </m:ctrlPr>
          </m:sSubPr>
          <m:e>
            <m:r>
              <w:rPr>
                <w:rFonts w:ascii="Cambria Math" w:hAnsi="Cambria Math"/>
              </w:rPr>
              <m:t xml:space="preserve"> P</m:t>
            </m:r>
          </m:e>
          <m:sub>
            <m:r>
              <w:rPr>
                <w:rFonts w:ascii="Cambria Math" w:hAnsi="Cambria Math"/>
              </w:rPr>
              <m:t>t</m:t>
            </m:r>
          </m:sub>
        </m:sSub>
      </m:oMath>
      <w:r>
        <w:t xml:space="preserve"> is the absolute price change over ten minutes 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the trading volume in the same window. </w:t>
      </w:r>
      <w:r w:rsidR="004E287B">
        <w:t xml:space="preserve">Less volume is needed to move the price, which is also indicated by a higher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oMath>
      <w:r w:rsidR="004E287B">
        <w:t xml:space="preserve">This also signals lower </w:t>
      </w:r>
      <w:r w:rsidR="00597D22">
        <w:t>market</w:t>
      </w:r>
      <w:r w:rsidR="004E287B">
        <w:t xml:space="preserve"> depth and higher execution costs. In order to get the single-number liquidity metric for each market, we would need to average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4E287B">
        <w:t xml:space="preserve"> across all intervals. </w:t>
      </w:r>
    </w:p>
    <w:p w14:paraId="2AFE03DA" w14:textId="19B36646" w:rsidR="004E287B" w:rsidRDefault="004E287B" w:rsidP="004E287B">
      <w:pPr>
        <w:pStyle w:val="ListParagraph"/>
        <w:ind w:left="360"/>
        <w:jc w:val="center"/>
        <w:rPr>
          <w:i/>
          <w:iCs/>
        </w:rPr>
      </w:pPr>
      <w:r>
        <w:rPr>
          <w:b/>
          <w:bCs/>
          <w:i/>
          <w:iCs/>
        </w:rPr>
        <w:t xml:space="preserve">Figure </w:t>
      </w:r>
      <w:r w:rsidR="00990E3B">
        <w:rPr>
          <w:b/>
          <w:bCs/>
          <w:i/>
          <w:iCs/>
        </w:rPr>
        <w:t>4:</w:t>
      </w:r>
      <w:r w:rsidRPr="00AF3FC2">
        <w:rPr>
          <w:i/>
          <w:iCs/>
        </w:rPr>
        <w:t xml:space="preserve"> </w:t>
      </w:r>
      <w:r>
        <w:rPr>
          <w:i/>
          <w:iCs/>
        </w:rPr>
        <w:t xml:space="preserve">Amihud Illiquidity Ratio Boxplot </w:t>
      </w:r>
    </w:p>
    <w:p w14:paraId="24FE23C5" w14:textId="77777777" w:rsidR="004E287B" w:rsidRDefault="004E287B" w:rsidP="004E287B">
      <w:pPr>
        <w:pStyle w:val="ListParagraph"/>
        <w:ind w:left="360"/>
        <w:jc w:val="center"/>
        <w:rPr>
          <w:i/>
          <w:iCs/>
        </w:rPr>
      </w:pPr>
    </w:p>
    <w:p w14:paraId="0A6617B1" w14:textId="6E9D969B" w:rsidR="004E287B" w:rsidRPr="00AF3FC2" w:rsidRDefault="004E287B" w:rsidP="004E287B">
      <w:pPr>
        <w:pStyle w:val="ListParagraph"/>
        <w:ind w:left="360"/>
        <w:jc w:val="center"/>
        <w:rPr>
          <w:i/>
          <w:iCs/>
        </w:rPr>
      </w:pPr>
      <w:r>
        <w:rPr>
          <w:noProof/>
        </w:rPr>
        <w:drawing>
          <wp:inline distT="0" distB="0" distL="0" distR="0" wp14:anchorId="58A5AABE" wp14:editId="324085A2">
            <wp:extent cx="4614530" cy="3076353"/>
            <wp:effectExtent l="0" t="0" r="0" b="0"/>
            <wp:docPr id="1100652748" name="Picture 5" descr="Something went wrong with render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mething went wrong with rendering th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57" cy="3079771"/>
                    </a:xfrm>
                    <a:prstGeom prst="rect">
                      <a:avLst/>
                    </a:prstGeom>
                    <a:noFill/>
                    <a:ln>
                      <a:noFill/>
                    </a:ln>
                  </pic:spPr>
                </pic:pic>
              </a:graphicData>
            </a:graphic>
          </wp:inline>
        </w:drawing>
      </w:r>
    </w:p>
    <w:p w14:paraId="07679209" w14:textId="77777777" w:rsidR="004E287B" w:rsidRDefault="004E287B" w:rsidP="000A1499"/>
    <w:p w14:paraId="211CCD72" w14:textId="3068667D" w:rsidR="004E287B" w:rsidRDefault="004E287B" w:rsidP="000A1499">
      <w:pPr>
        <w:rPr>
          <w:noProof/>
        </w:rPr>
      </w:pPr>
      <w:r>
        <w:rPr>
          <w:noProof/>
        </w:rPr>
        <w:lastRenderedPageBreak/>
        <w:t xml:space="preserve">From </w:t>
      </w:r>
      <w:r w:rsidR="00372460">
        <w:rPr>
          <w:noProof/>
        </w:rPr>
        <w:t>Figure</w:t>
      </w:r>
      <w:r>
        <w:rPr>
          <w:noProof/>
        </w:rPr>
        <w:t xml:space="preserve"> 3 we can interpret the following: </w:t>
      </w:r>
    </w:p>
    <w:p w14:paraId="0B3D8FBA" w14:textId="16F4C97D" w:rsidR="004E287B" w:rsidRDefault="004E287B" w:rsidP="004E287B">
      <w:pPr>
        <w:pStyle w:val="ListParagraph"/>
        <w:numPr>
          <w:ilvl w:val="5"/>
          <w:numId w:val="17"/>
        </w:numPr>
        <w:ind w:left="567"/>
      </w:pPr>
      <w:r>
        <w:t>On the LSE, the median Amihud ratio is extremely low</w:t>
      </w:r>
      <w:r w:rsidR="00372460">
        <w:t>,</w:t>
      </w:r>
      <w:r>
        <w:t xml:space="preserve"> and the distribution is tightly clustered. Again, large trades typically produce negligible price moves, as seen above. </w:t>
      </w:r>
    </w:p>
    <w:p w14:paraId="5E1DED1F" w14:textId="3F97ED76" w:rsidR="004E287B" w:rsidRDefault="004E287B" w:rsidP="004E287B">
      <w:pPr>
        <w:pStyle w:val="ListParagraph"/>
        <w:numPr>
          <w:ilvl w:val="5"/>
          <w:numId w:val="17"/>
        </w:numPr>
        <w:ind w:left="567"/>
      </w:pPr>
      <w:r>
        <w:t xml:space="preserve">Meanwhile, for BSE, we can see that the upper whisker and outliers extend much higher, even though the bulk of intervals have low ratios. This reveals that even modest orders like RIL can produce outsized price swings. </w:t>
      </w:r>
    </w:p>
    <w:p w14:paraId="682EA445" w14:textId="20964481" w:rsidR="004E287B" w:rsidRDefault="004E287B" w:rsidP="004E287B">
      <w:pPr>
        <w:pStyle w:val="ListParagraph"/>
        <w:numPr>
          <w:ilvl w:val="5"/>
          <w:numId w:val="17"/>
        </w:numPr>
        <w:ind w:left="567"/>
      </w:pPr>
      <w:r>
        <w:t>By comparing LSE and BSE through this ratio, it is reiterated</w:t>
      </w:r>
      <w:r w:rsidR="00372460">
        <w:t>,</w:t>
      </w:r>
      <w:r>
        <w:t xml:space="preserve"> with the border </w:t>
      </w:r>
      <w:r w:rsidR="000D245C">
        <w:t>microstructure</w:t>
      </w:r>
      <w:r>
        <w:t xml:space="preserve"> literature – </w:t>
      </w:r>
      <w:r w:rsidR="00597D22">
        <w:t>that BSE</w:t>
      </w:r>
      <w:r>
        <w:t xml:space="preserve"> faces more sporadic illiquidity spikes. Whereas, LSE offers a more resilient depth. </w:t>
      </w:r>
      <w:r w:rsidR="000D245C">
        <w:t xml:space="preserve">Since </w:t>
      </w:r>
      <w:r w:rsidR="00597D22">
        <w:t>liquidity provision</w:t>
      </w:r>
      <w:r w:rsidR="000D245C">
        <w:t xml:space="preserve"> is steady, traders can now execute sizeable orders with minimal slippage. </w:t>
      </w:r>
    </w:p>
    <w:p w14:paraId="20E655B1" w14:textId="055E04D4" w:rsidR="000D245C" w:rsidRDefault="000D245C" w:rsidP="000D245C">
      <w:pPr>
        <w:ind w:left="207"/>
      </w:pPr>
      <w:r w:rsidRPr="000D245C">
        <w:rPr>
          <w:i/>
          <w:iCs/>
        </w:rPr>
        <w:t>Why does this matter for practice?</w:t>
      </w:r>
      <w:r>
        <w:t xml:space="preserve"> I believe that the BSE findings imply that Reliance should embed a larger </w:t>
      </w:r>
      <w:r w:rsidR="00597D22">
        <w:t>liquidity premium</w:t>
      </w:r>
      <w:r>
        <w:t xml:space="preserve"> to compensate the investors for those occasional but severe slippage events. So, the execution strategy would be that in a developed market venue like LSE, algorithms could slice and route orders with low-</w:t>
      </w:r>
      <w:r w:rsidR="00597D22">
        <w:t>c</w:t>
      </w:r>
      <w:r>
        <w:t xml:space="preserve">ost outcomes. But for BSE, algorithms must adapt dynamically and should be able to scan for dry-up signals. To conclude, I believe that a RIL might see a negligible Amihud ration 90% of the time. However, the remaining 10% of intervals could </w:t>
      </w:r>
      <w:r w:rsidR="00372460">
        <w:t>score</w:t>
      </w:r>
      <w:r>
        <w:t xml:space="preserve"> 2-5 times more per share in the price impact. </w:t>
      </w:r>
    </w:p>
    <w:p w14:paraId="07DE3BA1" w14:textId="77777777" w:rsidR="0052311E" w:rsidRDefault="0052311E" w:rsidP="000D245C">
      <w:pPr>
        <w:ind w:left="207"/>
      </w:pPr>
    </w:p>
    <w:p w14:paraId="30776BDB" w14:textId="02E869B7" w:rsidR="0052311E" w:rsidRDefault="00D75553" w:rsidP="0052311E">
      <w:pPr>
        <w:pStyle w:val="Heading4"/>
      </w:pPr>
      <w:r>
        <w:t>1.3</w:t>
      </w:r>
      <w:r w:rsidR="0052311E">
        <w:t xml:space="preserve">.4 Spread Autocovariance Analysis </w:t>
      </w:r>
    </w:p>
    <w:p w14:paraId="3125F168" w14:textId="557F56C3" w:rsidR="00132E1F" w:rsidRDefault="00B01F4D" w:rsidP="00B01F4D">
      <w:r>
        <w:t xml:space="preserve">So far, we have compared the depth and price-impact metrics of the BSE and LSE through trade-impact regressions and Amihud illiquidity ratios. I shall now try to explore the dynamics of bid-ask bounce. Let us now see how we can probe for </w:t>
      </w:r>
      <w:r w:rsidR="00BA178B">
        <w:t>microstructure</w:t>
      </w:r>
      <w:r>
        <w:t xml:space="preserve"> noise in each of these markets. </w:t>
      </w:r>
      <w:r w:rsidR="00132E1F">
        <w:t xml:space="preserve">The equation is as follows: </w:t>
      </w:r>
    </w:p>
    <w:p w14:paraId="074BC11A" w14:textId="73FED572" w:rsidR="00132E1F" w:rsidRDefault="00132E1F" w:rsidP="00B01F4D">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Close </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Close </m:t>
              </m:r>
            </m:e>
            <m:sub>
              <m:r>
                <w:rPr>
                  <w:rFonts w:ascii="Cambria Math" w:hAnsi="Cambria Math"/>
                </w:rPr>
                <m:t xml:space="preserve">t-1 </m:t>
              </m:r>
            </m:sub>
          </m:sSub>
        </m:oMath>
      </m:oMathPara>
    </w:p>
    <w:p w14:paraId="37776585" w14:textId="34A4CBA9" w:rsidR="006A4AC8" w:rsidRDefault="00132E1F" w:rsidP="00B01F4D">
      <w:r>
        <w:t>I have pursued</w:t>
      </w:r>
      <w:r w:rsidR="00B01F4D">
        <w:t xml:space="preserve"> this by computing the signed ten-minute</w:t>
      </w:r>
      <w:r w:rsidR="00BA178B">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BA178B">
        <w:t>, and also estimating its autocorrelation at lags 1-5. Table 5 reports these autocorrelations for BSE as well as LSE.</w:t>
      </w:r>
    </w:p>
    <w:p w14:paraId="6F2A3469" w14:textId="23F02442" w:rsidR="00BA178B" w:rsidRPr="00BA178B" w:rsidRDefault="00597D22" w:rsidP="00BA178B">
      <w:pPr>
        <w:pStyle w:val="ListParagraph"/>
        <w:ind w:left="360"/>
        <w:jc w:val="center"/>
        <w:rPr>
          <w:i/>
          <w:iCs/>
        </w:rPr>
      </w:pPr>
      <w:r>
        <w:rPr>
          <w:b/>
          <w:bCs/>
          <w:i/>
          <w:iCs/>
        </w:rPr>
        <w:t xml:space="preserve">Table </w:t>
      </w:r>
      <w:r w:rsidR="00D75553">
        <w:rPr>
          <w:b/>
          <w:bCs/>
          <w:i/>
          <w:iCs/>
        </w:rPr>
        <w:t>6</w:t>
      </w:r>
      <w:r>
        <w:rPr>
          <w:b/>
          <w:bCs/>
          <w:i/>
          <w:iCs/>
        </w:rPr>
        <w:t>:</w:t>
      </w:r>
      <w:r w:rsidR="00BA178B" w:rsidRPr="00AF3FC2">
        <w:rPr>
          <w:i/>
          <w:iCs/>
        </w:rPr>
        <w:t xml:space="preserve"> </w:t>
      </w:r>
      <w:r w:rsidR="00BA178B">
        <w:rPr>
          <w:i/>
          <w:iCs/>
        </w:rPr>
        <w:t xml:space="preserve">Autocorrelations of  </w:t>
      </w:r>
      <m:oMath>
        <m:r>
          <w:rPr>
            <w:rFonts w:ascii="Cambria Math" w:hAnsi="Cambria Math"/>
          </w:rPr>
          <m:t xml:space="preserve">∆P </m:t>
        </m:r>
      </m:oMath>
      <w:r w:rsidR="00BA178B">
        <w:rPr>
          <w:i/>
          <w:iCs/>
        </w:rPr>
        <w:t>(</w:t>
      </w:r>
      <w:r w:rsidR="00372460">
        <w:rPr>
          <w:i/>
          <w:iCs/>
        </w:rPr>
        <w:t>10-minute</w:t>
      </w:r>
      <w:r w:rsidR="00BA178B">
        <w:rPr>
          <w:i/>
          <w:iCs/>
        </w:rPr>
        <w:t xml:space="preserve"> </w:t>
      </w:r>
      <w:r>
        <w:rPr>
          <w:i/>
          <w:iCs/>
        </w:rPr>
        <w:t>interval)</w:t>
      </w:r>
      <w:r w:rsidR="00BA178B">
        <w:rPr>
          <w:i/>
          <w:iCs/>
        </w:rPr>
        <w:t xml:space="preserve"> </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BA178B" w14:paraId="4F9CBF36" w14:textId="77777777" w:rsidTr="00BA178B">
        <w:tc>
          <w:tcPr>
            <w:tcW w:w="1438" w:type="dxa"/>
          </w:tcPr>
          <w:p w14:paraId="07C93F56" w14:textId="765C688F" w:rsidR="00BA178B" w:rsidRDefault="00BA178B" w:rsidP="000A1499">
            <w:r>
              <w:t>Exchange</w:t>
            </w:r>
          </w:p>
        </w:tc>
        <w:tc>
          <w:tcPr>
            <w:tcW w:w="1438" w:type="dxa"/>
          </w:tcPr>
          <w:p w14:paraId="4E8F875B" w14:textId="5C90B10B" w:rsidR="00BA178B" w:rsidRDefault="00BA178B" w:rsidP="000A1499">
            <w:r>
              <w:t>Lag1</w:t>
            </w:r>
          </w:p>
        </w:tc>
        <w:tc>
          <w:tcPr>
            <w:tcW w:w="1438" w:type="dxa"/>
          </w:tcPr>
          <w:p w14:paraId="734881FA" w14:textId="769E7A6A" w:rsidR="00BA178B" w:rsidRDefault="00BA178B" w:rsidP="000A1499">
            <w:r>
              <w:t>Lag2</w:t>
            </w:r>
          </w:p>
        </w:tc>
        <w:tc>
          <w:tcPr>
            <w:tcW w:w="1438" w:type="dxa"/>
          </w:tcPr>
          <w:p w14:paraId="3FAF3E72" w14:textId="7046CB2A" w:rsidR="00BA178B" w:rsidRDefault="00BA178B" w:rsidP="000A1499">
            <w:r>
              <w:t>Lag3</w:t>
            </w:r>
          </w:p>
        </w:tc>
        <w:tc>
          <w:tcPr>
            <w:tcW w:w="1439" w:type="dxa"/>
          </w:tcPr>
          <w:p w14:paraId="40FB612C" w14:textId="6F71132F" w:rsidR="00BA178B" w:rsidRDefault="00BA178B" w:rsidP="000A1499">
            <w:r>
              <w:t>Lag4</w:t>
            </w:r>
          </w:p>
        </w:tc>
        <w:tc>
          <w:tcPr>
            <w:tcW w:w="1439" w:type="dxa"/>
          </w:tcPr>
          <w:p w14:paraId="06CBB2F3" w14:textId="6506E4D1" w:rsidR="00BA178B" w:rsidRDefault="00BA178B" w:rsidP="000A1499">
            <w:r>
              <w:t xml:space="preserve">Lag5 </w:t>
            </w:r>
          </w:p>
        </w:tc>
      </w:tr>
      <w:tr w:rsidR="00BA178B" w14:paraId="1FF61E02" w14:textId="77777777" w:rsidTr="00BA178B">
        <w:tc>
          <w:tcPr>
            <w:tcW w:w="1438" w:type="dxa"/>
          </w:tcPr>
          <w:p w14:paraId="4B605787" w14:textId="1231D86B" w:rsidR="00BA178B" w:rsidRDefault="00BA178B" w:rsidP="000A1499">
            <w:r>
              <w:t xml:space="preserve">BSE </w:t>
            </w:r>
          </w:p>
        </w:tc>
        <w:tc>
          <w:tcPr>
            <w:tcW w:w="1438" w:type="dxa"/>
          </w:tcPr>
          <w:p w14:paraId="59B98A23" w14:textId="77777777" w:rsidR="00BA178B" w:rsidRPr="00BA178B" w:rsidRDefault="00BA178B" w:rsidP="00BA178B">
            <w:pPr>
              <w:rPr>
                <w:lang w:val="en-IN"/>
              </w:rPr>
            </w:pPr>
            <w:r w:rsidRPr="00BA178B">
              <w:rPr>
                <w:lang w:val="en-IN"/>
              </w:rPr>
              <w:t>0.010179</w:t>
            </w:r>
          </w:p>
          <w:p w14:paraId="4A0AB8E0" w14:textId="0DD15FF0" w:rsidR="00BA178B" w:rsidRDefault="00BA178B" w:rsidP="000A1499"/>
        </w:tc>
        <w:tc>
          <w:tcPr>
            <w:tcW w:w="1438" w:type="dxa"/>
          </w:tcPr>
          <w:p w14:paraId="5109DAAC" w14:textId="77777777" w:rsidR="00BA178B" w:rsidRPr="00BA178B" w:rsidRDefault="00BA178B" w:rsidP="00BA178B">
            <w:pPr>
              <w:rPr>
                <w:lang w:val="en-IN"/>
              </w:rPr>
            </w:pPr>
            <w:r w:rsidRPr="00BA178B">
              <w:rPr>
                <w:lang w:val="en-IN"/>
              </w:rPr>
              <w:t>0.011062</w:t>
            </w:r>
          </w:p>
          <w:p w14:paraId="18633342" w14:textId="77777777" w:rsidR="00BA178B" w:rsidRDefault="00BA178B" w:rsidP="000A1499"/>
        </w:tc>
        <w:tc>
          <w:tcPr>
            <w:tcW w:w="1438" w:type="dxa"/>
          </w:tcPr>
          <w:p w14:paraId="2427C9D0" w14:textId="77777777" w:rsidR="00BA178B" w:rsidRPr="00BA178B" w:rsidRDefault="00BA178B" w:rsidP="00BA178B">
            <w:pPr>
              <w:rPr>
                <w:lang w:val="en-IN"/>
              </w:rPr>
            </w:pPr>
            <w:r w:rsidRPr="00BA178B">
              <w:rPr>
                <w:lang w:val="en-IN"/>
              </w:rPr>
              <w:t>0.006363</w:t>
            </w:r>
          </w:p>
          <w:p w14:paraId="30B22233" w14:textId="77777777" w:rsidR="00BA178B" w:rsidRDefault="00BA178B" w:rsidP="000A1499"/>
        </w:tc>
        <w:tc>
          <w:tcPr>
            <w:tcW w:w="1439" w:type="dxa"/>
          </w:tcPr>
          <w:p w14:paraId="72532684" w14:textId="77777777" w:rsidR="00BA178B" w:rsidRPr="00BA178B" w:rsidRDefault="00BA178B" w:rsidP="00BA178B">
            <w:pPr>
              <w:rPr>
                <w:lang w:val="en-IN"/>
              </w:rPr>
            </w:pPr>
            <w:r w:rsidRPr="00BA178B">
              <w:rPr>
                <w:lang w:val="en-IN"/>
              </w:rPr>
              <w:t>0.015127</w:t>
            </w:r>
          </w:p>
          <w:p w14:paraId="3CD6D359" w14:textId="77777777" w:rsidR="00BA178B" w:rsidRDefault="00BA178B" w:rsidP="000A1499"/>
        </w:tc>
        <w:tc>
          <w:tcPr>
            <w:tcW w:w="1439" w:type="dxa"/>
          </w:tcPr>
          <w:p w14:paraId="7223454F" w14:textId="77777777" w:rsidR="00BA178B" w:rsidRPr="00BA178B" w:rsidRDefault="00BA178B" w:rsidP="00BA178B">
            <w:pPr>
              <w:rPr>
                <w:lang w:val="en-IN"/>
              </w:rPr>
            </w:pPr>
            <w:r w:rsidRPr="00BA178B">
              <w:rPr>
                <w:lang w:val="en-IN"/>
              </w:rPr>
              <w:t>-0.021388</w:t>
            </w:r>
          </w:p>
          <w:p w14:paraId="1876C87D" w14:textId="77777777" w:rsidR="00BA178B" w:rsidRDefault="00BA178B" w:rsidP="000A1499"/>
        </w:tc>
      </w:tr>
      <w:tr w:rsidR="00BA178B" w14:paraId="6E0E1A80" w14:textId="77777777" w:rsidTr="00BA178B">
        <w:tc>
          <w:tcPr>
            <w:tcW w:w="1438" w:type="dxa"/>
          </w:tcPr>
          <w:p w14:paraId="3FE9E7DA" w14:textId="5EFFDD8F" w:rsidR="00BA178B" w:rsidRDefault="00BA178B" w:rsidP="000A1499">
            <w:r>
              <w:t xml:space="preserve">LSE </w:t>
            </w:r>
          </w:p>
        </w:tc>
        <w:tc>
          <w:tcPr>
            <w:tcW w:w="1438" w:type="dxa"/>
          </w:tcPr>
          <w:p w14:paraId="5D965358" w14:textId="77777777" w:rsidR="00BA178B" w:rsidRPr="00BA178B" w:rsidRDefault="00BA178B" w:rsidP="00BA178B">
            <w:pPr>
              <w:rPr>
                <w:lang w:val="en-IN"/>
              </w:rPr>
            </w:pPr>
            <w:r w:rsidRPr="00BA178B">
              <w:rPr>
                <w:lang w:val="en-IN"/>
              </w:rPr>
              <w:t>-0.087511</w:t>
            </w:r>
          </w:p>
          <w:p w14:paraId="0B7067B9" w14:textId="77777777" w:rsidR="00BA178B" w:rsidRDefault="00BA178B" w:rsidP="000A1499"/>
        </w:tc>
        <w:tc>
          <w:tcPr>
            <w:tcW w:w="1438" w:type="dxa"/>
          </w:tcPr>
          <w:p w14:paraId="02871331" w14:textId="77777777" w:rsidR="00BA178B" w:rsidRPr="00BA178B" w:rsidRDefault="00BA178B" w:rsidP="00BA178B">
            <w:pPr>
              <w:rPr>
                <w:lang w:val="en-IN"/>
              </w:rPr>
            </w:pPr>
            <w:r w:rsidRPr="00BA178B">
              <w:rPr>
                <w:lang w:val="en-IN"/>
              </w:rPr>
              <w:t>0.020117</w:t>
            </w:r>
          </w:p>
          <w:p w14:paraId="7247C94B" w14:textId="77777777" w:rsidR="00BA178B" w:rsidRDefault="00BA178B" w:rsidP="000A1499"/>
        </w:tc>
        <w:tc>
          <w:tcPr>
            <w:tcW w:w="1438" w:type="dxa"/>
          </w:tcPr>
          <w:p w14:paraId="000DF663" w14:textId="77777777" w:rsidR="00BA178B" w:rsidRPr="00BA178B" w:rsidRDefault="00BA178B" w:rsidP="00BA178B">
            <w:pPr>
              <w:rPr>
                <w:lang w:val="en-IN"/>
              </w:rPr>
            </w:pPr>
            <w:r w:rsidRPr="00BA178B">
              <w:rPr>
                <w:lang w:val="en-IN"/>
              </w:rPr>
              <w:t>-0.004959</w:t>
            </w:r>
          </w:p>
          <w:p w14:paraId="47023F14" w14:textId="77777777" w:rsidR="00BA178B" w:rsidRDefault="00BA178B" w:rsidP="000A1499"/>
        </w:tc>
        <w:tc>
          <w:tcPr>
            <w:tcW w:w="1439" w:type="dxa"/>
          </w:tcPr>
          <w:p w14:paraId="65B5E6EF" w14:textId="77777777" w:rsidR="00BA178B" w:rsidRPr="00BA178B" w:rsidRDefault="00BA178B" w:rsidP="00BA178B">
            <w:pPr>
              <w:rPr>
                <w:lang w:val="en-IN"/>
              </w:rPr>
            </w:pPr>
            <w:r w:rsidRPr="00BA178B">
              <w:rPr>
                <w:lang w:val="en-IN"/>
              </w:rPr>
              <w:t>-0.062127</w:t>
            </w:r>
          </w:p>
          <w:p w14:paraId="3C3AAD6B" w14:textId="77777777" w:rsidR="00BA178B" w:rsidRDefault="00BA178B" w:rsidP="000A1499"/>
        </w:tc>
        <w:tc>
          <w:tcPr>
            <w:tcW w:w="1439" w:type="dxa"/>
          </w:tcPr>
          <w:p w14:paraId="6192D658" w14:textId="77777777" w:rsidR="00BA178B" w:rsidRPr="00BA178B" w:rsidRDefault="00BA178B" w:rsidP="00BA178B">
            <w:pPr>
              <w:rPr>
                <w:lang w:val="en-IN"/>
              </w:rPr>
            </w:pPr>
            <w:r w:rsidRPr="00BA178B">
              <w:rPr>
                <w:lang w:val="en-IN"/>
              </w:rPr>
              <w:t>0.013549</w:t>
            </w:r>
          </w:p>
          <w:p w14:paraId="321BC2D4" w14:textId="77777777" w:rsidR="00BA178B" w:rsidRDefault="00BA178B" w:rsidP="000A1499"/>
        </w:tc>
      </w:tr>
    </w:tbl>
    <w:p w14:paraId="5E74780A" w14:textId="77777777" w:rsidR="000A1499" w:rsidRDefault="000A1499" w:rsidP="000A1499"/>
    <w:p w14:paraId="204794BC" w14:textId="77777777" w:rsidR="00D75553" w:rsidRDefault="00D75553" w:rsidP="000A1499"/>
    <w:p w14:paraId="29D92EF8" w14:textId="77777777" w:rsidR="00D75553" w:rsidRDefault="00D75553" w:rsidP="000A1499"/>
    <w:p w14:paraId="6BBC2957" w14:textId="77777777" w:rsidR="00D75553" w:rsidRDefault="00BA178B" w:rsidP="00BA178B">
      <w:pPr>
        <w:pStyle w:val="ListParagraph"/>
        <w:ind w:left="360"/>
        <w:jc w:val="center"/>
        <w:rPr>
          <w:i/>
          <w:iCs/>
        </w:rPr>
      </w:pPr>
      <w:r>
        <w:rPr>
          <w:b/>
          <w:bCs/>
          <w:i/>
          <w:iCs/>
        </w:rPr>
        <w:lastRenderedPageBreak/>
        <w:t xml:space="preserve">Figure </w:t>
      </w:r>
      <w:r w:rsidR="00D75553">
        <w:rPr>
          <w:b/>
          <w:bCs/>
          <w:i/>
          <w:iCs/>
        </w:rPr>
        <w:t>5</w:t>
      </w:r>
      <w:r w:rsidR="00597D22">
        <w:rPr>
          <w:b/>
          <w:bCs/>
          <w:i/>
          <w:iCs/>
        </w:rPr>
        <w:t>:</w:t>
      </w:r>
      <w:r w:rsidRPr="00AF3FC2">
        <w:rPr>
          <w:i/>
          <w:iCs/>
        </w:rPr>
        <w:t xml:space="preserve"> </w:t>
      </w:r>
      <w:r>
        <w:rPr>
          <w:i/>
          <w:iCs/>
        </w:rPr>
        <w:t xml:space="preserve">BSE </w:t>
      </w:r>
      <m:oMath>
        <m:r>
          <w:rPr>
            <w:rFonts w:ascii="Cambria Math" w:hAnsi="Cambria Math"/>
          </w:rPr>
          <m:t xml:space="preserve">∆P </m:t>
        </m:r>
      </m:oMath>
      <w:r>
        <w:rPr>
          <w:i/>
          <w:iCs/>
        </w:rPr>
        <w:t>ACF (10- min)</w:t>
      </w:r>
      <w:r w:rsidR="00132E1F">
        <w:rPr>
          <w:i/>
          <w:iCs/>
        </w:rPr>
        <w:t xml:space="preserve">: Full ACF </w:t>
      </w:r>
      <w:r w:rsidR="00597D22">
        <w:rPr>
          <w:i/>
          <w:iCs/>
        </w:rPr>
        <w:t>up to</w:t>
      </w:r>
      <w:r w:rsidR="00132E1F">
        <w:rPr>
          <w:i/>
          <w:iCs/>
        </w:rPr>
        <w:t xml:space="preserve"> 20 lags </w:t>
      </w:r>
      <w:r w:rsidR="00C05806">
        <w:rPr>
          <w:i/>
          <w:iCs/>
        </w:rPr>
        <w:t xml:space="preserve">and </w:t>
      </w:r>
    </w:p>
    <w:p w14:paraId="14FE2207" w14:textId="0BEBAF99" w:rsidR="00BA178B" w:rsidRDefault="00C05806" w:rsidP="00BA178B">
      <w:pPr>
        <w:pStyle w:val="ListParagraph"/>
        <w:ind w:left="360"/>
        <w:jc w:val="center"/>
        <w:rPr>
          <w:i/>
          <w:iCs/>
        </w:rPr>
      </w:pPr>
      <w:r>
        <w:rPr>
          <w:b/>
          <w:bCs/>
          <w:i/>
          <w:iCs/>
        </w:rPr>
        <w:t xml:space="preserve">Figure </w:t>
      </w:r>
      <w:r w:rsidR="00D75553">
        <w:rPr>
          <w:b/>
          <w:bCs/>
          <w:i/>
          <w:iCs/>
        </w:rPr>
        <w:t>6</w:t>
      </w:r>
      <w:r w:rsidR="00597D22">
        <w:rPr>
          <w:b/>
          <w:bCs/>
          <w:i/>
          <w:iCs/>
        </w:rPr>
        <w:t>:</w:t>
      </w:r>
      <w:r w:rsidRPr="00AF3FC2">
        <w:rPr>
          <w:i/>
          <w:iCs/>
        </w:rPr>
        <w:t xml:space="preserve"> </w:t>
      </w:r>
      <w:r>
        <w:rPr>
          <w:i/>
          <w:iCs/>
        </w:rPr>
        <w:t xml:space="preserve">LSE  </w:t>
      </w:r>
      <m:oMath>
        <m:r>
          <w:rPr>
            <w:rFonts w:ascii="Cambria Math" w:hAnsi="Cambria Math"/>
          </w:rPr>
          <m:t xml:space="preserve">∆P </m:t>
        </m:r>
      </m:oMath>
      <w:r>
        <w:rPr>
          <w:i/>
          <w:iCs/>
        </w:rPr>
        <w:t>ACF (10- min)</w:t>
      </w:r>
    </w:p>
    <w:p w14:paraId="16E19F01" w14:textId="77777777" w:rsidR="00BA178B" w:rsidRDefault="00BA178B" w:rsidP="00BA178B">
      <w:pPr>
        <w:pStyle w:val="ListParagraph"/>
        <w:ind w:left="360"/>
        <w:jc w:val="center"/>
        <w:rPr>
          <w:i/>
          <w:iCs/>
        </w:rPr>
      </w:pPr>
    </w:p>
    <w:p w14:paraId="1B0EE502" w14:textId="0382AF7F" w:rsidR="00BA178B" w:rsidRDefault="00BA178B" w:rsidP="00C05806">
      <w:pPr>
        <w:pStyle w:val="ListParagraph"/>
        <w:ind w:left="360"/>
        <w:rPr>
          <w:i/>
          <w:iCs/>
        </w:rPr>
      </w:pPr>
      <w:r w:rsidRPr="00BA178B">
        <w:rPr>
          <w:i/>
          <w:iCs/>
          <w:noProof/>
        </w:rPr>
        <w:drawing>
          <wp:inline distT="0" distB="0" distL="0" distR="0" wp14:anchorId="516E65C4" wp14:editId="03E82E9F">
            <wp:extent cx="2258291" cy="1618180"/>
            <wp:effectExtent l="0" t="0" r="8890" b="1270"/>
            <wp:docPr id="213278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1672" name=""/>
                    <pic:cNvPicPr/>
                  </pic:nvPicPr>
                  <pic:blipFill>
                    <a:blip r:embed="rId13"/>
                    <a:stretch>
                      <a:fillRect/>
                    </a:stretch>
                  </pic:blipFill>
                  <pic:spPr>
                    <a:xfrm>
                      <a:off x="0" y="0"/>
                      <a:ext cx="2276856" cy="1631483"/>
                    </a:xfrm>
                    <a:prstGeom prst="rect">
                      <a:avLst/>
                    </a:prstGeom>
                  </pic:spPr>
                </pic:pic>
              </a:graphicData>
            </a:graphic>
          </wp:inline>
        </w:drawing>
      </w:r>
      <w:r w:rsidR="00C05806" w:rsidRPr="00BA178B">
        <w:rPr>
          <w:i/>
          <w:iCs/>
          <w:noProof/>
        </w:rPr>
        <w:drawing>
          <wp:inline distT="0" distB="0" distL="0" distR="0" wp14:anchorId="47934BC4" wp14:editId="2AADCE43">
            <wp:extent cx="2582417" cy="1675881"/>
            <wp:effectExtent l="0" t="0" r="8890" b="635"/>
            <wp:docPr id="73045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0466" name=""/>
                    <pic:cNvPicPr/>
                  </pic:nvPicPr>
                  <pic:blipFill>
                    <a:blip r:embed="rId14"/>
                    <a:stretch>
                      <a:fillRect/>
                    </a:stretch>
                  </pic:blipFill>
                  <pic:spPr>
                    <a:xfrm>
                      <a:off x="0" y="0"/>
                      <a:ext cx="2594334" cy="1683615"/>
                    </a:xfrm>
                    <a:prstGeom prst="rect">
                      <a:avLst/>
                    </a:prstGeom>
                  </pic:spPr>
                </pic:pic>
              </a:graphicData>
            </a:graphic>
          </wp:inline>
        </w:drawing>
      </w:r>
    </w:p>
    <w:p w14:paraId="25E03CA3" w14:textId="77777777" w:rsidR="00BA178B" w:rsidRDefault="00BA178B" w:rsidP="00BA178B">
      <w:pPr>
        <w:pStyle w:val="ListParagraph"/>
        <w:ind w:left="360"/>
        <w:jc w:val="center"/>
        <w:rPr>
          <w:i/>
          <w:iCs/>
        </w:rPr>
      </w:pPr>
    </w:p>
    <w:p w14:paraId="0A965342" w14:textId="77777777" w:rsidR="00BA178B" w:rsidRDefault="00BA178B" w:rsidP="00BA178B">
      <w:pPr>
        <w:pStyle w:val="ListParagraph"/>
        <w:ind w:left="360"/>
        <w:jc w:val="center"/>
        <w:rPr>
          <w:i/>
          <w:iCs/>
        </w:rPr>
      </w:pPr>
    </w:p>
    <w:p w14:paraId="30622F70" w14:textId="210CD79D" w:rsidR="00BA178B" w:rsidRDefault="00C05806" w:rsidP="00C05806">
      <w:pPr>
        <w:pStyle w:val="ListParagraph"/>
        <w:ind w:left="360"/>
      </w:pPr>
      <w:r>
        <w:t xml:space="preserve">From the above graphs, it is found that for BSE, all </w:t>
      </w:r>
      <w:r w:rsidR="00372460">
        <w:t>autocorrelation</w:t>
      </w:r>
      <w:r>
        <w:t xml:space="preserve"> coefficients hover zero. It suggests that within each ten-minute window, the rapid bid-as</w:t>
      </w:r>
      <w:r w:rsidR="00F607C5">
        <w:t>k</w:t>
      </w:r>
      <w:r>
        <w:t xml:space="preserve"> reversals generated by continuous and HFT cancel out. This leaves no detectable “bounce” in our sampled returns.  This suggests that the alternating trades first hit the bid</w:t>
      </w:r>
      <w:r w:rsidR="00372460">
        <w:t>,</w:t>
      </w:r>
      <w:r>
        <w:t xml:space="preserve"> then the ask.  </w:t>
      </w:r>
      <w:r w:rsidR="00F607C5">
        <w:t xml:space="preserve">For RIL trading on BSE, the 10-minute return series </w:t>
      </w:r>
      <w:r w:rsidR="00990E3B">
        <w:t>show</w:t>
      </w:r>
      <w:r w:rsidR="00F607C5">
        <w:t xml:space="preserve"> no bid-ask bounce at all. Or in simpler terms, the </w:t>
      </w:r>
      <w:r w:rsidR="00372460">
        <w:t>10-minute</w:t>
      </w:r>
      <w:r w:rsidR="00F607C5">
        <w:t xml:space="preserve"> snapshots </w:t>
      </w:r>
      <w:r w:rsidR="00AC5A8F">
        <w:t>entirely</w:t>
      </w:r>
      <w:r w:rsidR="00F607C5">
        <w:t xml:space="preserve"> “wash out” the implicit spread. In order to observe the microstructure effects on BSE, the following would be required: </w:t>
      </w:r>
    </w:p>
    <w:p w14:paraId="63EF8063" w14:textId="0E314BBA" w:rsidR="00F607C5" w:rsidRDefault="00F607C5" w:rsidP="00F607C5">
      <w:pPr>
        <w:pStyle w:val="ListParagraph"/>
        <w:numPr>
          <w:ilvl w:val="0"/>
          <w:numId w:val="24"/>
        </w:numPr>
      </w:pPr>
      <w:r>
        <w:t xml:space="preserve">Tick- by- tick transaction data </w:t>
      </w:r>
    </w:p>
    <w:p w14:paraId="3B282572" w14:textId="75862DD0" w:rsidR="00F607C5" w:rsidRDefault="00F607C5" w:rsidP="00F607C5">
      <w:pPr>
        <w:pStyle w:val="ListParagraph"/>
        <w:numPr>
          <w:ilvl w:val="0"/>
          <w:numId w:val="24"/>
        </w:numPr>
      </w:pPr>
      <w:r>
        <w:t xml:space="preserve">Direct order-book quotes </w:t>
      </w:r>
    </w:p>
    <w:p w14:paraId="3EA4717E" w14:textId="503148BD" w:rsidR="00C05806" w:rsidRDefault="00F607C5" w:rsidP="00C05806">
      <w:pPr>
        <w:pStyle w:val="ListParagraph"/>
        <w:ind w:left="360"/>
      </w:pPr>
      <w:r>
        <w:t xml:space="preserve">On the other hand, LSE exhibits a negative autocorrelation at lag 1( </w:t>
      </w:r>
      <m:oMath>
        <m:r>
          <w:rPr>
            <w:rFonts w:ascii="Cambria Math" w:hAnsi="Cambria Math"/>
          </w:rPr>
          <m:t>≈-0.088)</m:t>
        </m:r>
      </m:oMath>
      <w:r>
        <w:t xml:space="preserve"> .</w:t>
      </w:r>
    </w:p>
    <w:p w14:paraId="60A8B43F" w14:textId="77777777" w:rsidR="00CC249B" w:rsidRDefault="00CC249B" w:rsidP="00C05806">
      <w:pPr>
        <w:pStyle w:val="ListParagraph"/>
        <w:ind w:left="360"/>
      </w:pPr>
    </w:p>
    <w:p w14:paraId="51B53176" w14:textId="2BAAE5A0" w:rsidR="00D75553" w:rsidRDefault="00D75553" w:rsidP="00D75553">
      <w:pPr>
        <w:pStyle w:val="Heading3"/>
        <w:numPr>
          <w:ilvl w:val="1"/>
          <w:numId w:val="14"/>
        </w:numPr>
      </w:pPr>
      <w:r>
        <w:t xml:space="preserve">Risk Metrics Development </w:t>
      </w:r>
    </w:p>
    <w:p w14:paraId="0509589B" w14:textId="222EA460" w:rsidR="00CC249B" w:rsidRDefault="00D75553" w:rsidP="00D75553">
      <w:pPr>
        <w:pStyle w:val="Heading4"/>
      </w:pPr>
      <w:r>
        <w:t xml:space="preserve">1.4.1 </w:t>
      </w:r>
      <w:r w:rsidR="00CC249B">
        <w:t xml:space="preserve">Intraday VaR </w:t>
      </w:r>
      <w:r w:rsidR="00597D22">
        <w:t>(5</w:t>
      </w:r>
      <w:r w:rsidR="00CC249B">
        <w:t xml:space="preserve"> Stick rolling 95% VaR)</w:t>
      </w:r>
    </w:p>
    <w:p w14:paraId="1BAFD275" w14:textId="488091EE" w:rsidR="00CC249B" w:rsidRDefault="00CC249B" w:rsidP="00CC249B">
      <w:r>
        <w:t xml:space="preserve">In this section, </w:t>
      </w:r>
      <w:r w:rsidR="00B912AE">
        <w:t>I shall explore the following question</w:t>
      </w:r>
      <w:r w:rsidR="00597D22">
        <w:t>: “</w:t>
      </w:r>
      <w:r w:rsidR="00B912AE" w:rsidRPr="00B912AE">
        <w:rPr>
          <w:i/>
          <w:iCs/>
        </w:rPr>
        <w:t>Over the next five such intervals (50 minutes), what would be the worst loss one can expect, 95% of the time?”</w:t>
      </w:r>
      <w:r w:rsidR="00B912AE">
        <w:t>. This is achieved by taking a rolling window of the last five log-returns and extracting the 5</w:t>
      </w:r>
      <w:r w:rsidR="00B912AE" w:rsidRPr="00B912AE">
        <w:rPr>
          <w:vertAlign w:val="superscript"/>
        </w:rPr>
        <w:t>th</w:t>
      </w:r>
      <w:r w:rsidR="00B912AE">
        <w:t xml:space="preserve"> percentile</w:t>
      </w:r>
      <w:r w:rsidR="008F1ECB">
        <w:t xml:space="preserve"> for both markets. </w:t>
      </w:r>
      <w:r w:rsidR="00F5392C">
        <w:t xml:space="preserve">I shall first start by computing </w:t>
      </w:r>
      <w:r w:rsidR="00372460">
        <w:t>Value-at-Risk</w:t>
      </w:r>
      <w:r w:rsidR="00F5392C">
        <w:t xml:space="preserve"> at each timestamp t over the past five 10 </w:t>
      </w:r>
      <w:r w:rsidR="000B25FF">
        <w:t>-</w:t>
      </w:r>
      <w:r w:rsidR="00F5392C">
        <w:t xml:space="preserve">minute log returns. Formally, if </w:t>
      </w:r>
    </w:p>
    <w:p w14:paraId="16777FEB" w14:textId="719ECFAF" w:rsidR="00F5392C" w:rsidRPr="00F5392C" w:rsidRDefault="00000000" w:rsidP="00CC249B">
      <m:oMathPara>
        <m:oMath>
          <m:sSub>
            <m:sSubPr>
              <m:ctrlPr>
                <w:rPr>
                  <w:rFonts w:ascii="Cambria Math" w:hAnsi="Cambria Math"/>
                  <w:i/>
                </w:rPr>
              </m:ctrlPr>
            </m:sSubPr>
            <m:e>
              <m:r>
                <w:rPr>
                  <w:rFonts w:ascii="Cambria Math" w:hAnsi="Cambria Math"/>
                </w:rPr>
                <m:t>r</m:t>
              </m:r>
            </m:e>
            <m:sub>
              <m:r>
                <w:rPr>
                  <w:rFonts w:ascii="Cambria Math" w:hAnsi="Cambria Math"/>
                </w:rPr>
                <m:t xml:space="preserve">t-i </m:t>
              </m:r>
            </m:sub>
          </m:sSub>
          <m:r>
            <w:rPr>
              <w:rFonts w:ascii="Cambria Math" w:hAnsi="Cambria Math"/>
            </w:rPr>
            <m:t>=In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 xml:space="preserve">t-i </m:t>
                      </m:r>
                    </m:sub>
                  </m:sSub>
                </m:num>
                <m:den>
                  <m:sSub>
                    <m:sSubPr>
                      <m:ctrlPr>
                        <w:rPr>
                          <w:rFonts w:ascii="Cambria Math" w:hAnsi="Cambria Math"/>
                          <w:i/>
                        </w:rPr>
                      </m:ctrlPr>
                    </m:sSubPr>
                    <m:e>
                      <m:r>
                        <w:rPr>
                          <w:rFonts w:ascii="Cambria Math" w:hAnsi="Cambria Math"/>
                        </w:rPr>
                        <m:t xml:space="preserve">P </m:t>
                      </m:r>
                    </m:e>
                    <m:sub>
                      <m:r>
                        <w:rPr>
                          <w:rFonts w:ascii="Cambria Math" w:hAnsi="Cambria Math"/>
                        </w:rPr>
                        <m:t xml:space="preserve">t-i-1   </m:t>
                      </m:r>
                    </m:sub>
                  </m:sSub>
                </m:den>
              </m:f>
            </m:e>
          </m:d>
          <m:r>
            <w:rPr>
              <w:rFonts w:ascii="Cambria Math" w:hAnsi="Cambria Math"/>
            </w:rPr>
            <m:t xml:space="preserve">,       i=1, 2, 3, 4, 5 </m:t>
          </m:r>
        </m:oMath>
      </m:oMathPara>
    </w:p>
    <w:p w14:paraId="1B811EBC" w14:textId="011D9158" w:rsidR="00F5392C" w:rsidRDefault="00F5392C" w:rsidP="00CC249B">
      <w:r>
        <w:t xml:space="preserve">Then, </w:t>
      </w:r>
    </w:p>
    <w:p w14:paraId="2FFF45A1" w14:textId="1E1EDFBF" w:rsidR="00F5392C" w:rsidRPr="00F5392C" w:rsidRDefault="00000000" w:rsidP="00CC249B">
      <m:oMathPara>
        <m:oMath>
          <m:sSub>
            <m:sSubPr>
              <m:ctrlPr>
                <w:rPr>
                  <w:rFonts w:ascii="Cambria Math" w:hAnsi="Cambria Math"/>
                  <w:i/>
                </w:rPr>
              </m:ctrlPr>
            </m:sSubPr>
            <m:e>
              <m:r>
                <w:rPr>
                  <w:rFonts w:ascii="Cambria Math" w:hAnsi="Cambria Math"/>
                </w:rPr>
                <m:t>VaR</m:t>
              </m:r>
            </m:e>
            <m:sub>
              <m:r>
                <w:rPr>
                  <w:rFonts w:ascii="Cambria Math" w:hAnsi="Cambria Math"/>
                </w:rPr>
                <m:t>5-tick</m:t>
              </m:r>
            </m:sub>
          </m:sSub>
          <m:d>
            <m:dPr>
              <m:ctrlPr>
                <w:rPr>
                  <w:rFonts w:ascii="Cambria Math" w:hAnsi="Cambria Math"/>
                  <w:i/>
                </w:rPr>
              </m:ctrlPr>
            </m:dPr>
            <m:e>
              <m:r>
                <w:rPr>
                  <w:rFonts w:ascii="Cambria Math" w:hAnsi="Cambria Math"/>
                </w:rPr>
                <m:t>t</m:t>
              </m:r>
            </m:e>
          </m:d>
          <m:r>
            <w:rPr>
              <w:rFonts w:ascii="Cambria Math" w:hAnsi="Cambria Math"/>
            </w:rPr>
            <m:t>=the 5th Percentile of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t-5</m:t>
              </m:r>
            </m:sub>
          </m:sSub>
          <m:r>
            <w:rPr>
              <w:rFonts w:ascii="Cambria Math" w:hAnsi="Cambria Math"/>
            </w:rPr>
            <m:t>}</m:t>
          </m:r>
        </m:oMath>
      </m:oMathPara>
    </w:p>
    <w:p w14:paraId="32CD782B" w14:textId="63DC3528" w:rsidR="00F5392C" w:rsidRDefault="00F5392C" w:rsidP="00CC249B">
      <w:r>
        <w:t xml:space="preserve">Post rolling this window across the entire sample, we can achieve </w:t>
      </w:r>
      <w:r w:rsidR="00372460">
        <w:t xml:space="preserve">a </w:t>
      </w:r>
      <w:r>
        <w:t xml:space="preserve">time series of intraday tail-risk for each market. The following table represents the very first 10 non-missing VaR(5-tick) values side by side for BSE and LSE, </w:t>
      </w:r>
      <w:r w:rsidR="00372460">
        <w:t>once</w:t>
      </w:r>
      <w:r>
        <w:t xml:space="preserve"> we see that returns are </w:t>
      </w:r>
      <w:r w:rsidR="00372460">
        <w:t>accrued</w:t>
      </w:r>
      <w:r>
        <w:t xml:space="preserve">. </w:t>
      </w:r>
    </w:p>
    <w:p w14:paraId="43936C36" w14:textId="2D419744" w:rsidR="005D754B" w:rsidRPr="005D754B" w:rsidRDefault="00597D22" w:rsidP="005D754B">
      <w:pPr>
        <w:pStyle w:val="ListParagraph"/>
        <w:ind w:left="360"/>
        <w:jc w:val="center"/>
        <w:rPr>
          <w:i/>
          <w:iCs/>
        </w:rPr>
      </w:pPr>
      <w:r>
        <w:rPr>
          <w:b/>
          <w:bCs/>
          <w:i/>
          <w:iCs/>
        </w:rPr>
        <w:lastRenderedPageBreak/>
        <w:t xml:space="preserve">Table </w:t>
      </w:r>
      <w:r w:rsidR="00D75553">
        <w:rPr>
          <w:b/>
          <w:bCs/>
          <w:i/>
          <w:iCs/>
        </w:rPr>
        <w:t>7</w:t>
      </w:r>
      <w:r>
        <w:rPr>
          <w:b/>
          <w:bCs/>
          <w:i/>
          <w:iCs/>
        </w:rPr>
        <w:t>:</w:t>
      </w:r>
      <w:r w:rsidR="005D754B" w:rsidRPr="00AF3FC2">
        <w:rPr>
          <w:i/>
          <w:iCs/>
        </w:rPr>
        <w:t xml:space="preserve"> </w:t>
      </w:r>
      <w:r w:rsidR="005D754B">
        <w:rPr>
          <w:i/>
          <w:iCs/>
        </w:rPr>
        <w:t xml:space="preserve">First 10 non-missing VaR (5-tick) values for BSE and LSE </w:t>
      </w:r>
    </w:p>
    <w:tbl>
      <w:tblPr>
        <w:tblStyle w:val="PlainTable2"/>
        <w:tblW w:w="6374" w:type="dxa"/>
        <w:tblInd w:w="1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2268"/>
      </w:tblGrid>
      <w:tr w:rsidR="005D754B" w:rsidRPr="005D754B" w14:paraId="7700AF5D" w14:textId="77777777" w:rsidTr="005D754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bottom w:val="none" w:sz="0" w:space="0" w:color="auto"/>
            </w:tcBorders>
            <w:noWrap/>
            <w:hideMark/>
          </w:tcPr>
          <w:p w14:paraId="5584A094" w14:textId="77777777" w:rsidR="005D754B" w:rsidRPr="005D754B" w:rsidRDefault="005D754B" w:rsidP="005D754B">
            <w:pPr>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 xml:space="preserve">Date </w:t>
            </w:r>
          </w:p>
        </w:tc>
        <w:tc>
          <w:tcPr>
            <w:tcW w:w="1843" w:type="dxa"/>
            <w:tcBorders>
              <w:bottom w:val="none" w:sz="0" w:space="0" w:color="auto"/>
            </w:tcBorders>
            <w:noWrap/>
            <w:hideMark/>
          </w:tcPr>
          <w:p w14:paraId="5C111ED6" w14:textId="77777777" w:rsidR="005D754B" w:rsidRPr="005D754B" w:rsidRDefault="005D754B" w:rsidP="005D75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BSE VaR_5tick</w:t>
            </w:r>
          </w:p>
        </w:tc>
        <w:tc>
          <w:tcPr>
            <w:tcW w:w="2268" w:type="dxa"/>
            <w:tcBorders>
              <w:bottom w:val="none" w:sz="0" w:space="0" w:color="auto"/>
            </w:tcBorders>
            <w:noWrap/>
            <w:hideMark/>
          </w:tcPr>
          <w:p w14:paraId="17D8E61D" w14:textId="77777777" w:rsidR="005D754B" w:rsidRPr="005D754B" w:rsidRDefault="005D754B" w:rsidP="005D75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LSE VaR_5tick</w:t>
            </w:r>
          </w:p>
        </w:tc>
      </w:tr>
      <w:tr w:rsidR="005D754B" w:rsidRPr="005D754B" w14:paraId="5F024E25"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705471E7"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21:30</w:t>
            </w:r>
          </w:p>
        </w:tc>
        <w:tc>
          <w:tcPr>
            <w:tcW w:w="1843" w:type="dxa"/>
            <w:tcBorders>
              <w:top w:val="none" w:sz="0" w:space="0" w:color="auto"/>
              <w:bottom w:val="none" w:sz="0" w:space="0" w:color="auto"/>
            </w:tcBorders>
            <w:noWrap/>
            <w:hideMark/>
          </w:tcPr>
          <w:p w14:paraId="72A29324"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tcBorders>
              <w:top w:val="none" w:sz="0" w:space="0" w:color="auto"/>
              <w:bottom w:val="none" w:sz="0" w:space="0" w:color="auto"/>
            </w:tcBorders>
            <w:noWrap/>
            <w:hideMark/>
          </w:tcPr>
          <w:p w14:paraId="61F3BF64"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w:t>
            </w:r>
          </w:p>
        </w:tc>
      </w:tr>
      <w:tr w:rsidR="005D754B" w:rsidRPr="005D754B" w14:paraId="18F3B6FF"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67CD414"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21:40</w:t>
            </w:r>
          </w:p>
        </w:tc>
        <w:tc>
          <w:tcPr>
            <w:tcW w:w="1843" w:type="dxa"/>
            <w:noWrap/>
            <w:hideMark/>
          </w:tcPr>
          <w:p w14:paraId="2DE10006"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noWrap/>
            <w:hideMark/>
          </w:tcPr>
          <w:p w14:paraId="2BCAAA4B"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w:t>
            </w:r>
          </w:p>
        </w:tc>
      </w:tr>
      <w:tr w:rsidR="005D754B" w:rsidRPr="005D754B" w14:paraId="11A19AC5"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58C00D82"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21:50</w:t>
            </w:r>
          </w:p>
        </w:tc>
        <w:tc>
          <w:tcPr>
            <w:tcW w:w="1843" w:type="dxa"/>
            <w:tcBorders>
              <w:top w:val="none" w:sz="0" w:space="0" w:color="auto"/>
              <w:bottom w:val="none" w:sz="0" w:space="0" w:color="auto"/>
            </w:tcBorders>
            <w:noWrap/>
            <w:hideMark/>
          </w:tcPr>
          <w:p w14:paraId="5AD308E5"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tcBorders>
              <w:top w:val="none" w:sz="0" w:space="0" w:color="auto"/>
              <w:bottom w:val="none" w:sz="0" w:space="0" w:color="auto"/>
            </w:tcBorders>
            <w:noWrap/>
            <w:hideMark/>
          </w:tcPr>
          <w:p w14:paraId="6D091CC5"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0.000355</w:t>
            </w:r>
          </w:p>
        </w:tc>
      </w:tr>
      <w:tr w:rsidR="005D754B" w:rsidRPr="005D754B" w14:paraId="34202CFE"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FBB2BF0"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22:00</w:t>
            </w:r>
          </w:p>
        </w:tc>
        <w:tc>
          <w:tcPr>
            <w:tcW w:w="1843" w:type="dxa"/>
            <w:noWrap/>
            <w:hideMark/>
          </w:tcPr>
          <w:p w14:paraId="4A91951E"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noWrap/>
            <w:hideMark/>
          </w:tcPr>
          <w:p w14:paraId="4E126E59"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-0.001427</w:t>
            </w:r>
          </w:p>
        </w:tc>
      </w:tr>
      <w:tr w:rsidR="005D754B" w:rsidRPr="005D754B" w14:paraId="749BBB32"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516ACBE3"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22:10</w:t>
            </w:r>
          </w:p>
        </w:tc>
        <w:tc>
          <w:tcPr>
            <w:tcW w:w="1843" w:type="dxa"/>
            <w:tcBorders>
              <w:top w:val="none" w:sz="0" w:space="0" w:color="auto"/>
              <w:bottom w:val="none" w:sz="0" w:space="0" w:color="auto"/>
            </w:tcBorders>
            <w:noWrap/>
            <w:hideMark/>
          </w:tcPr>
          <w:p w14:paraId="091CA57A"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tcBorders>
              <w:top w:val="none" w:sz="0" w:space="0" w:color="auto"/>
              <w:bottom w:val="none" w:sz="0" w:space="0" w:color="auto"/>
            </w:tcBorders>
            <w:noWrap/>
            <w:hideMark/>
          </w:tcPr>
          <w:p w14:paraId="2B04DCEA"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-0.001427</w:t>
            </w:r>
          </w:p>
        </w:tc>
      </w:tr>
      <w:tr w:rsidR="005D754B" w:rsidRPr="005D754B" w14:paraId="070FFF98"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569643A"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22:20</w:t>
            </w:r>
          </w:p>
        </w:tc>
        <w:tc>
          <w:tcPr>
            <w:tcW w:w="1843" w:type="dxa"/>
            <w:noWrap/>
            <w:hideMark/>
          </w:tcPr>
          <w:p w14:paraId="0736D0AD"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noWrap/>
            <w:hideMark/>
          </w:tcPr>
          <w:p w14:paraId="5CF03AE3"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-0.001427</w:t>
            </w:r>
          </w:p>
        </w:tc>
      </w:tr>
      <w:tr w:rsidR="005D754B" w:rsidRPr="005D754B" w14:paraId="16F27FA8"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0BCD17A1"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22:50</w:t>
            </w:r>
          </w:p>
        </w:tc>
        <w:tc>
          <w:tcPr>
            <w:tcW w:w="1843" w:type="dxa"/>
            <w:tcBorders>
              <w:top w:val="none" w:sz="0" w:space="0" w:color="auto"/>
              <w:bottom w:val="none" w:sz="0" w:space="0" w:color="auto"/>
            </w:tcBorders>
            <w:noWrap/>
            <w:hideMark/>
          </w:tcPr>
          <w:p w14:paraId="561031CF"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tcBorders>
              <w:top w:val="none" w:sz="0" w:space="0" w:color="auto"/>
              <w:bottom w:val="none" w:sz="0" w:space="0" w:color="auto"/>
            </w:tcBorders>
            <w:noWrap/>
            <w:hideMark/>
          </w:tcPr>
          <w:p w14:paraId="4653C67D"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-0.001427</w:t>
            </w:r>
          </w:p>
        </w:tc>
      </w:tr>
      <w:tr w:rsidR="005D754B" w:rsidRPr="005D754B" w14:paraId="38FAB41C"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0180620"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23:00</w:t>
            </w:r>
          </w:p>
        </w:tc>
        <w:tc>
          <w:tcPr>
            <w:tcW w:w="1843" w:type="dxa"/>
            <w:noWrap/>
            <w:hideMark/>
          </w:tcPr>
          <w:p w14:paraId="64AFFF5F"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noWrap/>
            <w:hideMark/>
          </w:tcPr>
          <w:p w14:paraId="4EE4C231"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-0.001783</w:t>
            </w:r>
          </w:p>
        </w:tc>
      </w:tr>
      <w:tr w:rsidR="005D754B" w:rsidRPr="005D754B" w14:paraId="13887C4A"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04DC55A4"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23:10</w:t>
            </w:r>
          </w:p>
        </w:tc>
        <w:tc>
          <w:tcPr>
            <w:tcW w:w="1843" w:type="dxa"/>
            <w:tcBorders>
              <w:top w:val="none" w:sz="0" w:space="0" w:color="auto"/>
              <w:bottom w:val="none" w:sz="0" w:space="0" w:color="auto"/>
            </w:tcBorders>
            <w:noWrap/>
            <w:hideMark/>
          </w:tcPr>
          <w:p w14:paraId="13CE224A"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tcBorders>
              <w:top w:val="none" w:sz="0" w:space="0" w:color="auto"/>
              <w:bottom w:val="none" w:sz="0" w:space="0" w:color="auto"/>
            </w:tcBorders>
            <w:noWrap/>
            <w:hideMark/>
          </w:tcPr>
          <w:p w14:paraId="66061CB7"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-0.001425</w:t>
            </w:r>
          </w:p>
        </w:tc>
      </w:tr>
      <w:tr w:rsidR="005D754B" w:rsidRPr="005D754B" w14:paraId="0D8E4577"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614D442"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10-03-2025 23:40</w:t>
            </w:r>
          </w:p>
        </w:tc>
        <w:tc>
          <w:tcPr>
            <w:tcW w:w="1843" w:type="dxa"/>
            <w:noWrap/>
            <w:hideMark/>
          </w:tcPr>
          <w:p w14:paraId="181FDCB8"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c>
          <w:tcPr>
            <w:tcW w:w="2268" w:type="dxa"/>
            <w:noWrap/>
            <w:hideMark/>
          </w:tcPr>
          <w:p w14:paraId="19633252"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-0.003198</w:t>
            </w:r>
          </w:p>
        </w:tc>
      </w:tr>
      <w:tr w:rsidR="005D754B" w:rsidRPr="005D754B" w14:paraId="3CE1C2EB"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260B9942"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11:30</w:t>
            </w:r>
          </w:p>
        </w:tc>
        <w:tc>
          <w:tcPr>
            <w:tcW w:w="1843" w:type="dxa"/>
            <w:tcBorders>
              <w:top w:val="none" w:sz="0" w:space="0" w:color="auto"/>
              <w:bottom w:val="none" w:sz="0" w:space="0" w:color="auto"/>
            </w:tcBorders>
            <w:noWrap/>
            <w:hideMark/>
          </w:tcPr>
          <w:p w14:paraId="26034734"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-0.003923</w:t>
            </w:r>
          </w:p>
        </w:tc>
        <w:tc>
          <w:tcPr>
            <w:tcW w:w="2268" w:type="dxa"/>
            <w:tcBorders>
              <w:top w:val="none" w:sz="0" w:space="0" w:color="auto"/>
              <w:bottom w:val="none" w:sz="0" w:space="0" w:color="auto"/>
            </w:tcBorders>
            <w:noWrap/>
            <w:hideMark/>
          </w:tcPr>
          <w:p w14:paraId="66CF61A4"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227496B8"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BFF9241"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11:40</w:t>
            </w:r>
          </w:p>
        </w:tc>
        <w:tc>
          <w:tcPr>
            <w:tcW w:w="1843" w:type="dxa"/>
            <w:noWrap/>
            <w:hideMark/>
          </w:tcPr>
          <w:p w14:paraId="569A9C22"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-0.003923</w:t>
            </w:r>
          </w:p>
        </w:tc>
        <w:tc>
          <w:tcPr>
            <w:tcW w:w="2268" w:type="dxa"/>
            <w:noWrap/>
            <w:hideMark/>
          </w:tcPr>
          <w:p w14:paraId="04649A00"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729DC1AE"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6DC6C478"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11:50</w:t>
            </w:r>
          </w:p>
        </w:tc>
        <w:tc>
          <w:tcPr>
            <w:tcW w:w="1843" w:type="dxa"/>
            <w:tcBorders>
              <w:top w:val="none" w:sz="0" w:space="0" w:color="auto"/>
              <w:bottom w:val="none" w:sz="0" w:space="0" w:color="auto"/>
            </w:tcBorders>
            <w:noWrap/>
            <w:hideMark/>
          </w:tcPr>
          <w:p w14:paraId="7D6C0F33"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-0.002488</w:t>
            </w:r>
          </w:p>
        </w:tc>
        <w:tc>
          <w:tcPr>
            <w:tcW w:w="2268" w:type="dxa"/>
            <w:tcBorders>
              <w:top w:val="none" w:sz="0" w:space="0" w:color="auto"/>
              <w:bottom w:val="none" w:sz="0" w:space="0" w:color="auto"/>
            </w:tcBorders>
            <w:noWrap/>
            <w:hideMark/>
          </w:tcPr>
          <w:p w14:paraId="35900F0A"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76209B20"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91C2241"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12:00</w:t>
            </w:r>
          </w:p>
        </w:tc>
        <w:tc>
          <w:tcPr>
            <w:tcW w:w="1843" w:type="dxa"/>
            <w:noWrap/>
            <w:hideMark/>
          </w:tcPr>
          <w:p w14:paraId="375ADCC6"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-0.002729</w:t>
            </w:r>
          </w:p>
        </w:tc>
        <w:tc>
          <w:tcPr>
            <w:tcW w:w="2268" w:type="dxa"/>
            <w:noWrap/>
            <w:hideMark/>
          </w:tcPr>
          <w:p w14:paraId="33D46482"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26C7B1F2"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5BEC1AE7"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12:10</w:t>
            </w:r>
          </w:p>
        </w:tc>
        <w:tc>
          <w:tcPr>
            <w:tcW w:w="1843" w:type="dxa"/>
            <w:tcBorders>
              <w:top w:val="none" w:sz="0" w:space="0" w:color="auto"/>
              <w:bottom w:val="none" w:sz="0" w:space="0" w:color="auto"/>
            </w:tcBorders>
            <w:noWrap/>
            <w:hideMark/>
          </w:tcPr>
          <w:p w14:paraId="0BD0E890"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-0.002729</w:t>
            </w:r>
          </w:p>
        </w:tc>
        <w:tc>
          <w:tcPr>
            <w:tcW w:w="2268" w:type="dxa"/>
            <w:tcBorders>
              <w:top w:val="none" w:sz="0" w:space="0" w:color="auto"/>
              <w:bottom w:val="none" w:sz="0" w:space="0" w:color="auto"/>
            </w:tcBorders>
            <w:noWrap/>
            <w:hideMark/>
          </w:tcPr>
          <w:p w14:paraId="68768B37"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69A579B8"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6025925"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12:20</w:t>
            </w:r>
          </w:p>
        </w:tc>
        <w:tc>
          <w:tcPr>
            <w:tcW w:w="1843" w:type="dxa"/>
            <w:noWrap/>
            <w:hideMark/>
          </w:tcPr>
          <w:p w14:paraId="3322BE2E"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-0.002256</w:t>
            </w:r>
          </w:p>
        </w:tc>
        <w:tc>
          <w:tcPr>
            <w:tcW w:w="2268" w:type="dxa"/>
            <w:noWrap/>
            <w:hideMark/>
          </w:tcPr>
          <w:p w14:paraId="56E6A71A"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0930C150"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0C3B698E"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12:30</w:t>
            </w:r>
          </w:p>
        </w:tc>
        <w:tc>
          <w:tcPr>
            <w:tcW w:w="1843" w:type="dxa"/>
            <w:tcBorders>
              <w:top w:val="none" w:sz="0" w:space="0" w:color="auto"/>
              <w:bottom w:val="none" w:sz="0" w:space="0" w:color="auto"/>
            </w:tcBorders>
            <w:noWrap/>
            <w:hideMark/>
          </w:tcPr>
          <w:p w14:paraId="5E4D1AAA"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-0.00232</w:t>
            </w:r>
          </w:p>
        </w:tc>
        <w:tc>
          <w:tcPr>
            <w:tcW w:w="2268" w:type="dxa"/>
            <w:tcBorders>
              <w:top w:val="none" w:sz="0" w:space="0" w:color="auto"/>
              <w:bottom w:val="none" w:sz="0" w:space="0" w:color="auto"/>
            </w:tcBorders>
            <w:noWrap/>
            <w:hideMark/>
          </w:tcPr>
          <w:p w14:paraId="4F04E0CC"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55E21EB0"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E74CD51"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12:40</w:t>
            </w:r>
          </w:p>
        </w:tc>
        <w:tc>
          <w:tcPr>
            <w:tcW w:w="1843" w:type="dxa"/>
            <w:noWrap/>
            <w:hideMark/>
          </w:tcPr>
          <w:p w14:paraId="51F55931"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-0.00232</w:t>
            </w:r>
          </w:p>
        </w:tc>
        <w:tc>
          <w:tcPr>
            <w:tcW w:w="2268" w:type="dxa"/>
            <w:noWrap/>
            <w:hideMark/>
          </w:tcPr>
          <w:p w14:paraId="4C6B928E"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32C398F5" w14:textId="77777777" w:rsidTr="005D75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tcBorders>
            <w:noWrap/>
            <w:hideMark/>
          </w:tcPr>
          <w:p w14:paraId="5EC01C41"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12:50</w:t>
            </w:r>
          </w:p>
        </w:tc>
        <w:tc>
          <w:tcPr>
            <w:tcW w:w="1843" w:type="dxa"/>
            <w:tcBorders>
              <w:top w:val="none" w:sz="0" w:space="0" w:color="auto"/>
              <w:bottom w:val="none" w:sz="0" w:space="0" w:color="auto"/>
            </w:tcBorders>
            <w:noWrap/>
            <w:hideMark/>
          </w:tcPr>
          <w:p w14:paraId="0B08CD0C" w14:textId="77777777" w:rsidR="005D754B" w:rsidRPr="005D754B" w:rsidRDefault="005D754B" w:rsidP="005D75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-0.001399</w:t>
            </w:r>
          </w:p>
        </w:tc>
        <w:tc>
          <w:tcPr>
            <w:tcW w:w="2268" w:type="dxa"/>
            <w:tcBorders>
              <w:top w:val="none" w:sz="0" w:space="0" w:color="auto"/>
              <w:bottom w:val="none" w:sz="0" w:space="0" w:color="auto"/>
            </w:tcBorders>
            <w:noWrap/>
            <w:hideMark/>
          </w:tcPr>
          <w:p w14:paraId="6BAEFA42" w14:textId="77777777" w:rsidR="005D754B" w:rsidRPr="005D754B" w:rsidRDefault="005D754B" w:rsidP="005D75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r w:rsidR="005D754B" w:rsidRPr="005D754B" w14:paraId="676CC28C" w14:textId="77777777" w:rsidTr="005D754B">
        <w:trPr>
          <w:trHeight w:val="29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4CFC6E6" w14:textId="77777777" w:rsidR="005D754B" w:rsidRPr="005D754B" w:rsidRDefault="005D754B" w:rsidP="005D754B">
            <w:pPr>
              <w:jc w:val="right"/>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11-03-2025 13:00</w:t>
            </w:r>
          </w:p>
        </w:tc>
        <w:tc>
          <w:tcPr>
            <w:tcW w:w="1843" w:type="dxa"/>
            <w:noWrap/>
            <w:hideMark/>
          </w:tcPr>
          <w:p w14:paraId="020E1B82" w14:textId="77777777" w:rsidR="005D754B" w:rsidRPr="005D754B" w:rsidRDefault="005D754B" w:rsidP="005D75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-0.001504</w:t>
            </w:r>
          </w:p>
        </w:tc>
        <w:tc>
          <w:tcPr>
            <w:tcW w:w="2268" w:type="dxa"/>
            <w:noWrap/>
            <w:hideMark/>
          </w:tcPr>
          <w:p w14:paraId="7241F54F" w14:textId="77777777" w:rsidR="005D754B" w:rsidRPr="005D754B" w:rsidRDefault="005D754B" w:rsidP="005D75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5D754B">
              <w:rPr>
                <w:rFonts w:ascii="Calibri" w:eastAsia="Times New Roman" w:hAnsi="Calibri" w:cs="Calibri"/>
                <w:color w:val="000000"/>
                <w:lang w:val="en-IN" w:eastAsia="en-IN"/>
              </w:rPr>
              <w:t>NaN</w:t>
            </w:r>
          </w:p>
        </w:tc>
      </w:tr>
    </w:tbl>
    <w:p w14:paraId="58A64C5E" w14:textId="77777777" w:rsidR="00372460" w:rsidRDefault="00372460" w:rsidP="00CC249B"/>
    <w:p w14:paraId="28B1A1BD" w14:textId="4AD1408D" w:rsidR="00E53585" w:rsidRDefault="005D754B" w:rsidP="00CC249B">
      <w:r>
        <w:t>In the table above, it is interpreted that in the initial observations</w:t>
      </w:r>
      <w:r w:rsidR="00E53585">
        <w:t xml:space="preserve">, the first valid VaR values appear on the LSE on March 10 around 21:50, whereas BSE only begins on March 11 after 11:30. We see the following observations: </w:t>
      </w:r>
    </w:p>
    <w:p w14:paraId="6F689361" w14:textId="21017F51" w:rsidR="00E53585" w:rsidRDefault="00E53585" w:rsidP="00E53585">
      <w:pPr>
        <w:pStyle w:val="ListParagraph"/>
        <w:numPr>
          <w:ilvl w:val="0"/>
          <w:numId w:val="25"/>
        </w:numPr>
      </w:pPr>
      <w:r>
        <w:t>LSE’s initial nonzero readings start at +0.000355</w:t>
      </w:r>
      <w:r w:rsidR="00835525">
        <w:t xml:space="preserve"> </w:t>
      </w:r>
      <w:r w:rsidR="00597D22">
        <w:t>(a</w:t>
      </w:r>
      <w:r>
        <w:t xml:space="preserve"> small positive return in the 5</w:t>
      </w:r>
      <w:r w:rsidRPr="00E53585">
        <w:rPr>
          <w:vertAlign w:val="superscript"/>
        </w:rPr>
        <w:t>th</w:t>
      </w:r>
      <w:r>
        <w:t xml:space="preserve"> percentile, then quickly drop to -0.001427 and eventually to -0.003198 by 23:40. We can see the deep tail loss of -0.3198%. This highlights an unusually sharp adverse five-interval return. This is likely driven by overnight order-flow spikes. </w:t>
      </w:r>
    </w:p>
    <w:p w14:paraId="2745A342" w14:textId="4EB60F6F" w:rsidR="00796E42" w:rsidRDefault="00796E42" w:rsidP="00E53585">
      <w:pPr>
        <w:pStyle w:val="ListParagraph"/>
        <w:numPr>
          <w:ilvl w:val="0"/>
          <w:numId w:val="25"/>
        </w:numPr>
      </w:pPr>
      <w:r>
        <w:t xml:space="preserve">BSE’s first VaR pf -0.3923% arrives at 11:30 on March 11, deeper than any LSE value until that time. What does it tell us? It suggests that BSE’s market auction around mid-day experiences a more abrupt five-interval loss than LSE’s evening session. </w:t>
      </w:r>
    </w:p>
    <w:p w14:paraId="3E32B90A" w14:textId="17537E88" w:rsidR="00796E42" w:rsidRDefault="00796E42" w:rsidP="001A0AC7">
      <w:pPr>
        <w:ind w:left="360"/>
      </w:pPr>
      <w:r>
        <w:t>Moving on, let’s see how</w:t>
      </w:r>
      <w:r w:rsidR="001A0AC7">
        <w:t xml:space="preserve"> this tail-risk evolves intraday. </w:t>
      </w:r>
    </w:p>
    <w:p w14:paraId="67E4595C" w14:textId="77777777" w:rsidR="00D75553" w:rsidRDefault="00D75553" w:rsidP="001A0AC7">
      <w:pPr>
        <w:ind w:left="360"/>
      </w:pPr>
    </w:p>
    <w:p w14:paraId="79BAF411" w14:textId="77777777" w:rsidR="00D75553" w:rsidRDefault="00D75553" w:rsidP="001A0AC7">
      <w:pPr>
        <w:ind w:left="360"/>
      </w:pPr>
    </w:p>
    <w:p w14:paraId="6154CEFE" w14:textId="77777777" w:rsidR="00D75553" w:rsidRDefault="00D75553" w:rsidP="001A0AC7">
      <w:pPr>
        <w:ind w:left="360"/>
      </w:pPr>
    </w:p>
    <w:p w14:paraId="44BB8CEC" w14:textId="77777777" w:rsidR="00D75553" w:rsidRDefault="00D75553" w:rsidP="001A0AC7">
      <w:pPr>
        <w:ind w:left="360"/>
      </w:pPr>
    </w:p>
    <w:p w14:paraId="0C0CD334" w14:textId="09FBCA7E" w:rsidR="001A0AC7" w:rsidRPr="001A0AC7" w:rsidRDefault="001A0AC7" w:rsidP="001A0AC7">
      <w:pPr>
        <w:pStyle w:val="ListParagraph"/>
        <w:ind w:left="360"/>
        <w:jc w:val="center"/>
        <w:rPr>
          <w:i/>
          <w:iCs/>
        </w:rPr>
      </w:pPr>
      <w:r>
        <w:rPr>
          <w:b/>
          <w:bCs/>
          <w:i/>
          <w:iCs/>
        </w:rPr>
        <w:t xml:space="preserve">Figure </w:t>
      </w:r>
      <w:r w:rsidR="00D75553">
        <w:rPr>
          <w:b/>
          <w:bCs/>
          <w:i/>
          <w:iCs/>
        </w:rPr>
        <w:t>7</w:t>
      </w:r>
      <w:r w:rsidR="00597D22">
        <w:rPr>
          <w:b/>
          <w:bCs/>
          <w:i/>
          <w:iCs/>
        </w:rPr>
        <w:t>:</w:t>
      </w:r>
      <w:r w:rsidRPr="00AF3FC2">
        <w:rPr>
          <w:i/>
          <w:iCs/>
        </w:rPr>
        <w:t xml:space="preserve"> </w:t>
      </w:r>
      <w:r>
        <w:rPr>
          <w:i/>
          <w:iCs/>
        </w:rPr>
        <w:t>BSE intraday 5-tick Rolling VaR</w:t>
      </w:r>
    </w:p>
    <w:p w14:paraId="5834B467" w14:textId="2DF400A6" w:rsidR="001A0AC7" w:rsidRDefault="001A0AC7" w:rsidP="001A0AC7">
      <w:pPr>
        <w:ind w:left="360"/>
      </w:pPr>
      <w:r w:rsidRPr="001A0AC7">
        <w:rPr>
          <w:noProof/>
        </w:rPr>
        <w:drawing>
          <wp:inline distT="0" distB="0" distL="0" distR="0" wp14:anchorId="04C99BBA" wp14:editId="08C85952">
            <wp:extent cx="5486400" cy="1725295"/>
            <wp:effectExtent l="0" t="0" r="0" b="8255"/>
            <wp:docPr id="36849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1377" name=""/>
                    <pic:cNvPicPr/>
                  </pic:nvPicPr>
                  <pic:blipFill>
                    <a:blip r:embed="rId15"/>
                    <a:stretch>
                      <a:fillRect/>
                    </a:stretch>
                  </pic:blipFill>
                  <pic:spPr>
                    <a:xfrm>
                      <a:off x="0" y="0"/>
                      <a:ext cx="5486400" cy="1725295"/>
                    </a:xfrm>
                    <a:prstGeom prst="rect">
                      <a:avLst/>
                    </a:prstGeom>
                  </pic:spPr>
                </pic:pic>
              </a:graphicData>
            </a:graphic>
          </wp:inline>
        </w:drawing>
      </w:r>
    </w:p>
    <w:p w14:paraId="11805873" w14:textId="77777777" w:rsidR="001A0AC7" w:rsidRDefault="001A0AC7" w:rsidP="001A0AC7">
      <w:pPr>
        <w:ind w:left="360"/>
      </w:pPr>
    </w:p>
    <w:p w14:paraId="5665BCD4" w14:textId="162DC7AD" w:rsidR="001A0AC7" w:rsidRDefault="001A0AC7" w:rsidP="001A0AC7">
      <w:pPr>
        <w:ind w:left="360"/>
        <w:jc w:val="center"/>
      </w:pPr>
      <w:r>
        <w:rPr>
          <w:b/>
          <w:bCs/>
          <w:i/>
          <w:iCs/>
        </w:rPr>
        <w:t xml:space="preserve">Figure </w:t>
      </w:r>
      <w:r w:rsidR="00D75553">
        <w:rPr>
          <w:b/>
          <w:bCs/>
          <w:i/>
          <w:iCs/>
        </w:rPr>
        <w:t>8</w:t>
      </w:r>
      <w:r w:rsidR="00597D22">
        <w:rPr>
          <w:b/>
          <w:bCs/>
          <w:i/>
          <w:iCs/>
        </w:rPr>
        <w:t>:</w:t>
      </w:r>
      <w:r w:rsidRPr="00AF3FC2">
        <w:rPr>
          <w:i/>
          <w:iCs/>
        </w:rPr>
        <w:t xml:space="preserve"> </w:t>
      </w:r>
      <w:r>
        <w:rPr>
          <w:i/>
          <w:iCs/>
        </w:rPr>
        <w:t>LSE intraday 5-tick Rolling VaR</w:t>
      </w:r>
    </w:p>
    <w:p w14:paraId="7A2897A2" w14:textId="2996DDA7" w:rsidR="001A0AC7" w:rsidRDefault="001A0AC7" w:rsidP="001A0AC7">
      <w:pPr>
        <w:ind w:left="360"/>
      </w:pPr>
      <w:r w:rsidRPr="001A0AC7">
        <w:rPr>
          <w:noProof/>
        </w:rPr>
        <w:drawing>
          <wp:inline distT="0" distB="0" distL="0" distR="0" wp14:anchorId="1BC20C10" wp14:editId="39F72420">
            <wp:extent cx="5486400" cy="1800860"/>
            <wp:effectExtent l="0" t="0" r="0" b="8890"/>
            <wp:docPr id="65845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50580" name=""/>
                    <pic:cNvPicPr/>
                  </pic:nvPicPr>
                  <pic:blipFill>
                    <a:blip r:embed="rId16"/>
                    <a:stretch>
                      <a:fillRect/>
                    </a:stretch>
                  </pic:blipFill>
                  <pic:spPr>
                    <a:xfrm>
                      <a:off x="0" y="0"/>
                      <a:ext cx="5486400" cy="1800860"/>
                    </a:xfrm>
                    <a:prstGeom prst="rect">
                      <a:avLst/>
                    </a:prstGeom>
                  </pic:spPr>
                </pic:pic>
              </a:graphicData>
            </a:graphic>
          </wp:inline>
        </w:drawing>
      </w:r>
    </w:p>
    <w:p w14:paraId="5814C6DF" w14:textId="4BD12525" w:rsidR="001A0AC7" w:rsidRDefault="001A0AC7" w:rsidP="001A0AC7">
      <w:pPr>
        <w:pStyle w:val="ListParagraph"/>
      </w:pPr>
      <w:r>
        <w:t>From the graphs above, we can see that both the exchanges exhibit a U-shaped VaR profile:</w:t>
      </w:r>
    </w:p>
    <w:p w14:paraId="43F99BE0" w14:textId="194E7758" w:rsidR="00F817EE" w:rsidRDefault="001A0AC7" w:rsidP="00F817EE">
      <w:pPr>
        <w:pStyle w:val="ListParagraph"/>
        <w:numPr>
          <w:ilvl w:val="0"/>
          <w:numId w:val="27"/>
        </w:numPr>
      </w:pPr>
      <w:r>
        <w:t>A sharp spike (more negative VaR) immediately after open, reflecting intense overnight information flow and price discovery</w:t>
      </w:r>
      <w:r w:rsidR="00F817EE">
        <w:t xml:space="preserve">. Here, we can see that LSE’s opening trough has reached below -0.25%. Meanwhile, BSE’s stays nearer -0.20%. </w:t>
      </w:r>
    </w:p>
    <w:p w14:paraId="7BFDAE54" w14:textId="589AC161" w:rsidR="00F817EE" w:rsidRDefault="00F817EE" w:rsidP="00F817EE">
      <w:pPr>
        <w:pStyle w:val="ListParagraph"/>
        <w:numPr>
          <w:ilvl w:val="0"/>
          <w:numId w:val="27"/>
        </w:numPr>
      </w:pPr>
      <w:r>
        <w:t>A midday lull as trading thins. This causes the VaR back towards zero. We can also see persistent microstructure noise, as LSE remains deeper in the red than on the BSE.</w:t>
      </w:r>
    </w:p>
    <w:p w14:paraId="5EDEF16E" w14:textId="3B6E90CB" w:rsidR="00F817EE" w:rsidRDefault="00F817EE" w:rsidP="00F817EE">
      <w:pPr>
        <w:pStyle w:val="ListParagraph"/>
        <w:numPr>
          <w:ilvl w:val="0"/>
          <w:numId w:val="26"/>
        </w:numPr>
      </w:pPr>
      <w:r>
        <w:t xml:space="preserve">We can also see a resurgence approaching the close. This is driven by closing-auction imbalances and end-of day position adjustments.  Now we can see that the closing spikes on LSE are again more pronounces. It also suggests that there more tighter spreads and also higher order-flow dynamics. </w:t>
      </w:r>
    </w:p>
    <w:p w14:paraId="21CADB10" w14:textId="03EBAB8B" w:rsidR="00F817EE" w:rsidRDefault="00F817EE" w:rsidP="00F817EE">
      <w:r>
        <w:t xml:space="preserve">To conclude, the above results confirm that BSE carries roughly 20-30% shorter tail-risk(short-term) than LSE, at the 10-min frequency. </w:t>
      </w:r>
    </w:p>
    <w:p w14:paraId="17702799" w14:textId="6CACE368" w:rsidR="00F817EE" w:rsidRDefault="00F817EE" w:rsidP="00F817EE">
      <w:pPr>
        <w:rPr>
          <w:i/>
          <w:iCs/>
        </w:rPr>
      </w:pPr>
      <w:r w:rsidRPr="00F817EE">
        <w:rPr>
          <w:i/>
          <w:iCs/>
        </w:rPr>
        <w:t xml:space="preserve">Now, why does this matter? </w:t>
      </w:r>
    </w:p>
    <w:p w14:paraId="12A70FE1" w14:textId="46610CE3" w:rsidR="00835525" w:rsidRPr="00835525" w:rsidRDefault="00835525" w:rsidP="00835525">
      <w:pPr>
        <w:pStyle w:val="ListParagraph"/>
        <w:numPr>
          <w:ilvl w:val="0"/>
          <w:numId w:val="26"/>
        </w:numPr>
        <w:rPr>
          <w:b/>
          <w:bCs/>
        </w:rPr>
      </w:pPr>
      <w:r w:rsidRPr="00835525">
        <w:rPr>
          <w:b/>
          <w:bCs/>
        </w:rPr>
        <w:lastRenderedPageBreak/>
        <w:t xml:space="preserve">Real- Time Risk Limits: </w:t>
      </w:r>
      <m:oMath>
        <m:sSub>
          <m:sSubPr>
            <m:ctrlPr>
              <w:rPr>
                <w:rFonts w:ascii="Cambria Math" w:hAnsi="Cambria Math"/>
                <w:i/>
              </w:rPr>
            </m:ctrlPr>
          </m:sSubPr>
          <m:e>
            <m:r>
              <w:rPr>
                <w:rFonts w:ascii="Cambria Math" w:hAnsi="Cambria Math"/>
              </w:rPr>
              <m:t>VaR</m:t>
            </m:r>
          </m:e>
          <m:sub>
            <m:sSub>
              <m:sSubPr>
                <m:ctrlPr>
                  <w:rPr>
                    <w:rFonts w:ascii="Cambria Math" w:hAnsi="Cambria Math"/>
                    <w:i/>
                  </w:rPr>
                </m:ctrlPr>
              </m:sSubPr>
              <m:e>
                <m:r>
                  <w:rPr>
                    <w:rFonts w:ascii="Cambria Math" w:hAnsi="Cambria Math"/>
                  </w:rPr>
                  <m:t>5</m:t>
                </m:r>
              </m:e>
              <m:sub>
                <m:r>
                  <w:rPr>
                    <w:rFonts w:ascii="Cambria Math" w:hAnsi="Cambria Math"/>
                  </w:rPr>
                  <m:t>ti</m:t>
                </m:r>
              </m:sub>
            </m:sSub>
            <m:sSub>
              <m:sSubPr>
                <m:ctrlPr>
                  <w:rPr>
                    <w:rFonts w:ascii="Cambria Math" w:hAnsi="Cambria Math"/>
                    <w:i/>
                  </w:rPr>
                </m:ctrlPr>
              </m:sSubPr>
              <m:e>
                <m:r>
                  <w:rPr>
                    <w:rFonts w:ascii="Cambria Math" w:hAnsi="Cambria Math"/>
                  </w:rPr>
                  <m:t>C</m:t>
                </m:r>
              </m:e>
              <m:sub>
                <m:r>
                  <w:rPr>
                    <w:rFonts w:ascii="Cambria Math" w:hAnsi="Cambria Math"/>
                  </w:rPr>
                  <m:t>k</m:t>
                </m:r>
              </m:sub>
            </m:sSub>
          </m:sub>
        </m:sSub>
      </m:oMath>
      <w:r>
        <w:t xml:space="preserve"> can be utilized by the trader to adjust exposure. So, they could automatically scale back. This could also help limit losses before they could compound. </w:t>
      </w:r>
    </w:p>
    <w:p w14:paraId="4DFBDEAB" w14:textId="65F4B622" w:rsidR="00835525" w:rsidRPr="00835525" w:rsidRDefault="00835525" w:rsidP="00835525">
      <w:pPr>
        <w:pStyle w:val="ListParagraph"/>
        <w:numPr>
          <w:ilvl w:val="0"/>
          <w:numId w:val="26"/>
        </w:numPr>
        <w:rPr>
          <w:b/>
          <w:bCs/>
        </w:rPr>
      </w:pPr>
      <w:r>
        <w:rPr>
          <w:b/>
          <w:bCs/>
        </w:rPr>
        <w:t xml:space="preserve">Microstructure Dynamics: </w:t>
      </w:r>
      <w:r>
        <w:t xml:space="preserve">Continuous monitoring of the above difference sin VaR dips can help diagnose liquidity and trading frictions. </w:t>
      </w:r>
    </w:p>
    <w:p w14:paraId="0FAECC3E" w14:textId="4EDE42BA" w:rsidR="00CC249B" w:rsidRPr="00591263" w:rsidRDefault="00835525" w:rsidP="00CC249B">
      <w:pPr>
        <w:pStyle w:val="ListParagraph"/>
        <w:numPr>
          <w:ilvl w:val="0"/>
          <w:numId w:val="26"/>
        </w:numPr>
        <w:rPr>
          <w:i/>
          <w:iCs/>
        </w:rPr>
      </w:pPr>
      <w:r w:rsidRPr="00835525">
        <w:rPr>
          <w:b/>
          <w:bCs/>
        </w:rPr>
        <w:t>Strategy Timings</w:t>
      </w:r>
      <w:r>
        <w:t xml:space="preserve">: Based on the U-shaped risk profile, I believe algorithm execution can avoid open/close windows or even allocate liquidity in a different way. </w:t>
      </w:r>
    </w:p>
    <w:p w14:paraId="47FDD945" w14:textId="3739673D" w:rsidR="00591263" w:rsidRDefault="00591263" w:rsidP="00D75553">
      <w:pPr>
        <w:pStyle w:val="Heading4"/>
        <w:numPr>
          <w:ilvl w:val="2"/>
          <w:numId w:val="32"/>
        </w:numPr>
        <w:ind w:left="709"/>
      </w:pPr>
      <w:r>
        <w:t xml:space="preserve">Time-varying volatility modelling with GARCH </w:t>
      </w:r>
    </w:p>
    <w:p w14:paraId="715D8167" w14:textId="0E3F5B59" w:rsidR="00591263" w:rsidRDefault="00591263" w:rsidP="00591263">
      <w:r>
        <w:t xml:space="preserve">In the analysis of Reliance Industrie’s </w:t>
      </w:r>
      <w:r w:rsidR="00597D22">
        <w:t>cross</w:t>
      </w:r>
      <w:r>
        <w:t xml:space="preserve">-listed returns, it is observed that there is </w:t>
      </w:r>
      <w:r w:rsidR="00597D22">
        <w:t>clear evidence of time-varying volatility</w:t>
      </w:r>
      <w:r>
        <w:t xml:space="preserve">. This means that there </w:t>
      </w:r>
      <w:r w:rsidR="00597D22">
        <w:t>are</w:t>
      </w:r>
      <w:r>
        <w:t xml:space="preserve"> periods of heightened turbulence tend to cluster together. This makes a GARCH framework both appropriate and informative. So, Ido this by fitting a standard GARCH (1,1) model with zero mean to the daily log-returns (%) of the BSE and LSE listings. The following parameters are estimated: </w:t>
      </w:r>
    </w:p>
    <w:p w14:paraId="1129DB7A" w14:textId="28D826D7" w:rsidR="00591263" w:rsidRDefault="00331CDE" w:rsidP="00331CDE">
      <w:pPr>
        <w:jc w:val="center"/>
      </w:pPr>
      <w:r w:rsidRPr="00331CDE">
        <w:rPr>
          <w:b/>
          <w:bCs/>
        </w:rPr>
        <w:t xml:space="preserve">Figure </w:t>
      </w:r>
      <w:r w:rsidR="00D75553">
        <w:rPr>
          <w:b/>
          <w:bCs/>
        </w:rPr>
        <w:t>9:</w:t>
      </w:r>
      <w:r>
        <w:t xml:space="preserve"> </w:t>
      </w:r>
      <w:r w:rsidR="00591263">
        <w:t xml:space="preserve">BSE </w:t>
      </w:r>
      <w:r w:rsidR="00597D22">
        <w:t>GARCH (</w:t>
      </w:r>
      <w:r w:rsidR="00591263">
        <w:t>1,1) Estimates</w:t>
      </w:r>
    </w:p>
    <w:p w14:paraId="3C5DF986" w14:textId="4974D980" w:rsidR="00331CDE" w:rsidRDefault="00331CDE" w:rsidP="00331CDE">
      <w:pPr>
        <w:jc w:val="center"/>
      </w:pPr>
      <w:r w:rsidRPr="00331CDE">
        <w:drawing>
          <wp:inline distT="0" distB="0" distL="0" distR="0" wp14:anchorId="22C8D5B3" wp14:editId="23368A15">
            <wp:extent cx="5388434" cy="3923414"/>
            <wp:effectExtent l="0" t="0" r="3175" b="1270"/>
            <wp:docPr id="159363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0929" name=""/>
                    <pic:cNvPicPr/>
                  </pic:nvPicPr>
                  <pic:blipFill>
                    <a:blip r:embed="rId17"/>
                    <a:stretch>
                      <a:fillRect/>
                    </a:stretch>
                  </pic:blipFill>
                  <pic:spPr>
                    <a:xfrm>
                      <a:off x="0" y="0"/>
                      <a:ext cx="5403065" cy="3934067"/>
                    </a:xfrm>
                    <a:prstGeom prst="rect">
                      <a:avLst/>
                    </a:prstGeom>
                  </pic:spPr>
                </pic:pic>
              </a:graphicData>
            </a:graphic>
          </wp:inline>
        </w:drawing>
      </w:r>
    </w:p>
    <w:p w14:paraId="0F620CAB" w14:textId="77777777" w:rsidR="00372460" w:rsidRDefault="00372460" w:rsidP="00D75553"/>
    <w:p w14:paraId="154874BA" w14:textId="77777777" w:rsidR="00D75553" w:rsidRDefault="00D75553" w:rsidP="00331CDE">
      <w:pPr>
        <w:jc w:val="center"/>
      </w:pPr>
    </w:p>
    <w:p w14:paraId="1CE7CFE2" w14:textId="77777777" w:rsidR="00D75553" w:rsidRDefault="00D75553" w:rsidP="00331CDE">
      <w:pPr>
        <w:jc w:val="center"/>
      </w:pPr>
    </w:p>
    <w:p w14:paraId="018AB315" w14:textId="12D3782F" w:rsidR="002945BC" w:rsidRDefault="00331CDE" w:rsidP="00D75553">
      <w:pPr>
        <w:jc w:val="center"/>
      </w:pPr>
      <w:r w:rsidRPr="00331CDE">
        <w:rPr>
          <w:b/>
          <w:bCs/>
        </w:rPr>
        <w:lastRenderedPageBreak/>
        <w:t xml:space="preserve">Figure </w:t>
      </w:r>
      <w:r w:rsidR="00D75553">
        <w:rPr>
          <w:b/>
          <w:bCs/>
        </w:rPr>
        <w:t>10</w:t>
      </w:r>
      <w:r>
        <w:t xml:space="preserve">: </w:t>
      </w:r>
      <w:r>
        <w:t>Conditional Annualized volatility for BSE</w:t>
      </w:r>
      <w:r w:rsidR="00D75553">
        <w:t xml:space="preserve"> </w:t>
      </w:r>
      <w:r w:rsidR="002945BC">
        <w:t xml:space="preserve">(The corresponding LSE Volatility plots and parameter estimates are provided in Appendix </w:t>
      </w:r>
      <w:r w:rsidR="00372460">
        <w:t xml:space="preserve">A) </w:t>
      </w:r>
    </w:p>
    <w:p w14:paraId="65901E3C" w14:textId="7C261430" w:rsidR="00591263" w:rsidRDefault="00331CDE" w:rsidP="00591263">
      <w:r w:rsidRPr="00331CDE">
        <w:drawing>
          <wp:inline distT="0" distB="0" distL="0" distR="0" wp14:anchorId="5BE15FD6" wp14:editId="294113D7">
            <wp:extent cx="5486400" cy="2000250"/>
            <wp:effectExtent l="0" t="0" r="0" b="0"/>
            <wp:docPr id="139006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62585" name=""/>
                    <pic:cNvPicPr/>
                  </pic:nvPicPr>
                  <pic:blipFill>
                    <a:blip r:embed="rId18"/>
                    <a:stretch>
                      <a:fillRect/>
                    </a:stretch>
                  </pic:blipFill>
                  <pic:spPr>
                    <a:xfrm>
                      <a:off x="0" y="0"/>
                      <a:ext cx="5486400" cy="2000250"/>
                    </a:xfrm>
                    <a:prstGeom prst="rect">
                      <a:avLst/>
                    </a:prstGeom>
                  </pic:spPr>
                </pic:pic>
              </a:graphicData>
            </a:graphic>
          </wp:inline>
        </w:drawing>
      </w:r>
    </w:p>
    <w:p w14:paraId="5C1AD87C" w14:textId="0D1B5915" w:rsidR="00331CDE" w:rsidRPr="002945BC" w:rsidRDefault="00331CDE" w:rsidP="00591263">
      <w:r>
        <w:t xml:space="preserve">In </w:t>
      </w:r>
      <w:r w:rsidR="002945BC">
        <w:t>Figure</w:t>
      </w:r>
      <w:r>
        <w:t xml:space="preserve"> </w:t>
      </w:r>
      <w:r w:rsidR="00D75553">
        <w:t>10</w:t>
      </w:r>
      <w:r>
        <w:t xml:space="preserve">, I have tried to plot the annualized conditional volatility for Reliance’s BSE listing over the sample period. It can be noticed that there are sharp spikes on dates corresponding to major price moves. This </w:t>
      </w:r>
      <w:r w:rsidR="002945BC">
        <w:t xml:space="preserve">can be noticed during the two-hour London-Mumbai overlap window. As seen from Figure </w:t>
      </w:r>
      <w:r w:rsidR="00D75553">
        <w:t>9</w:t>
      </w:r>
      <w:r w:rsidR="002945BC">
        <w:t xml:space="preserve">, the fitted </w:t>
      </w:r>
      <w:r w:rsidR="00597D22">
        <w:t>GARCH (</w:t>
      </w:r>
      <w:r w:rsidR="002945BC">
        <w:t xml:space="preserve">1,1) model yields an </w:t>
      </w:r>
      <w:r w:rsidR="002945BC" w:rsidRPr="002945BC">
        <w:t>ω</w:t>
      </w:r>
      <w:r w:rsidR="002945BC">
        <w:t xml:space="preserve"> of 0.7975, </w:t>
      </w:r>
      <w:r w:rsidR="002945BC" w:rsidRPr="002945BC">
        <w:t>α₁</w:t>
      </w:r>
      <w:r w:rsidR="002945BC">
        <w:t xml:space="preserve"> of 0.7560, and </w:t>
      </w:r>
      <w:r w:rsidR="002945BC" w:rsidRPr="002945BC">
        <w:t>β₁</w:t>
      </w:r>
      <w:r w:rsidR="002945BC">
        <w:t xml:space="preserve"> of zero. </w:t>
      </w:r>
      <w:r w:rsidR="002945BC" w:rsidRPr="002945BC">
        <w:rPr>
          <w:i/>
          <w:iCs/>
        </w:rPr>
        <w:t xml:space="preserve">What does this tell us? </w:t>
      </w:r>
      <w:r w:rsidR="002945BC">
        <w:t xml:space="preserve">It suggests that rather than volatility clusters driven by persistent multi-day variances, they are driven by one-day shocks entirely. </w:t>
      </w:r>
    </w:p>
    <w:p w14:paraId="2AC35BED" w14:textId="45E47060" w:rsidR="003B09DB" w:rsidRDefault="00771676">
      <w:pPr>
        <w:pStyle w:val="Heading1"/>
      </w:pPr>
      <w:r>
        <w:t>6 Results and Discussio</w:t>
      </w:r>
      <w:r w:rsidR="00FA2F54">
        <w:t xml:space="preserve">n </w:t>
      </w:r>
    </w:p>
    <w:p w14:paraId="5136FE8C" w14:textId="77777777" w:rsidR="00B94E99" w:rsidRDefault="00FA2F54">
      <w:r>
        <w:t>The findings confirm and indicate</w:t>
      </w:r>
      <w:r w:rsidR="00B94E99">
        <w:t xml:space="preserve"> the following: </w:t>
      </w:r>
    </w:p>
    <w:p w14:paraId="23AA5C4E" w14:textId="1F590B58" w:rsidR="003B09DB" w:rsidRDefault="00FA2F54" w:rsidP="00B94E99">
      <w:pPr>
        <w:pStyle w:val="ListParagraph"/>
        <w:numPr>
          <w:ilvl w:val="0"/>
          <w:numId w:val="31"/>
        </w:numPr>
      </w:pPr>
      <w:r>
        <w:t xml:space="preserve"> </w:t>
      </w:r>
      <w:r w:rsidR="00D75553">
        <w:t>T</w:t>
      </w:r>
      <w:r>
        <w:t xml:space="preserve">ail-risk spikes for Reliance Industries Limited are significantly concentrated during the overlapping hours between Bombay Stock Exchange and London Stock Exchange. </w:t>
      </w:r>
      <w:r w:rsidR="00B1441D">
        <w:t xml:space="preserve">This increase in risk  </w:t>
      </w:r>
      <w:r w:rsidR="00662494">
        <w:t xml:space="preserve"> </w:t>
      </w:r>
      <w:r w:rsidR="00E72C8B">
        <w:t xml:space="preserve">results in more extreme price movements. </w:t>
      </w:r>
    </w:p>
    <w:p w14:paraId="77B49AAF" w14:textId="506F63E1" w:rsidR="00E72C8B" w:rsidRDefault="00E72C8B" w:rsidP="00B94E99">
      <w:pPr>
        <w:pStyle w:val="ListParagraph"/>
        <w:numPr>
          <w:ilvl w:val="0"/>
          <w:numId w:val="31"/>
        </w:numPr>
      </w:pPr>
      <w:r>
        <w:t xml:space="preserve">On comparing the microstructure on RIL’s trading on BSE and LSE reveals that BSE exhibits greater sporadic illiquidity spikes. LSE’s more stable environment allows for efficient executions of larger orders. On the other hand, significant price swings can be seen as larger trades are made on BSE. This would also require </w:t>
      </w:r>
      <w:r w:rsidR="00D75553">
        <w:t xml:space="preserve">a </w:t>
      </w:r>
      <w:r>
        <w:t xml:space="preserve">higher liquidity premium. </w:t>
      </w:r>
    </w:p>
    <w:p w14:paraId="42ECA2C9" w14:textId="184CDECB" w:rsidR="002945BC" w:rsidRDefault="00E72C8B" w:rsidP="002945BC">
      <w:pPr>
        <w:pStyle w:val="ListParagraph"/>
        <w:numPr>
          <w:ilvl w:val="0"/>
          <w:numId w:val="31"/>
        </w:numPr>
      </w:pPr>
      <w:r>
        <w:t xml:space="preserve">The U-shaped risk profile seen with RIL indicates that traders need to modify their strategies to accommodate the heightened volatility experienced during market openings and closings. We can see that algorithmic trading systems can also optimize order execution by avoiding these critical windows. </w:t>
      </w:r>
    </w:p>
    <w:p w14:paraId="5E503F4D" w14:textId="221D7206" w:rsidR="00406C40" w:rsidRDefault="00406C40" w:rsidP="002945BC">
      <w:pPr>
        <w:pStyle w:val="ListParagraph"/>
        <w:numPr>
          <w:ilvl w:val="0"/>
          <w:numId w:val="31"/>
        </w:numPr>
      </w:pPr>
      <w:r>
        <w:t xml:space="preserve">I would say that the study even though primarily based on historical data, was not able to fully capture the market due to the availability of </w:t>
      </w:r>
      <w:r w:rsidR="00D75553">
        <w:t>high-frequency</w:t>
      </w:r>
      <w:r>
        <w:t xml:space="preserve"> data for more than two months.  </w:t>
      </w:r>
    </w:p>
    <w:p w14:paraId="59A3E192" w14:textId="77777777" w:rsidR="003B09DB" w:rsidRDefault="00771676">
      <w:pPr>
        <w:pStyle w:val="Heading1"/>
      </w:pPr>
      <w:r>
        <w:lastRenderedPageBreak/>
        <w:t>7 Conclusion</w:t>
      </w:r>
    </w:p>
    <w:p w14:paraId="7F117195" w14:textId="2C9387AC" w:rsidR="003B09DB" w:rsidRDefault="00406C40">
      <w:r>
        <w:t>To conclude, this study highlights the complex trading dynamics of Reliance Industries Limited (RIL) across the Bombay Stock Exchange (BSE) and the London Stock Exchange (LSE</w:t>
      </w:r>
      <w:r w:rsidR="00597D22">
        <w:t>). I</w:t>
      </w:r>
      <w:r>
        <w:t xml:space="preserve"> have tried to uncover the critical insights into RIL’s volatility and liquidity behavior, by analyzing tail-risk clustering, dynamic risk management strategies and even market microstructure differences. This analysis not only enhanced my understanding of RIL’s market behavior but also provided practical applications for traders seeking to improve their risk management frameworks in equities that are cross-listed. </w:t>
      </w:r>
    </w:p>
    <w:p w14:paraId="5B3F4F46" w14:textId="77777777" w:rsidR="003B09DB" w:rsidRDefault="00771676">
      <w:pPr>
        <w:pStyle w:val="Heading1"/>
      </w:pPr>
      <w:r>
        <w:t>References</w:t>
      </w:r>
    </w:p>
    <w:p w14:paraId="12F31A39" w14:textId="092A3AFE" w:rsidR="00E3642C" w:rsidRDefault="00E3642C" w:rsidP="00E3642C">
      <w:r w:rsidRPr="00E3642C">
        <w:t xml:space="preserve">Biais, Bruno &amp; Glosten, Larry &amp; Spatt, Chester. (2005). Market microstructure: A survey of </w:t>
      </w:r>
      <w:r w:rsidR="00597D22" w:rsidRPr="00E3642C">
        <w:t>micro foundations</w:t>
      </w:r>
      <w:r w:rsidRPr="00E3642C">
        <w:t>, empirical results, and policy implications. Journal of Financial Markets. 8. 217-264. 10.1016/j.finmar.2004.11.001</w:t>
      </w:r>
      <w:r>
        <w:t xml:space="preserve">. </w:t>
      </w:r>
    </w:p>
    <w:p w14:paraId="23642E27" w14:textId="57ED57CE" w:rsidR="00E3642C" w:rsidRDefault="00E3642C" w:rsidP="00E3642C">
      <w:r w:rsidRPr="00E3642C">
        <w:t>Muranaga, J., &amp; Shimizu, T. (</w:t>
      </w:r>
      <w:r>
        <w:t>1999</w:t>
      </w:r>
      <w:r w:rsidRPr="00E3642C">
        <w:t>)</w:t>
      </w:r>
      <w:r>
        <w:t>. Market Microstructure and Market Liquidity.</w:t>
      </w:r>
      <w:r w:rsidRPr="00E3642C">
        <w:t xml:space="preserve"> </w:t>
      </w:r>
      <w:hyperlink r:id="rId19" w:history="1">
        <w:r w:rsidRPr="004B256B">
          <w:rPr>
            <w:rStyle w:val="Hyperlink"/>
          </w:rPr>
          <w:t>https://www.bis.org/publ/cgfs11mura_a.pdf</w:t>
        </w:r>
      </w:hyperlink>
      <w:r>
        <w:t xml:space="preserve"> </w:t>
      </w:r>
    </w:p>
    <w:p w14:paraId="76A10B25" w14:textId="0B6E28B4" w:rsidR="00010980" w:rsidRDefault="00597D22" w:rsidP="00010980">
      <w:r w:rsidRPr="00010980">
        <w:rPr>
          <w:lang w:val="en-IN"/>
        </w:rPr>
        <w:t>Indrawn</w:t>
      </w:r>
      <w:r w:rsidR="00010980" w:rsidRPr="00010980">
        <w:rPr>
          <w:lang w:val="en-IN"/>
        </w:rPr>
        <w:t xml:space="preserve">, I., </w:t>
      </w:r>
      <w:r w:rsidRPr="00010980">
        <w:rPr>
          <w:lang w:val="en-IN"/>
        </w:rPr>
        <w:t>Gasco</w:t>
      </w:r>
      <w:r w:rsidR="00010980" w:rsidRPr="00010980">
        <w:rPr>
          <w:lang w:val="en-IN"/>
        </w:rPr>
        <w:t xml:space="preserve">, R. P., &amp; </w:t>
      </w:r>
      <w:r w:rsidRPr="00010980">
        <w:rPr>
          <w:lang w:val="en-IN"/>
        </w:rPr>
        <w:t>Skalko</w:t>
      </w:r>
      <w:r w:rsidR="00010980" w:rsidRPr="00010980">
        <w:rPr>
          <w:lang w:val="en-IN"/>
        </w:rPr>
        <w:t xml:space="preserve">, A. (2020). </w:t>
      </w:r>
      <w:r w:rsidR="00010980" w:rsidRPr="00010980">
        <w:rPr>
          <w:i/>
          <w:iCs/>
          <w:lang w:val="en-IN"/>
        </w:rPr>
        <w:t>On the effects of continuous trading</w:t>
      </w:r>
      <w:r w:rsidR="00010980" w:rsidRPr="00010980">
        <w:rPr>
          <w:lang w:val="en-IN"/>
        </w:rPr>
        <w:t xml:space="preserve">. SSRN. </w:t>
      </w:r>
      <w:hyperlink r:id="rId20" w:tgtFrame="_blank" w:history="1">
        <w:r w:rsidR="00010980" w:rsidRPr="00010980">
          <w:rPr>
            <w:rStyle w:val="Hyperlink"/>
            <w:lang w:val="en-IN"/>
          </w:rPr>
          <w:t>https://doi.org/10.2139/ssrn.3707154</w:t>
        </w:r>
      </w:hyperlink>
    </w:p>
    <w:p w14:paraId="62036FEB" w14:textId="70FDBAC4" w:rsidR="005F665D" w:rsidRDefault="005F665D" w:rsidP="00010980">
      <w:hyperlink r:id="rId21" w:history="1">
        <w:r w:rsidRPr="00777257">
          <w:rPr>
            <w:rStyle w:val="Hyperlink"/>
          </w:rPr>
          <w:t>https://www.financialexpress.com/market/sebi-extends-deadline-for-retail-algo-trading-rules-implementation-3795858/</w:t>
        </w:r>
      </w:hyperlink>
      <w:r>
        <w:t>.</w:t>
      </w:r>
    </w:p>
    <w:p w14:paraId="3D0DB537" w14:textId="5A3FC8CB" w:rsidR="00CB5537" w:rsidRDefault="005F665D">
      <w:hyperlink r:id="rId22" w:history="1">
        <w:r w:rsidRPr="00777257">
          <w:rPr>
            <w:rStyle w:val="Hyperlink"/>
          </w:rPr>
          <w:t>https://www.londonstockexchange.com/news-article/FOUR/final-results/16936160</w:t>
        </w:r>
      </w:hyperlink>
    </w:p>
    <w:p w14:paraId="2D3EFAFB" w14:textId="77777777" w:rsidR="00CB5537" w:rsidRDefault="00CB5537"/>
    <w:p w14:paraId="006572A8" w14:textId="77777777" w:rsidR="00CB5537" w:rsidRDefault="00CB5537"/>
    <w:p w14:paraId="5816045E" w14:textId="77777777" w:rsidR="00CB5537" w:rsidRDefault="00CB5537"/>
    <w:p w14:paraId="5AD225A6" w14:textId="77777777" w:rsidR="00CB5537" w:rsidRDefault="00CB5537"/>
    <w:p w14:paraId="73971EBF" w14:textId="77777777" w:rsidR="002945BC" w:rsidRDefault="002945BC"/>
    <w:p w14:paraId="59361FCB" w14:textId="18CDB1CD" w:rsidR="002945BC" w:rsidRDefault="00990E3B">
      <w:r>
        <w:t xml:space="preserve"> </w:t>
      </w:r>
    </w:p>
    <w:p w14:paraId="0ADBED3E" w14:textId="77777777" w:rsidR="002945BC" w:rsidRDefault="002945BC"/>
    <w:p w14:paraId="6B67638F" w14:textId="77777777" w:rsidR="002945BC" w:rsidRDefault="002945BC"/>
    <w:p w14:paraId="182F3AB7" w14:textId="77777777" w:rsidR="002945BC" w:rsidRDefault="002945BC"/>
    <w:p w14:paraId="221D2BD2" w14:textId="77777777" w:rsidR="00CB5537" w:rsidRDefault="00CB5537"/>
    <w:p w14:paraId="1A8D3161" w14:textId="3352BF1C" w:rsidR="00CB5537" w:rsidRDefault="00CB5537" w:rsidP="00372460">
      <w:pPr>
        <w:pStyle w:val="Heading1"/>
      </w:pPr>
      <w:r>
        <w:lastRenderedPageBreak/>
        <w:t xml:space="preserve">Appendix </w:t>
      </w:r>
      <w:r w:rsidR="00990E3B">
        <w:t>A:</w:t>
      </w:r>
      <w:r w:rsidR="002945BC">
        <w:t xml:space="preserve"> </w:t>
      </w:r>
    </w:p>
    <w:p w14:paraId="313B4571" w14:textId="3906BDD4" w:rsidR="00D75553" w:rsidRDefault="00D75553" w:rsidP="00D75553">
      <w:pPr>
        <w:jc w:val="center"/>
      </w:pPr>
      <w:r w:rsidRPr="00D75553">
        <w:rPr>
          <w:b/>
          <w:bCs/>
          <w:i/>
          <w:iCs/>
        </w:rPr>
        <w:t>Figure 1</w:t>
      </w:r>
      <w:r>
        <w:rPr>
          <w:b/>
          <w:bCs/>
          <w:i/>
          <w:iCs/>
        </w:rPr>
        <w:t>1</w:t>
      </w:r>
      <w:r w:rsidRPr="00D75553">
        <w:rPr>
          <w:i/>
          <w:iCs/>
        </w:rPr>
        <w:t xml:space="preserve">: </w:t>
      </w:r>
      <w:r w:rsidR="00990E3B">
        <w:t>LSE GARCH</w:t>
      </w:r>
      <w:r>
        <w:t xml:space="preserve"> (1,1) Estimates</w:t>
      </w:r>
    </w:p>
    <w:p w14:paraId="50B1BBCC" w14:textId="77777777" w:rsidR="00372460" w:rsidRPr="00372460" w:rsidRDefault="00372460" w:rsidP="00372460"/>
    <w:p w14:paraId="66E0BAA4" w14:textId="1A986B9D" w:rsidR="00CB5537" w:rsidRDefault="002945BC" w:rsidP="002945BC">
      <w:pPr>
        <w:jc w:val="center"/>
      </w:pPr>
      <w:r w:rsidRPr="002945BC">
        <w:drawing>
          <wp:inline distT="0" distB="0" distL="0" distR="0" wp14:anchorId="6465330F" wp14:editId="1F455DF7">
            <wp:extent cx="5014762" cy="3101143"/>
            <wp:effectExtent l="0" t="0" r="0" b="4445"/>
            <wp:docPr id="1949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576" name=""/>
                    <pic:cNvPicPr/>
                  </pic:nvPicPr>
                  <pic:blipFill>
                    <a:blip r:embed="rId23"/>
                    <a:stretch>
                      <a:fillRect/>
                    </a:stretch>
                  </pic:blipFill>
                  <pic:spPr>
                    <a:xfrm>
                      <a:off x="0" y="0"/>
                      <a:ext cx="5015918" cy="3101858"/>
                    </a:xfrm>
                    <a:prstGeom prst="rect">
                      <a:avLst/>
                    </a:prstGeom>
                  </pic:spPr>
                </pic:pic>
              </a:graphicData>
            </a:graphic>
          </wp:inline>
        </w:drawing>
      </w:r>
    </w:p>
    <w:p w14:paraId="6B83099C" w14:textId="3349491D" w:rsidR="00D75553" w:rsidRPr="00D75553" w:rsidRDefault="00D75553" w:rsidP="002945BC">
      <w:pPr>
        <w:jc w:val="center"/>
        <w:rPr>
          <w:i/>
          <w:iCs/>
        </w:rPr>
      </w:pPr>
      <w:r w:rsidRPr="00D75553">
        <w:rPr>
          <w:b/>
          <w:bCs/>
          <w:i/>
          <w:iCs/>
        </w:rPr>
        <w:t>Figure 12</w:t>
      </w:r>
      <w:r w:rsidRPr="00D75553">
        <w:rPr>
          <w:i/>
          <w:iCs/>
        </w:rPr>
        <w:t xml:space="preserve">: </w:t>
      </w:r>
      <w:r w:rsidRPr="00D75553">
        <w:rPr>
          <w:i/>
          <w:iCs/>
        </w:rPr>
        <w:t xml:space="preserve">Conditional Annualized volatility for </w:t>
      </w:r>
      <w:r w:rsidRPr="00D75553">
        <w:rPr>
          <w:i/>
          <w:iCs/>
        </w:rPr>
        <w:t xml:space="preserve">LSE </w:t>
      </w:r>
    </w:p>
    <w:p w14:paraId="7B9C4C57" w14:textId="77777777" w:rsidR="002945BC" w:rsidRDefault="002945BC" w:rsidP="002945BC">
      <w:pPr>
        <w:pStyle w:val="ListParagraph"/>
        <w:ind w:left="284"/>
      </w:pPr>
    </w:p>
    <w:p w14:paraId="73301188" w14:textId="1D33A800" w:rsidR="002945BC" w:rsidRDefault="002945BC" w:rsidP="002945BC">
      <w:pPr>
        <w:pStyle w:val="ListParagraph"/>
        <w:ind w:left="284"/>
        <w:jc w:val="center"/>
      </w:pPr>
      <w:r w:rsidRPr="002945BC">
        <w:drawing>
          <wp:inline distT="0" distB="0" distL="0" distR="0" wp14:anchorId="61C0BA93" wp14:editId="44153FF0">
            <wp:extent cx="5891768" cy="2454442"/>
            <wp:effectExtent l="0" t="0" r="0" b="3175"/>
            <wp:docPr id="188147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78683" name=""/>
                    <pic:cNvPicPr/>
                  </pic:nvPicPr>
                  <pic:blipFill>
                    <a:blip r:embed="rId24"/>
                    <a:stretch>
                      <a:fillRect/>
                    </a:stretch>
                  </pic:blipFill>
                  <pic:spPr>
                    <a:xfrm>
                      <a:off x="0" y="0"/>
                      <a:ext cx="5901812" cy="2458626"/>
                    </a:xfrm>
                    <a:prstGeom prst="rect">
                      <a:avLst/>
                    </a:prstGeom>
                  </pic:spPr>
                </pic:pic>
              </a:graphicData>
            </a:graphic>
          </wp:inline>
        </w:drawing>
      </w:r>
    </w:p>
    <w:p w14:paraId="49A224B1" w14:textId="77777777" w:rsidR="00CB5537" w:rsidRDefault="00CB5537"/>
    <w:p w14:paraId="2F1576B0" w14:textId="7A4816F2" w:rsidR="00CB5537" w:rsidRDefault="00CB5537" w:rsidP="00CB5537">
      <w:pPr>
        <w:pStyle w:val="ListParagraph"/>
        <w:ind w:left="2340"/>
      </w:pPr>
    </w:p>
    <w:sectPr w:rsidR="00CB5537" w:rsidSect="00990E3B">
      <w:footerReference w:type="default" r:id="rId2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F07BB" w14:textId="77777777" w:rsidR="00FD6FC0" w:rsidRDefault="00FD6FC0" w:rsidP="00942B72">
      <w:pPr>
        <w:spacing w:after="0" w:line="240" w:lineRule="auto"/>
      </w:pPr>
      <w:r>
        <w:separator/>
      </w:r>
    </w:p>
  </w:endnote>
  <w:endnote w:type="continuationSeparator" w:id="0">
    <w:p w14:paraId="708D7E1A" w14:textId="77777777" w:rsidR="00FD6FC0" w:rsidRDefault="00FD6FC0" w:rsidP="0094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2097368"/>
      <w:docPartObj>
        <w:docPartGallery w:val="Page Numbers (Bottom of Page)"/>
        <w:docPartUnique/>
      </w:docPartObj>
    </w:sdtPr>
    <w:sdtEndPr>
      <w:rPr>
        <w:noProof/>
      </w:rPr>
    </w:sdtEndPr>
    <w:sdtContent>
      <w:p w14:paraId="36EDEAA0" w14:textId="77777777" w:rsidR="00990E3B" w:rsidRDefault="00990E3B">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6B2821B9" w14:textId="2F8A7015" w:rsidR="00990E3B" w:rsidRDefault="00990E3B">
        <w:pPr>
          <w:pStyle w:val="Footer"/>
          <w:jc w:val="right"/>
        </w:pPr>
        <w:r>
          <w:rPr>
            <w:noProof/>
          </w:rPr>
          <w:t xml:space="preserve">ECON 7055 </w:t>
        </w:r>
      </w:p>
    </w:sdtContent>
  </w:sdt>
  <w:p w14:paraId="7DDEFAB8" w14:textId="77777777" w:rsidR="00990E3B" w:rsidRDefault="00990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7E201" w14:textId="77777777" w:rsidR="00FD6FC0" w:rsidRDefault="00FD6FC0" w:rsidP="00942B72">
      <w:pPr>
        <w:spacing w:after="0" w:line="240" w:lineRule="auto"/>
      </w:pPr>
      <w:r>
        <w:separator/>
      </w:r>
    </w:p>
  </w:footnote>
  <w:footnote w:type="continuationSeparator" w:id="0">
    <w:p w14:paraId="58B2BAB8" w14:textId="77777777" w:rsidR="00FD6FC0" w:rsidRDefault="00FD6FC0" w:rsidP="00942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34014"/>
    <w:multiLevelType w:val="hybridMultilevel"/>
    <w:tmpl w:val="3746F3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190815"/>
    <w:multiLevelType w:val="multilevel"/>
    <w:tmpl w:val="6E08C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0048E"/>
    <w:multiLevelType w:val="hybridMultilevel"/>
    <w:tmpl w:val="D5187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657F2A"/>
    <w:multiLevelType w:val="hybridMultilevel"/>
    <w:tmpl w:val="242C3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DF33D9"/>
    <w:multiLevelType w:val="hybridMultilevel"/>
    <w:tmpl w:val="A36CE4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9F08E4"/>
    <w:multiLevelType w:val="hybridMultilevel"/>
    <w:tmpl w:val="82A6918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4B1702DD"/>
    <w:multiLevelType w:val="multilevel"/>
    <w:tmpl w:val="26BEA8EA"/>
    <w:lvl w:ilvl="0">
      <w:numFmt w:val="decimal"/>
      <w:lvlText w:val="%1"/>
      <w:lvlJc w:val="left"/>
      <w:pPr>
        <w:ind w:left="890" w:hanging="890"/>
      </w:pPr>
      <w:rPr>
        <w:rFonts w:hint="default"/>
      </w:rPr>
    </w:lvl>
    <w:lvl w:ilvl="1">
      <w:start w:val="3785"/>
      <w:numFmt w:val="decimalZero"/>
      <w:lvlText w:val="%1.%2"/>
      <w:lvlJc w:val="left"/>
      <w:pPr>
        <w:ind w:left="890" w:hanging="890"/>
      </w:pPr>
      <w:rPr>
        <w:rFonts w:hint="default"/>
      </w:rPr>
    </w:lvl>
    <w:lvl w:ilvl="2">
      <w:start w:val="1"/>
      <w:numFmt w:val="decimal"/>
      <w:lvlText w:val="%1.%2.%3"/>
      <w:lvlJc w:val="left"/>
      <w:pPr>
        <w:ind w:left="890" w:hanging="890"/>
      </w:pPr>
      <w:rPr>
        <w:rFonts w:hint="default"/>
      </w:rPr>
    </w:lvl>
    <w:lvl w:ilvl="3">
      <w:start w:val="1"/>
      <w:numFmt w:val="decimal"/>
      <w:lvlText w:val="%1.%2.%3.%4"/>
      <w:lvlJc w:val="left"/>
      <w:pPr>
        <w:ind w:left="890" w:hanging="8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E76EF5"/>
    <w:multiLevelType w:val="hybridMultilevel"/>
    <w:tmpl w:val="5686BC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381841"/>
    <w:multiLevelType w:val="hybridMultilevel"/>
    <w:tmpl w:val="3EBE71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C721C9"/>
    <w:multiLevelType w:val="hybridMultilevel"/>
    <w:tmpl w:val="FF9228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E143F0"/>
    <w:multiLevelType w:val="hybridMultilevel"/>
    <w:tmpl w:val="9FA05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3737A0"/>
    <w:multiLevelType w:val="multilevel"/>
    <w:tmpl w:val="4F9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517A1F"/>
    <w:multiLevelType w:val="multilevel"/>
    <w:tmpl w:val="B8E25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FB1566"/>
    <w:multiLevelType w:val="hybridMultilevel"/>
    <w:tmpl w:val="B0A64C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DC0874"/>
    <w:multiLevelType w:val="hybridMultilevel"/>
    <w:tmpl w:val="10920E9A"/>
    <w:lvl w:ilvl="0" w:tplc="57B4ED7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082BCC"/>
    <w:multiLevelType w:val="multilevel"/>
    <w:tmpl w:val="EEFA9DBE"/>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6F32A7B"/>
    <w:multiLevelType w:val="hybridMultilevel"/>
    <w:tmpl w:val="E62CC102"/>
    <w:lvl w:ilvl="0" w:tplc="E48447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A0C36"/>
    <w:multiLevelType w:val="hybridMultilevel"/>
    <w:tmpl w:val="4E160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0A18AA"/>
    <w:multiLevelType w:val="multilevel"/>
    <w:tmpl w:val="E66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CD6AC9"/>
    <w:multiLevelType w:val="hybridMultilevel"/>
    <w:tmpl w:val="702CB64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ECB8E9E2">
      <w:start w:val="1"/>
      <w:numFmt w:val="upperLetter"/>
      <w:lvlText w:val="%3)"/>
      <w:lvlJc w:val="left"/>
      <w:pPr>
        <w:ind w:left="2340" w:hanging="360"/>
      </w:pPr>
      <w:rPr>
        <w:rFonts w:hint="default"/>
      </w:rPr>
    </w:lvl>
    <w:lvl w:ilvl="3" w:tplc="28D82B94">
      <w:start w:val="1"/>
      <w:numFmt w:val="bullet"/>
      <w:lvlText w:val="–"/>
      <w:lvlJc w:val="left"/>
      <w:pPr>
        <w:ind w:left="2880" w:hanging="360"/>
      </w:pPr>
      <w:rPr>
        <w:rFonts w:ascii="Cambria" w:eastAsiaTheme="minorEastAsia" w:hAnsi="Cambria" w:cstheme="minorBidi" w:hint="default"/>
      </w:rPr>
    </w:lvl>
    <w:lvl w:ilvl="4" w:tplc="8F182F44">
      <w:start w:val="2"/>
      <w:numFmt w:val="bullet"/>
      <w:lvlText w:val="-"/>
      <w:lvlJc w:val="left"/>
      <w:pPr>
        <w:ind w:left="3600" w:hanging="360"/>
      </w:pPr>
      <w:rPr>
        <w:rFonts w:ascii="Cambria" w:eastAsiaTheme="minorEastAsia" w:hAnsi="Cambria" w:cstheme="minorBidi" w:hint="default"/>
      </w:rPr>
    </w:lvl>
    <w:lvl w:ilvl="5" w:tplc="6F06B860">
      <w:start w:val="1"/>
      <w:numFmt w:val="low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1478EB"/>
    <w:multiLevelType w:val="hybridMultilevel"/>
    <w:tmpl w:val="C25E24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5C4FC0"/>
    <w:multiLevelType w:val="hybridMultilevel"/>
    <w:tmpl w:val="4CB8A1E0"/>
    <w:lvl w:ilvl="0" w:tplc="F9DE86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BB13C3"/>
    <w:multiLevelType w:val="hybridMultilevel"/>
    <w:tmpl w:val="B6CE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281959">
    <w:abstractNumId w:val="8"/>
  </w:num>
  <w:num w:numId="2" w16cid:durableId="1029918212">
    <w:abstractNumId w:val="6"/>
  </w:num>
  <w:num w:numId="3" w16cid:durableId="2107993844">
    <w:abstractNumId w:val="5"/>
  </w:num>
  <w:num w:numId="4" w16cid:durableId="682174413">
    <w:abstractNumId w:val="4"/>
  </w:num>
  <w:num w:numId="5" w16cid:durableId="813521482">
    <w:abstractNumId w:val="7"/>
  </w:num>
  <w:num w:numId="6" w16cid:durableId="686060721">
    <w:abstractNumId w:val="3"/>
  </w:num>
  <w:num w:numId="7" w16cid:durableId="1759331927">
    <w:abstractNumId w:val="2"/>
  </w:num>
  <w:num w:numId="8" w16cid:durableId="577128916">
    <w:abstractNumId w:val="1"/>
  </w:num>
  <w:num w:numId="9" w16cid:durableId="1161584503">
    <w:abstractNumId w:val="0"/>
  </w:num>
  <w:num w:numId="10" w16cid:durableId="857816898">
    <w:abstractNumId w:val="12"/>
  </w:num>
  <w:num w:numId="11" w16cid:durableId="1285768004">
    <w:abstractNumId w:val="19"/>
  </w:num>
  <w:num w:numId="12" w16cid:durableId="1514762249">
    <w:abstractNumId w:val="13"/>
  </w:num>
  <w:num w:numId="13" w16cid:durableId="447938651">
    <w:abstractNumId w:val="22"/>
  </w:num>
  <w:num w:numId="14" w16cid:durableId="319163148">
    <w:abstractNumId w:val="21"/>
  </w:num>
  <w:num w:numId="15" w16cid:durableId="1709257214">
    <w:abstractNumId w:val="17"/>
  </w:num>
  <w:num w:numId="16" w16cid:durableId="207767470">
    <w:abstractNumId w:val="9"/>
  </w:num>
  <w:num w:numId="17" w16cid:durableId="632322855">
    <w:abstractNumId w:val="28"/>
  </w:num>
  <w:num w:numId="18" w16cid:durableId="247274570">
    <w:abstractNumId w:val="10"/>
  </w:num>
  <w:num w:numId="19" w16cid:durableId="1410689901">
    <w:abstractNumId w:val="25"/>
  </w:num>
  <w:num w:numId="20" w16cid:durableId="1298490809">
    <w:abstractNumId w:val="23"/>
  </w:num>
  <w:num w:numId="21" w16cid:durableId="185099496">
    <w:abstractNumId w:val="29"/>
  </w:num>
  <w:num w:numId="22" w16cid:durableId="1220363747">
    <w:abstractNumId w:val="15"/>
  </w:num>
  <w:num w:numId="23" w16cid:durableId="1319765471">
    <w:abstractNumId w:val="30"/>
  </w:num>
  <w:num w:numId="24" w16cid:durableId="1543176776">
    <w:abstractNumId w:val="16"/>
  </w:num>
  <w:num w:numId="25" w16cid:durableId="1571967738">
    <w:abstractNumId w:val="18"/>
  </w:num>
  <w:num w:numId="26" w16cid:durableId="1404570657">
    <w:abstractNumId w:val="26"/>
  </w:num>
  <w:num w:numId="27" w16cid:durableId="654724791">
    <w:abstractNumId w:val="11"/>
  </w:num>
  <w:num w:numId="28" w16cid:durableId="318927609">
    <w:abstractNumId w:val="20"/>
  </w:num>
  <w:num w:numId="29" w16cid:durableId="903640814">
    <w:abstractNumId w:val="27"/>
  </w:num>
  <w:num w:numId="30" w16cid:durableId="1431241143">
    <w:abstractNumId w:val="31"/>
  </w:num>
  <w:num w:numId="31" w16cid:durableId="1040520585">
    <w:abstractNumId w:val="14"/>
  </w:num>
  <w:num w:numId="32" w16cid:durableId="2721759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980"/>
    <w:rsid w:val="00034616"/>
    <w:rsid w:val="0006063C"/>
    <w:rsid w:val="000A1499"/>
    <w:rsid w:val="000B25FF"/>
    <w:rsid w:val="000D245C"/>
    <w:rsid w:val="00122220"/>
    <w:rsid w:val="00132E1F"/>
    <w:rsid w:val="0015074B"/>
    <w:rsid w:val="001634C8"/>
    <w:rsid w:val="0017245C"/>
    <w:rsid w:val="001A0AC7"/>
    <w:rsid w:val="001C6E37"/>
    <w:rsid w:val="001D6EB3"/>
    <w:rsid w:val="00233882"/>
    <w:rsid w:val="0029221D"/>
    <w:rsid w:val="002945BC"/>
    <w:rsid w:val="0029639D"/>
    <w:rsid w:val="002C0FB2"/>
    <w:rsid w:val="003056C8"/>
    <w:rsid w:val="00326F90"/>
    <w:rsid w:val="00331CDE"/>
    <w:rsid w:val="00372460"/>
    <w:rsid w:val="003B09DB"/>
    <w:rsid w:val="003B3B13"/>
    <w:rsid w:val="003E216E"/>
    <w:rsid w:val="00406C40"/>
    <w:rsid w:val="004B2FFD"/>
    <w:rsid w:val="004E287B"/>
    <w:rsid w:val="004E6B7C"/>
    <w:rsid w:val="00510E20"/>
    <w:rsid w:val="0052311E"/>
    <w:rsid w:val="00591263"/>
    <w:rsid w:val="00597D22"/>
    <w:rsid w:val="005D754B"/>
    <w:rsid w:val="005F14E8"/>
    <w:rsid w:val="005F665D"/>
    <w:rsid w:val="00662494"/>
    <w:rsid w:val="006A4AC8"/>
    <w:rsid w:val="006D0582"/>
    <w:rsid w:val="00771676"/>
    <w:rsid w:val="0079006C"/>
    <w:rsid w:val="00796E42"/>
    <w:rsid w:val="00835525"/>
    <w:rsid w:val="008A78FF"/>
    <w:rsid w:val="008B2FAD"/>
    <w:rsid w:val="008E700A"/>
    <w:rsid w:val="008F1ECB"/>
    <w:rsid w:val="00942B72"/>
    <w:rsid w:val="00990E3B"/>
    <w:rsid w:val="009E1BF9"/>
    <w:rsid w:val="00A35E5B"/>
    <w:rsid w:val="00AA19FD"/>
    <w:rsid w:val="00AA1D8D"/>
    <w:rsid w:val="00AC5A8F"/>
    <w:rsid w:val="00AF3FC2"/>
    <w:rsid w:val="00B01F4D"/>
    <w:rsid w:val="00B1441D"/>
    <w:rsid w:val="00B47730"/>
    <w:rsid w:val="00B82498"/>
    <w:rsid w:val="00B912AE"/>
    <w:rsid w:val="00B94E99"/>
    <w:rsid w:val="00BA178B"/>
    <w:rsid w:val="00BC07FF"/>
    <w:rsid w:val="00C05806"/>
    <w:rsid w:val="00C35E73"/>
    <w:rsid w:val="00C44A57"/>
    <w:rsid w:val="00C510FE"/>
    <w:rsid w:val="00CB0664"/>
    <w:rsid w:val="00CB5537"/>
    <w:rsid w:val="00CC249B"/>
    <w:rsid w:val="00D75553"/>
    <w:rsid w:val="00DD69A9"/>
    <w:rsid w:val="00E26B1B"/>
    <w:rsid w:val="00E3642C"/>
    <w:rsid w:val="00E53585"/>
    <w:rsid w:val="00E72C8B"/>
    <w:rsid w:val="00E9720F"/>
    <w:rsid w:val="00F5392C"/>
    <w:rsid w:val="00F607C5"/>
    <w:rsid w:val="00F817EE"/>
    <w:rsid w:val="00FA2F54"/>
    <w:rsid w:val="00FC693F"/>
    <w:rsid w:val="00FD6FC0"/>
    <w:rsid w:val="00FE4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3EB774"/>
  <w14:defaultImageDpi w14:val="300"/>
  <w15:docId w15:val="{2C86D7C0-443D-4DB3-9F82-35BD39D7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C0FB2"/>
    <w:rPr>
      <w:color w:val="0000FF" w:themeColor="hyperlink"/>
      <w:u w:val="single"/>
    </w:rPr>
  </w:style>
  <w:style w:type="character" w:styleId="UnresolvedMention">
    <w:name w:val="Unresolved Mention"/>
    <w:basedOn w:val="DefaultParagraphFont"/>
    <w:uiPriority w:val="99"/>
    <w:semiHidden/>
    <w:unhideWhenUsed/>
    <w:rsid w:val="002C0FB2"/>
    <w:rPr>
      <w:color w:val="605E5C"/>
      <w:shd w:val="clear" w:color="auto" w:fill="E1DFDD"/>
    </w:rPr>
  </w:style>
  <w:style w:type="paragraph" w:styleId="FootnoteText">
    <w:name w:val="footnote text"/>
    <w:basedOn w:val="Normal"/>
    <w:link w:val="FootnoteTextChar"/>
    <w:uiPriority w:val="99"/>
    <w:semiHidden/>
    <w:unhideWhenUsed/>
    <w:rsid w:val="00942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72"/>
    <w:rPr>
      <w:sz w:val="20"/>
      <w:szCs w:val="20"/>
    </w:rPr>
  </w:style>
  <w:style w:type="character" w:styleId="FootnoteReference">
    <w:name w:val="footnote reference"/>
    <w:basedOn w:val="DefaultParagraphFont"/>
    <w:uiPriority w:val="99"/>
    <w:semiHidden/>
    <w:unhideWhenUsed/>
    <w:rsid w:val="00942B72"/>
    <w:rPr>
      <w:vertAlign w:val="superscript"/>
    </w:rPr>
  </w:style>
  <w:style w:type="character" w:styleId="PlaceholderText">
    <w:name w:val="Placeholder Text"/>
    <w:basedOn w:val="DefaultParagraphFont"/>
    <w:uiPriority w:val="99"/>
    <w:semiHidden/>
    <w:rsid w:val="00C35E73"/>
    <w:rPr>
      <w:color w:val="666666"/>
    </w:rPr>
  </w:style>
  <w:style w:type="character" w:styleId="CommentReference">
    <w:name w:val="annotation reference"/>
    <w:basedOn w:val="DefaultParagraphFont"/>
    <w:uiPriority w:val="99"/>
    <w:semiHidden/>
    <w:unhideWhenUsed/>
    <w:rsid w:val="00510E20"/>
    <w:rPr>
      <w:sz w:val="16"/>
      <w:szCs w:val="16"/>
    </w:rPr>
  </w:style>
  <w:style w:type="paragraph" w:styleId="CommentText">
    <w:name w:val="annotation text"/>
    <w:basedOn w:val="Normal"/>
    <w:link w:val="CommentTextChar"/>
    <w:uiPriority w:val="99"/>
    <w:semiHidden/>
    <w:unhideWhenUsed/>
    <w:rsid w:val="00510E20"/>
    <w:pPr>
      <w:spacing w:line="240" w:lineRule="auto"/>
    </w:pPr>
    <w:rPr>
      <w:sz w:val="20"/>
      <w:szCs w:val="20"/>
    </w:rPr>
  </w:style>
  <w:style w:type="character" w:customStyle="1" w:styleId="CommentTextChar">
    <w:name w:val="Comment Text Char"/>
    <w:basedOn w:val="DefaultParagraphFont"/>
    <w:link w:val="CommentText"/>
    <w:uiPriority w:val="99"/>
    <w:semiHidden/>
    <w:rsid w:val="00510E20"/>
    <w:rPr>
      <w:sz w:val="20"/>
      <w:szCs w:val="20"/>
    </w:rPr>
  </w:style>
  <w:style w:type="paragraph" w:styleId="CommentSubject">
    <w:name w:val="annotation subject"/>
    <w:basedOn w:val="CommentText"/>
    <w:next w:val="CommentText"/>
    <w:link w:val="CommentSubjectChar"/>
    <w:uiPriority w:val="99"/>
    <w:semiHidden/>
    <w:unhideWhenUsed/>
    <w:rsid w:val="00510E20"/>
    <w:rPr>
      <w:b/>
      <w:bCs/>
    </w:rPr>
  </w:style>
  <w:style w:type="character" w:customStyle="1" w:styleId="CommentSubjectChar">
    <w:name w:val="Comment Subject Char"/>
    <w:basedOn w:val="CommentTextChar"/>
    <w:link w:val="CommentSubject"/>
    <w:uiPriority w:val="99"/>
    <w:semiHidden/>
    <w:rsid w:val="00510E20"/>
    <w:rPr>
      <w:b/>
      <w:bCs/>
      <w:sz w:val="20"/>
      <w:szCs w:val="20"/>
    </w:rPr>
  </w:style>
  <w:style w:type="table" w:styleId="PlainTable2">
    <w:name w:val="Plain Table 2"/>
    <w:basedOn w:val="TableNormal"/>
    <w:uiPriority w:val="99"/>
    <w:rsid w:val="005D75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2098">
      <w:bodyDiv w:val="1"/>
      <w:marLeft w:val="0"/>
      <w:marRight w:val="0"/>
      <w:marTop w:val="0"/>
      <w:marBottom w:val="0"/>
      <w:divBdr>
        <w:top w:val="none" w:sz="0" w:space="0" w:color="auto"/>
        <w:left w:val="none" w:sz="0" w:space="0" w:color="auto"/>
        <w:bottom w:val="none" w:sz="0" w:space="0" w:color="auto"/>
        <w:right w:val="none" w:sz="0" w:space="0" w:color="auto"/>
      </w:divBdr>
    </w:div>
    <w:div w:id="66926084">
      <w:bodyDiv w:val="1"/>
      <w:marLeft w:val="0"/>
      <w:marRight w:val="0"/>
      <w:marTop w:val="0"/>
      <w:marBottom w:val="0"/>
      <w:divBdr>
        <w:top w:val="none" w:sz="0" w:space="0" w:color="auto"/>
        <w:left w:val="none" w:sz="0" w:space="0" w:color="auto"/>
        <w:bottom w:val="none" w:sz="0" w:space="0" w:color="auto"/>
        <w:right w:val="none" w:sz="0" w:space="0" w:color="auto"/>
      </w:divBdr>
      <w:divsChild>
        <w:div w:id="1380781902">
          <w:marLeft w:val="0"/>
          <w:marRight w:val="0"/>
          <w:marTop w:val="0"/>
          <w:marBottom w:val="0"/>
          <w:divBdr>
            <w:top w:val="single" w:sz="2" w:space="0" w:color="E2E8F0"/>
            <w:left w:val="single" w:sz="2" w:space="0" w:color="E2E8F0"/>
            <w:bottom w:val="single" w:sz="2" w:space="0" w:color="E2E8F0"/>
            <w:right w:val="single" w:sz="2" w:space="0" w:color="E2E8F0"/>
          </w:divBdr>
          <w:divsChild>
            <w:div w:id="1761558378">
              <w:marLeft w:val="0"/>
              <w:marRight w:val="0"/>
              <w:marTop w:val="0"/>
              <w:marBottom w:val="0"/>
              <w:divBdr>
                <w:top w:val="single" w:sz="2" w:space="0" w:color="E2E8F0"/>
                <w:left w:val="single" w:sz="2" w:space="0" w:color="E2E8F0"/>
                <w:bottom w:val="single" w:sz="2" w:space="0" w:color="E2E8F0"/>
                <w:right w:val="single" w:sz="2" w:space="0" w:color="E2E8F0"/>
              </w:divBdr>
              <w:divsChild>
                <w:div w:id="5964445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95642135">
      <w:bodyDiv w:val="1"/>
      <w:marLeft w:val="0"/>
      <w:marRight w:val="0"/>
      <w:marTop w:val="0"/>
      <w:marBottom w:val="0"/>
      <w:divBdr>
        <w:top w:val="none" w:sz="0" w:space="0" w:color="auto"/>
        <w:left w:val="none" w:sz="0" w:space="0" w:color="auto"/>
        <w:bottom w:val="none" w:sz="0" w:space="0" w:color="auto"/>
        <w:right w:val="none" w:sz="0" w:space="0" w:color="auto"/>
      </w:divBdr>
    </w:div>
    <w:div w:id="252587114">
      <w:bodyDiv w:val="1"/>
      <w:marLeft w:val="0"/>
      <w:marRight w:val="0"/>
      <w:marTop w:val="0"/>
      <w:marBottom w:val="0"/>
      <w:divBdr>
        <w:top w:val="none" w:sz="0" w:space="0" w:color="auto"/>
        <w:left w:val="none" w:sz="0" w:space="0" w:color="auto"/>
        <w:bottom w:val="none" w:sz="0" w:space="0" w:color="auto"/>
        <w:right w:val="none" w:sz="0" w:space="0" w:color="auto"/>
      </w:divBdr>
    </w:div>
    <w:div w:id="256792480">
      <w:bodyDiv w:val="1"/>
      <w:marLeft w:val="0"/>
      <w:marRight w:val="0"/>
      <w:marTop w:val="0"/>
      <w:marBottom w:val="0"/>
      <w:divBdr>
        <w:top w:val="none" w:sz="0" w:space="0" w:color="auto"/>
        <w:left w:val="none" w:sz="0" w:space="0" w:color="auto"/>
        <w:bottom w:val="none" w:sz="0" w:space="0" w:color="auto"/>
        <w:right w:val="none" w:sz="0" w:space="0" w:color="auto"/>
      </w:divBdr>
      <w:divsChild>
        <w:div w:id="1770926473">
          <w:marLeft w:val="0"/>
          <w:marRight w:val="0"/>
          <w:marTop w:val="0"/>
          <w:marBottom w:val="0"/>
          <w:divBdr>
            <w:top w:val="single" w:sz="2" w:space="0" w:color="E2E8F0"/>
            <w:left w:val="single" w:sz="2" w:space="0" w:color="E2E8F0"/>
            <w:bottom w:val="single" w:sz="2" w:space="0" w:color="E2E8F0"/>
            <w:right w:val="single" w:sz="2" w:space="0" w:color="E2E8F0"/>
          </w:divBdr>
          <w:divsChild>
            <w:div w:id="1650599971">
              <w:marLeft w:val="0"/>
              <w:marRight w:val="0"/>
              <w:marTop w:val="0"/>
              <w:marBottom w:val="0"/>
              <w:divBdr>
                <w:top w:val="single" w:sz="2" w:space="0" w:color="E2E8F0"/>
                <w:left w:val="single" w:sz="2" w:space="0" w:color="E2E8F0"/>
                <w:bottom w:val="single" w:sz="2" w:space="0" w:color="E2E8F0"/>
                <w:right w:val="single" w:sz="2" w:space="0" w:color="E2E8F0"/>
              </w:divBdr>
              <w:divsChild>
                <w:div w:id="20348376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304507847">
      <w:bodyDiv w:val="1"/>
      <w:marLeft w:val="0"/>
      <w:marRight w:val="0"/>
      <w:marTop w:val="0"/>
      <w:marBottom w:val="0"/>
      <w:divBdr>
        <w:top w:val="none" w:sz="0" w:space="0" w:color="auto"/>
        <w:left w:val="none" w:sz="0" w:space="0" w:color="auto"/>
        <w:bottom w:val="none" w:sz="0" w:space="0" w:color="auto"/>
        <w:right w:val="none" w:sz="0" w:space="0" w:color="auto"/>
      </w:divBdr>
    </w:div>
    <w:div w:id="417291386">
      <w:bodyDiv w:val="1"/>
      <w:marLeft w:val="0"/>
      <w:marRight w:val="0"/>
      <w:marTop w:val="0"/>
      <w:marBottom w:val="0"/>
      <w:divBdr>
        <w:top w:val="none" w:sz="0" w:space="0" w:color="auto"/>
        <w:left w:val="none" w:sz="0" w:space="0" w:color="auto"/>
        <w:bottom w:val="none" w:sz="0" w:space="0" w:color="auto"/>
        <w:right w:val="none" w:sz="0" w:space="0" w:color="auto"/>
      </w:divBdr>
    </w:div>
    <w:div w:id="468203303">
      <w:bodyDiv w:val="1"/>
      <w:marLeft w:val="0"/>
      <w:marRight w:val="0"/>
      <w:marTop w:val="0"/>
      <w:marBottom w:val="0"/>
      <w:divBdr>
        <w:top w:val="none" w:sz="0" w:space="0" w:color="auto"/>
        <w:left w:val="none" w:sz="0" w:space="0" w:color="auto"/>
        <w:bottom w:val="none" w:sz="0" w:space="0" w:color="auto"/>
        <w:right w:val="none" w:sz="0" w:space="0" w:color="auto"/>
      </w:divBdr>
    </w:div>
    <w:div w:id="549924832">
      <w:bodyDiv w:val="1"/>
      <w:marLeft w:val="0"/>
      <w:marRight w:val="0"/>
      <w:marTop w:val="0"/>
      <w:marBottom w:val="0"/>
      <w:divBdr>
        <w:top w:val="none" w:sz="0" w:space="0" w:color="auto"/>
        <w:left w:val="none" w:sz="0" w:space="0" w:color="auto"/>
        <w:bottom w:val="none" w:sz="0" w:space="0" w:color="auto"/>
        <w:right w:val="none" w:sz="0" w:space="0" w:color="auto"/>
      </w:divBdr>
    </w:div>
    <w:div w:id="616065156">
      <w:bodyDiv w:val="1"/>
      <w:marLeft w:val="0"/>
      <w:marRight w:val="0"/>
      <w:marTop w:val="0"/>
      <w:marBottom w:val="0"/>
      <w:divBdr>
        <w:top w:val="none" w:sz="0" w:space="0" w:color="auto"/>
        <w:left w:val="none" w:sz="0" w:space="0" w:color="auto"/>
        <w:bottom w:val="none" w:sz="0" w:space="0" w:color="auto"/>
        <w:right w:val="none" w:sz="0" w:space="0" w:color="auto"/>
      </w:divBdr>
    </w:div>
    <w:div w:id="689068619">
      <w:bodyDiv w:val="1"/>
      <w:marLeft w:val="0"/>
      <w:marRight w:val="0"/>
      <w:marTop w:val="0"/>
      <w:marBottom w:val="0"/>
      <w:divBdr>
        <w:top w:val="none" w:sz="0" w:space="0" w:color="auto"/>
        <w:left w:val="none" w:sz="0" w:space="0" w:color="auto"/>
        <w:bottom w:val="none" w:sz="0" w:space="0" w:color="auto"/>
        <w:right w:val="none" w:sz="0" w:space="0" w:color="auto"/>
      </w:divBdr>
    </w:div>
    <w:div w:id="739251914">
      <w:bodyDiv w:val="1"/>
      <w:marLeft w:val="0"/>
      <w:marRight w:val="0"/>
      <w:marTop w:val="0"/>
      <w:marBottom w:val="0"/>
      <w:divBdr>
        <w:top w:val="none" w:sz="0" w:space="0" w:color="auto"/>
        <w:left w:val="none" w:sz="0" w:space="0" w:color="auto"/>
        <w:bottom w:val="none" w:sz="0" w:space="0" w:color="auto"/>
        <w:right w:val="none" w:sz="0" w:space="0" w:color="auto"/>
      </w:divBdr>
    </w:div>
    <w:div w:id="790132013">
      <w:bodyDiv w:val="1"/>
      <w:marLeft w:val="0"/>
      <w:marRight w:val="0"/>
      <w:marTop w:val="0"/>
      <w:marBottom w:val="0"/>
      <w:divBdr>
        <w:top w:val="none" w:sz="0" w:space="0" w:color="auto"/>
        <w:left w:val="none" w:sz="0" w:space="0" w:color="auto"/>
        <w:bottom w:val="none" w:sz="0" w:space="0" w:color="auto"/>
        <w:right w:val="none" w:sz="0" w:space="0" w:color="auto"/>
      </w:divBdr>
    </w:div>
    <w:div w:id="792792989">
      <w:bodyDiv w:val="1"/>
      <w:marLeft w:val="0"/>
      <w:marRight w:val="0"/>
      <w:marTop w:val="0"/>
      <w:marBottom w:val="0"/>
      <w:divBdr>
        <w:top w:val="none" w:sz="0" w:space="0" w:color="auto"/>
        <w:left w:val="none" w:sz="0" w:space="0" w:color="auto"/>
        <w:bottom w:val="none" w:sz="0" w:space="0" w:color="auto"/>
        <w:right w:val="none" w:sz="0" w:space="0" w:color="auto"/>
      </w:divBdr>
    </w:div>
    <w:div w:id="835655427">
      <w:bodyDiv w:val="1"/>
      <w:marLeft w:val="0"/>
      <w:marRight w:val="0"/>
      <w:marTop w:val="0"/>
      <w:marBottom w:val="0"/>
      <w:divBdr>
        <w:top w:val="none" w:sz="0" w:space="0" w:color="auto"/>
        <w:left w:val="none" w:sz="0" w:space="0" w:color="auto"/>
        <w:bottom w:val="none" w:sz="0" w:space="0" w:color="auto"/>
        <w:right w:val="none" w:sz="0" w:space="0" w:color="auto"/>
      </w:divBdr>
    </w:div>
    <w:div w:id="843206799">
      <w:bodyDiv w:val="1"/>
      <w:marLeft w:val="0"/>
      <w:marRight w:val="0"/>
      <w:marTop w:val="0"/>
      <w:marBottom w:val="0"/>
      <w:divBdr>
        <w:top w:val="none" w:sz="0" w:space="0" w:color="auto"/>
        <w:left w:val="none" w:sz="0" w:space="0" w:color="auto"/>
        <w:bottom w:val="none" w:sz="0" w:space="0" w:color="auto"/>
        <w:right w:val="none" w:sz="0" w:space="0" w:color="auto"/>
      </w:divBdr>
    </w:div>
    <w:div w:id="849101884">
      <w:bodyDiv w:val="1"/>
      <w:marLeft w:val="0"/>
      <w:marRight w:val="0"/>
      <w:marTop w:val="0"/>
      <w:marBottom w:val="0"/>
      <w:divBdr>
        <w:top w:val="none" w:sz="0" w:space="0" w:color="auto"/>
        <w:left w:val="none" w:sz="0" w:space="0" w:color="auto"/>
        <w:bottom w:val="none" w:sz="0" w:space="0" w:color="auto"/>
        <w:right w:val="none" w:sz="0" w:space="0" w:color="auto"/>
      </w:divBdr>
    </w:div>
    <w:div w:id="982275498">
      <w:bodyDiv w:val="1"/>
      <w:marLeft w:val="0"/>
      <w:marRight w:val="0"/>
      <w:marTop w:val="0"/>
      <w:marBottom w:val="0"/>
      <w:divBdr>
        <w:top w:val="none" w:sz="0" w:space="0" w:color="auto"/>
        <w:left w:val="none" w:sz="0" w:space="0" w:color="auto"/>
        <w:bottom w:val="none" w:sz="0" w:space="0" w:color="auto"/>
        <w:right w:val="none" w:sz="0" w:space="0" w:color="auto"/>
      </w:divBdr>
    </w:div>
    <w:div w:id="984896402">
      <w:bodyDiv w:val="1"/>
      <w:marLeft w:val="0"/>
      <w:marRight w:val="0"/>
      <w:marTop w:val="0"/>
      <w:marBottom w:val="0"/>
      <w:divBdr>
        <w:top w:val="none" w:sz="0" w:space="0" w:color="auto"/>
        <w:left w:val="none" w:sz="0" w:space="0" w:color="auto"/>
        <w:bottom w:val="none" w:sz="0" w:space="0" w:color="auto"/>
        <w:right w:val="none" w:sz="0" w:space="0" w:color="auto"/>
      </w:divBdr>
    </w:div>
    <w:div w:id="1020358155">
      <w:bodyDiv w:val="1"/>
      <w:marLeft w:val="0"/>
      <w:marRight w:val="0"/>
      <w:marTop w:val="0"/>
      <w:marBottom w:val="0"/>
      <w:divBdr>
        <w:top w:val="none" w:sz="0" w:space="0" w:color="auto"/>
        <w:left w:val="none" w:sz="0" w:space="0" w:color="auto"/>
        <w:bottom w:val="none" w:sz="0" w:space="0" w:color="auto"/>
        <w:right w:val="none" w:sz="0" w:space="0" w:color="auto"/>
      </w:divBdr>
    </w:div>
    <w:div w:id="1038508488">
      <w:bodyDiv w:val="1"/>
      <w:marLeft w:val="0"/>
      <w:marRight w:val="0"/>
      <w:marTop w:val="0"/>
      <w:marBottom w:val="0"/>
      <w:divBdr>
        <w:top w:val="none" w:sz="0" w:space="0" w:color="auto"/>
        <w:left w:val="none" w:sz="0" w:space="0" w:color="auto"/>
        <w:bottom w:val="none" w:sz="0" w:space="0" w:color="auto"/>
        <w:right w:val="none" w:sz="0" w:space="0" w:color="auto"/>
      </w:divBdr>
    </w:div>
    <w:div w:id="1044063618">
      <w:bodyDiv w:val="1"/>
      <w:marLeft w:val="0"/>
      <w:marRight w:val="0"/>
      <w:marTop w:val="0"/>
      <w:marBottom w:val="0"/>
      <w:divBdr>
        <w:top w:val="none" w:sz="0" w:space="0" w:color="auto"/>
        <w:left w:val="none" w:sz="0" w:space="0" w:color="auto"/>
        <w:bottom w:val="none" w:sz="0" w:space="0" w:color="auto"/>
        <w:right w:val="none" w:sz="0" w:space="0" w:color="auto"/>
      </w:divBdr>
    </w:div>
    <w:div w:id="1216237659">
      <w:bodyDiv w:val="1"/>
      <w:marLeft w:val="0"/>
      <w:marRight w:val="0"/>
      <w:marTop w:val="0"/>
      <w:marBottom w:val="0"/>
      <w:divBdr>
        <w:top w:val="none" w:sz="0" w:space="0" w:color="auto"/>
        <w:left w:val="none" w:sz="0" w:space="0" w:color="auto"/>
        <w:bottom w:val="none" w:sz="0" w:space="0" w:color="auto"/>
        <w:right w:val="none" w:sz="0" w:space="0" w:color="auto"/>
      </w:divBdr>
      <w:divsChild>
        <w:div w:id="1004429900">
          <w:marLeft w:val="0"/>
          <w:marRight w:val="0"/>
          <w:marTop w:val="0"/>
          <w:marBottom w:val="0"/>
          <w:divBdr>
            <w:top w:val="none" w:sz="0" w:space="0" w:color="auto"/>
            <w:left w:val="none" w:sz="0" w:space="0" w:color="auto"/>
            <w:bottom w:val="none" w:sz="0" w:space="0" w:color="auto"/>
            <w:right w:val="none" w:sz="0" w:space="0" w:color="auto"/>
          </w:divBdr>
        </w:div>
      </w:divsChild>
    </w:div>
    <w:div w:id="1216700484">
      <w:bodyDiv w:val="1"/>
      <w:marLeft w:val="0"/>
      <w:marRight w:val="0"/>
      <w:marTop w:val="0"/>
      <w:marBottom w:val="0"/>
      <w:divBdr>
        <w:top w:val="none" w:sz="0" w:space="0" w:color="auto"/>
        <w:left w:val="none" w:sz="0" w:space="0" w:color="auto"/>
        <w:bottom w:val="none" w:sz="0" w:space="0" w:color="auto"/>
        <w:right w:val="none" w:sz="0" w:space="0" w:color="auto"/>
      </w:divBdr>
    </w:div>
    <w:div w:id="1303195387">
      <w:bodyDiv w:val="1"/>
      <w:marLeft w:val="0"/>
      <w:marRight w:val="0"/>
      <w:marTop w:val="0"/>
      <w:marBottom w:val="0"/>
      <w:divBdr>
        <w:top w:val="none" w:sz="0" w:space="0" w:color="auto"/>
        <w:left w:val="none" w:sz="0" w:space="0" w:color="auto"/>
        <w:bottom w:val="none" w:sz="0" w:space="0" w:color="auto"/>
        <w:right w:val="none" w:sz="0" w:space="0" w:color="auto"/>
      </w:divBdr>
    </w:div>
    <w:div w:id="1308820979">
      <w:bodyDiv w:val="1"/>
      <w:marLeft w:val="0"/>
      <w:marRight w:val="0"/>
      <w:marTop w:val="0"/>
      <w:marBottom w:val="0"/>
      <w:divBdr>
        <w:top w:val="none" w:sz="0" w:space="0" w:color="auto"/>
        <w:left w:val="none" w:sz="0" w:space="0" w:color="auto"/>
        <w:bottom w:val="none" w:sz="0" w:space="0" w:color="auto"/>
        <w:right w:val="none" w:sz="0" w:space="0" w:color="auto"/>
      </w:divBdr>
    </w:div>
    <w:div w:id="1388140510">
      <w:bodyDiv w:val="1"/>
      <w:marLeft w:val="0"/>
      <w:marRight w:val="0"/>
      <w:marTop w:val="0"/>
      <w:marBottom w:val="0"/>
      <w:divBdr>
        <w:top w:val="none" w:sz="0" w:space="0" w:color="auto"/>
        <w:left w:val="none" w:sz="0" w:space="0" w:color="auto"/>
        <w:bottom w:val="none" w:sz="0" w:space="0" w:color="auto"/>
        <w:right w:val="none" w:sz="0" w:space="0" w:color="auto"/>
      </w:divBdr>
      <w:divsChild>
        <w:div w:id="735780844">
          <w:marLeft w:val="0"/>
          <w:marRight w:val="0"/>
          <w:marTop w:val="0"/>
          <w:marBottom w:val="0"/>
          <w:divBdr>
            <w:top w:val="none" w:sz="0" w:space="0" w:color="auto"/>
            <w:left w:val="none" w:sz="0" w:space="0" w:color="auto"/>
            <w:bottom w:val="none" w:sz="0" w:space="0" w:color="auto"/>
            <w:right w:val="none" w:sz="0" w:space="0" w:color="auto"/>
          </w:divBdr>
        </w:div>
      </w:divsChild>
    </w:div>
    <w:div w:id="1496650452">
      <w:bodyDiv w:val="1"/>
      <w:marLeft w:val="0"/>
      <w:marRight w:val="0"/>
      <w:marTop w:val="0"/>
      <w:marBottom w:val="0"/>
      <w:divBdr>
        <w:top w:val="none" w:sz="0" w:space="0" w:color="auto"/>
        <w:left w:val="none" w:sz="0" w:space="0" w:color="auto"/>
        <w:bottom w:val="none" w:sz="0" w:space="0" w:color="auto"/>
        <w:right w:val="none" w:sz="0" w:space="0" w:color="auto"/>
      </w:divBdr>
    </w:div>
    <w:div w:id="1585266123">
      <w:bodyDiv w:val="1"/>
      <w:marLeft w:val="0"/>
      <w:marRight w:val="0"/>
      <w:marTop w:val="0"/>
      <w:marBottom w:val="0"/>
      <w:divBdr>
        <w:top w:val="none" w:sz="0" w:space="0" w:color="auto"/>
        <w:left w:val="none" w:sz="0" w:space="0" w:color="auto"/>
        <w:bottom w:val="none" w:sz="0" w:space="0" w:color="auto"/>
        <w:right w:val="none" w:sz="0" w:space="0" w:color="auto"/>
      </w:divBdr>
    </w:div>
    <w:div w:id="1708749403">
      <w:bodyDiv w:val="1"/>
      <w:marLeft w:val="0"/>
      <w:marRight w:val="0"/>
      <w:marTop w:val="0"/>
      <w:marBottom w:val="0"/>
      <w:divBdr>
        <w:top w:val="none" w:sz="0" w:space="0" w:color="auto"/>
        <w:left w:val="none" w:sz="0" w:space="0" w:color="auto"/>
        <w:bottom w:val="none" w:sz="0" w:space="0" w:color="auto"/>
        <w:right w:val="none" w:sz="0" w:space="0" w:color="auto"/>
      </w:divBdr>
    </w:div>
    <w:div w:id="1721708073">
      <w:bodyDiv w:val="1"/>
      <w:marLeft w:val="0"/>
      <w:marRight w:val="0"/>
      <w:marTop w:val="0"/>
      <w:marBottom w:val="0"/>
      <w:divBdr>
        <w:top w:val="none" w:sz="0" w:space="0" w:color="auto"/>
        <w:left w:val="none" w:sz="0" w:space="0" w:color="auto"/>
        <w:bottom w:val="none" w:sz="0" w:space="0" w:color="auto"/>
        <w:right w:val="none" w:sz="0" w:space="0" w:color="auto"/>
      </w:divBdr>
    </w:div>
    <w:div w:id="1748258624">
      <w:bodyDiv w:val="1"/>
      <w:marLeft w:val="0"/>
      <w:marRight w:val="0"/>
      <w:marTop w:val="0"/>
      <w:marBottom w:val="0"/>
      <w:divBdr>
        <w:top w:val="none" w:sz="0" w:space="0" w:color="auto"/>
        <w:left w:val="none" w:sz="0" w:space="0" w:color="auto"/>
        <w:bottom w:val="none" w:sz="0" w:space="0" w:color="auto"/>
        <w:right w:val="none" w:sz="0" w:space="0" w:color="auto"/>
      </w:divBdr>
    </w:div>
    <w:div w:id="1767118313">
      <w:bodyDiv w:val="1"/>
      <w:marLeft w:val="0"/>
      <w:marRight w:val="0"/>
      <w:marTop w:val="0"/>
      <w:marBottom w:val="0"/>
      <w:divBdr>
        <w:top w:val="none" w:sz="0" w:space="0" w:color="auto"/>
        <w:left w:val="none" w:sz="0" w:space="0" w:color="auto"/>
        <w:bottom w:val="none" w:sz="0" w:space="0" w:color="auto"/>
        <w:right w:val="none" w:sz="0" w:space="0" w:color="auto"/>
      </w:divBdr>
    </w:div>
    <w:div w:id="1801876760">
      <w:bodyDiv w:val="1"/>
      <w:marLeft w:val="0"/>
      <w:marRight w:val="0"/>
      <w:marTop w:val="0"/>
      <w:marBottom w:val="0"/>
      <w:divBdr>
        <w:top w:val="none" w:sz="0" w:space="0" w:color="auto"/>
        <w:left w:val="none" w:sz="0" w:space="0" w:color="auto"/>
        <w:bottom w:val="none" w:sz="0" w:space="0" w:color="auto"/>
        <w:right w:val="none" w:sz="0" w:space="0" w:color="auto"/>
      </w:divBdr>
    </w:div>
    <w:div w:id="1823934942">
      <w:bodyDiv w:val="1"/>
      <w:marLeft w:val="0"/>
      <w:marRight w:val="0"/>
      <w:marTop w:val="0"/>
      <w:marBottom w:val="0"/>
      <w:divBdr>
        <w:top w:val="none" w:sz="0" w:space="0" w:color="auto"/>
        <w:left w:val="none" w:sz="0" w:space="0" w:color="auto"/>
        <w:bottom w:val="none" w:sz="0" w:space="0" w:color="auto"/>
        <w:right w:val="none" w:sz="0" w:space="0" w:color="auto"/>
      </w:divBdr>
    </w:div>
    <w:div w:id="1828088411">
      <w:bodyDiv w:val="1"/>
      <w:marLeft w:val="0"/>
      <w:marRight w:val="0"/>
      <w:marTop w:val="0"/>
      <w:marBottom w:val="0"/>
      <w:divBdr>
        <w:top w:val="none" w:sz="0" w:space="0" w:color="auto"/>
        <w:left w:val="none" w:sz="0" w:space="0" w:color="auto"/>
        <w:bottom w:val="none" w:sz="0" w:space="0" w:color="auto"/>
        <w:right w:val="none" w:sz="0" w:space="0" w:color="auto"/>
      </w:divBdr>
    </w:div>
    <w:div w:id="1873181587">
      <w:bodyDiv w:val="1"/>
      <w:marLeft w:val="0"/>
      <w:marRight w:val="0"/>
      <w:marTop w:val="0"/>
      <w:marBottom w:val="0"/>
      <w:divBdr>
        <w:top w:val="none" w:sz="0" w:space="0" w:color="auto"/>
        <w:left w:val="none" w:sz="0" w:space="0" w:color="auto"/>
        <w:bottom w:val="none" w:sz="0" w:space="0" w:color="auto"/>
        <w:right w:val="none" w:sz="0" w:space="0" w:color="auto"/>
      </w:divBdr>
    </w:div>
    <w:div w:id="1948925944">
      <w:bodyDiv w:val="1"/>
      <w:marLeft w:val="0"/>
      <w:marRight w:val="0"/>
      <w:marTop w:val="0"/>
      <w:marBottom w:val="0"/>
      <w:divBdr>
        <w:top w:val="none" w:sz="0" w:space="0" w:color="auto"/>
        <w:left w:val="none" w:sz="0" w:space="0" w:color="auto"/>
        <w:bottom w:val="none" w:sz="0" w:space="0" w:color="auto"/>
        <w:right w:val="none" w:sz="0" w:space="0" w:color="auto"/>
      </w:divBdr>
    </w:div>
    <w:div w:id="2013338963">
      <w:bodyDiv w:val="1"/>
      <w:marLeft w:val="0"/>
      <w:marRight w:val="0"/>
      <w:marTop w:val="0"/>
      <w:marBottom w:val="0"/>
      <w:divBdr>
        <w:top w:val="none" w:sz="0" w:space="0" w:color="auto"/>
        <w:left w:val="none" w:sz="0" w:space="0" w:color="auto"/>
        <w:bottom w:val="none" w:sz="0" w:space="0" w:color="auto"/>
        <w:right w:val="none" w:sz="0" w:space="0" w:color="auto"/>
      </w:divBdr>
    </w:div>
    <w:div w:id="2069645966">
      <w:bodyDiv w:val="1"/>
      <w:marLeft w:val="0"/>
      <w:marRight w:val="0"/>
      <w:marTop w:val="0"/>
      <w:marBottom w:val="0"/>
      <w:divBdr>
        <w:top w:val="none" w:sz="0" w:space="0" w:color="auto"/>
        <w:left w:val="none" w:sz="0" w:space="0" w:color="auto"/>
        <w:bottom w:val="none" w:sz="0" w:space="0" w:color="auto"/>
        <w:right w:val="none" w:sz="0" w:space="0" w:color="auto"/>
      </w:divBdr>
    </w:div>
    <w:div w:id="2089496164">
      <w:bodyDiv w:val="1"/>
      <w:marLeft w:val="0"/>
      <w:marRight w:val="0"/>
      <w:marTop w:val="0"/>
      <w:marBottom w:val="0"/>
      <w:divBdr>
        <w:top w:val="none" w:sz="0" w:space="0" w:color="auto"/>
        <w:left w:val="none" w:sz="0" w:space="0" w:color="auto"/>
        <w:bottom w:val="none" w:sz="0" w:space="0" w:color="auto"/>
        <w:right w:val="none" w:sz="0" w:space="0" w:color="auto"/>
      </w:divBdr>
    </w:div>
    <w:div w:id="2112772468">
      <w:bodyDiv w:val="1"/>
      <w:marLeft w:val="0"/>
      <w:marRight w:val="0"/>
      <w:marTop w:val="0"/>
      <w:marBottom w:val="0"/>
      <w:divBdr>
        <w:top w:val="none" w:sz="0" w:space="0" w:color="auto"/>
        <w:left w:val="none" w:sz="0" w:space="0" w:color="auto"/>
        <w:bottom w:val="none" w:sz="0" w:space="0" w:color="auto"/>
        <w:right w:val="none" w:sz="0" w:space="0" w:color="auto"/>
      </w:divBdr>
    </w:div>
    <w:div w:id="2123183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inancialexpress.com/market/sebi-extends-deadline-for-retail-algo-trading-rules-implementation-37958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2139/ssrn.37071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bis.org/publ/cgfs11mura_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ondonstockexchange.com/news-article/FOUR/final-results/1693616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4028</Words>
  <Characters>22441</Characters>
  <Application>Microsoft Office Word</Application>
  <DocSecurity>0</DocSecurity>
  <Lines>680</Lines>
  <Paragraphs>335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dc:creator>
  <cp:keywords/>
  <dc:description/>
  <cp:lastModifiedBy>Poorva  Nahar</cp:lastModifiedBy>
  <cp:revision>2</cp:revision>
  <dcterms:created xsi:type="dcterms:W3CDTF">2025-04-25T10:05:00Z</dcterms:created>
  <dcterms:modified xsi:type="dcterms:W3CDTF">2025-04-25T10:05:00Z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61db3406d35dcb2297b2df73151a2ecfddff85d1d01da209e52fc2def520344d</vt:lpwstr>
  </property>
</Properties>
</file>