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60" w:before="60"/>
        <w:jc w:val="center"/>
      </w:pPr>
      <w:r>
        <w:rPr>
          <w:rFonts w:ascii="Calibri" w:cs="Calibri" w:eastAsia="Calibri" w:hAnsi="Calibri"/>
          <w:b/>
          <w:bCs/>
          <w:caps/>
          <w:color w:val="2E75B6"/>
          <w:sz w:val="22"/>
          <w:szCs w:val="22"/>
        </w:rPr>
        <w:t xml:space="preserve">AUDIT AI — MISTRAL 22B</w:t>
      </w:r>
    </w:p>
    <w:p>
      <w:pPr>
        <w:spacing w:after="60" w:before="0"/>
        <w:jc w:val="center"/>
      </w:pPr>
      <w:r>
        <w:rPr>
          <w:rFonts w:ascii="Calibri" w:cs="Calibri" w:eastAsia="Calibri" w:hAnsi="Calibri"/>
          <w:b/>
          <w:bCs/>
          <w:color w:val="1F3864"/>
          <w:sz w:val="48"/>
          <w:szCs w:val="48"/>
        </w:rPr>
        <w:t xml:space="preserve">Data Preparation &amp; ETL Pipeline</w:t>
      </w:r>
    </w:p>
    <w:p>
      <w:pPr>
        <w:spacing w:after="180" w:before="0"/>
        <w:jc w:val="center"/>
      </w:pPr>
      <w:r>
        <w:rPr>
          <w:rFonts w:ascii="Calibri" w:cs="Calibri" w:eastAsia="Calibri" w:hAnsi="Calibri"/>
          <w:color w:val="595959"/>
          <w:sz w:val="22"/>
          <w:szCs w:val="22"/>
        </w:rPr>
        <w:t xml:space="preserve">15-Year Dataset  ·  Excel / Word / PDF Ingestion  ·  Temporal Drift Strategy  ·  JSON Conversion</w:t>
      </w:r>
    </w:p>
    <w:p>
      <w:pPr>
        <w:spacing w:after="0" w:before="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Document Purpose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Complete data preparation guide — from raw files to LLM-ready JSON</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Input Data</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60% Excel (.xlsx) · 30% Word (.docx) · 10% PDF</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Dataset Size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15 years of audit workpaper data (~70,000 pairs)</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Output</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Clean JSONL training pairs — LLM-ready</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Key Challenge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C00000"/>
                <w:sz w:val="20"/>
                <w:szCs w:val="20"/>
              </w:rPr>
              <w:t xml:space="preserve">Data drift and concept drift across 15 years of regulation changes</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Pipeline Tool</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Python scripts + Linux cron (V1) → Airflow (V2)</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Date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April 2026 — Confidential</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32"/>
                <w:szCs w:val="32"/>
              </w:rPr>
              <w:t xml:space="preserve">60%</w:t>
            </w:r>
          </w:p>
        </w:tc>
        <w:tc>
          <w:tcPr>
            <w:tcW w:type="dxa" w:w="234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32"/>
                <w:szCs w:val="32"/>
              </w:rPr>
              <w:t xml:space="preserve">30%</w:t>
            </w:r>
          </w:p>
        </w:tc>
        <w:tc>
          <w:tcPr>
            <w:tcW w:type="dxa" w:w="234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32"/>
                <w:szCs w:val="32"/>
              </w:rPr>
              <w:t xml:space="preserve">10%</w:t>
            </w:r>
          </w:p>
        </w:tc>
        <w:tc>
          <w:tcPr>
            <w:tcW w:type="dxa" w:w="234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32"/>
                <w:szCs w:val="32"/>
              </w:rPr>
              <w:t xml:space="preserve">15 yrs</w:t>
            </w:r>
          </w:p>
        </w:tc>
      </w:tr>
      <w:tr>
        <w:tc>
          <w:tcPr>
            <w:tcW w:type="dxa" w:w="234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7"/>
                <w:szCs w:val="17"/>
              </w:rPr>
              <w:t xml:space="preserve">Excel workpapers</w:t>
            </w:r>
          </w:p>
        </w:tc>
        <w:tc>
          <w:tcPr>
            <w:tcW w:type="dxa" w:w="234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2E75B6"/>
                <w:sz w:val="17"/>
                <w:szCs w:val="17"/>
              </w:rPr>
              <w:t xml:space="preserve">Word documents</w:t>
            </w:r>
          </w:p>
        </w:tc>
        <w:tc>
          <w:tcPr>
            <w:tcW w:type="dxa" w:w="2340"/>
            <w:tcBorders>
              <w:top w:val="single" w:color="CCCCCC" w:sz="4"/>
              <w:left w:val="single" w:color="CCCCCC" w:sz="4"/>
              <w:bottom w:val="single" w:color="CCCCCC" w:sz="4"/>
              <w:right w:val="single" w:color="CCCCCC" w:sz="4"/>
            </w:tcBorders>
            <w:shd w:fill="EEEDFE"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4B44B0"/>
                <w:sz w:val="17"/>
                <w:szCs w:val="17"/>
              </w:rPr>
              <w:t xml:space="preserve">PDF files</w:t>
            </w:r>
          </w:p>
        </w:tc>
        <w:tc>
          <w:tcPr>
            <w:tcW w:type="dxa" w:w="234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C55A11"/>
                <w:sz w:val="17"/>
                <w:szCs w:val="17"/>
              </w:rPr>
              <w:t xml:space="preserve">Of audit history</w:t>
            </w:r>
          </w:p>
        </w:tc>
      </w:tr>
    </w:tbl>
    <w:p>
      <w:r>
        <w:br/>
      </w:r>
    </w:p>
    <w:p>
      <w:pPr>
        <w:pStyle w:val="Heading1"/>
        <w:spacing w:after="120" w:before="280"/>
      </w:pPr>
      <w:r>
        <w:rPr>
          <w:rFonts w:ascii="Calibri" w:cs="Calibri" w:eastAsia="Calibri" w:hAnsi="Calibri"/>
          <w:b/>
          <w:bCs/>
          <w:color w:val="1F3864"/>
          <w:sz w:val="32"/>
          <w:szCs w:val="32"/>
        </w:rPr>
        <w:t xml:space="preserve">Overview — What This Pipeline Does</w:t>
      </w:r>
    </w:p>
    <w:p>
      <w:pPr>
        <w:spacing w:after="60" w:before="60"/>
      </w:pPr>
      <w:r>
        <w:rPr>
          <w:rFonts w:ascii="Calibri" w:cs="Calibri" w:eastAsia="Calibri" w:hAnsi="Calibri"/>
          <w:color w:val="000000"/>
          <w:sz w:val="20"/>
          <w:szCs w:val="20"/>
        </w:rPr>
        <w:t xml:space="preserve">The data preparation pipeline is the most critical part of the entire project. The quality of what you feed into the model directly determines the quality of what comes out. This document covers every step required to take 15 years of raw audit files — in three different formats — and convert them into clean, drift-free, LLM-ready training data.</w:t>
      </w:r>
    </w:p>
    <w:p>
      <w:pPr>
        <w:spacing w:after="0" w:before="80"/>
      </w:pPr>
    </w:p>
    <w:p>
      <w:pPr>
        <w:spacing w:after="60" w:before="60"/>
      </w:pPr>
      <w:r>
        <w:rPr>
          <w:rFonts w:ascii="Calibri" w:cs="Calibri" w:eastAsia="Calibri" w:hAnsi="Calibri"/>
          <w:b/>
          <w:bCs/>
          <w:color w:val="1F3864"/>
          <w:sz w:val="20"/>
          <w:szCs w:val="20"/>
        </w:rPr>
        <w:t xml:space="preserve">The pipeline has four major responsibilities:</w:t>
      </w:r>
    </w:p>
    <w:p>
      <w:pPr>
        <w:spacing w:after="0" w:before="40"/>
      </w:pPr>
    </w:p>
    <w:p>
      <w:pPr>
        <w:pStyle w:val="ListParagraph"/>
        <w:numPr>
          <w:ilvl w:val="0"/>
          <w:numId w:val="2"/>
        </w:numPr>
        <w:spacing w:after="36" w:before="36"/>
      </w:pPr>
      <w:r>
        <w:rPr>
          <w:rFonts w:ascii="Calibri" w:cs="Calibri" w:eastAsia="Calibri" w:hAnsi="Calibri"/>
          <w:b w:val="false"/>
          <w:bCs w:val="false"/>
          <w:color w:val="000000"/>
          <w:sz w:val="20"/>
          <w:szCs w:val="20"/>
        </w:rPr>
        <w:t xml:space="preserve">Convert raw files (Excel, Word, PDF) into structured JSON that the model can read</w:t>
      </w:r>
    </w:p>
    <w:p>
      <w:pPr>
        <w:pStyle w:val="ListParagraph"/>
        <w:numPr>
          <w:ilvl w:val="0"/>
          <w:numId w:val="2"/>
        </w:numPr>
        <w:spacing w:after="36" w:before="36"/>
      </w:pPr>
      <w:r>
        <w:rPr>
          <w:rFonts w:ascii="Calibri" w:cs="Calibri" w:eastAsia="Calibri" w:hAnsi="Calibri"/>
          <w:b w:val="false"/>
          <w:bCs w:val="false"/>
          <w:color w:val="000000"/>
          <w:sz w:val="20"/>
          <w:szCs w:val="20"/>
        </w:rPr>
        <w:t xml:space="preserve">Scrub all client PII so no sensitive data enters the training set</w:t>
      </w:r>
    </w:p>
    <w:p>
      <w:pPr>
        <w:pStyle w:val="ListParagraph"/>
        <w:numPr>
          <w:ilvl w:val="0"/>
          <w:numId w:val="2"/>
        </w:numPr>
        <w:spacing w:after="36" w:before="36"/>
      </w:pPr>
      <w:r>
        <w:rPr>
          <w:rFonts w:ascii="Calibri" w:cs="Calibri" w:eastAsia="Calibri" w:hAnsi="Calibri"/>
          <w:b w:val="false"/>
          <w:bCs w:val="false"/>
          <w:color w:val="000000"/>
          <w:sz w:val="20"/>
          <w:szCs w:val="20"/>
        </w:rPr>
        <w:t xml:space="preserve">Handle 15 years of data drift so the model learns current standards not outdated ones</w:t>
      </w:r>
    </w:p>
    <w:p>
      <w:pPr>
        <w:pStyle w:val="ListParagraph"/>
        <w:numPr>
          <w:ilvl w:val="0"/>
          <w:numId w:val="2"/>
        </w:numPr>
        <w:spacing w:after="36" w:before="36"/>
      </w:pPr>
      <w:r>
        <w:rPr>
          <w:rFonts w:ascii="Calibri" w:cs="Calibri" w:eastAsia="Calibri" w:hAnsi="Calibri"/>
          <w:b w:val="false"/>
          <w:bCs w:val="false"/>
          <w:color w:val="000000"/>
          <w:sz w:val="20"/>
          <w:szCs w:val="20"/>
        </w:rPr>
        <w:t xml:space="preserve">Produce versioned, reproducible JSONL training pairs ready for fine-tuning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Plain English</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Think of this pipeline as a factory. Raw materials (Excel, Word, PDF files) go in one end. Clean, formatted, timestamped, drift-corrected JSON training pairs come out the other end. The LLM never sees the raw files — it only sees what this pipeline produces.</w:t>
            </w:r>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Input Data — Three File Types</w:t>
      </w:r>
    </w:p>
    <w:p>
      <w:pPr>
        <w:spacing w:after="60" w:before="60"/>
      </w:pPr>
      <w:r>
        <w:rPr>
          <w:rFonts w:ascii="Calibri" w:cs="Calibri" w:eastAsia="Calibri" w:hAnsi="Calibri"/>
          <w:color w:val="595959"/>
          <w:sz w:val="20"/>
          <w:szCs w:val="20"/>
        </w:rPr>
        <w:t xml:space="preserve">Your 15-year dataset comes in three formats. Each has different challenges, different libraries to process it, and different edge cases to handle. They all need to end up in the same JSON structure.</w:t>
      </w:r>
    </w:p>
    <w:p>
      <w:pPr>
        <w:spacing w:after="0" w:before="80"/>
      </w:pPr>
    </w:p>
    <w:p>
      <w:pPr>
        <w:pStyle w:val="Heading2"/>
        <w:spacing w:after="100" w:before="200"/>
      </w:pPr>
      <w:r>
        <w:rPr>
          <w:rFonts w:ascii="Calibri" w:cs="Calibri" w:eastAsia="Calibri" w:hAnsi="Calibri"/>
          <w:b/>
          <w:bCs/>
          <w:color w:val="2E75B6"/>
          <w:sz w:val="26"/>
          <w:szCs w:val="26"/>
        </w:rPr>
        <w:t xml:space="preserve">File Type 1 — Excel (60% of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File extension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.xlsx (modern) and possibly .xls (legacy pre-2007)</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What it contains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Trial balances, bank reconciliations, lead schedules, risk matrices, audit programs, control testing sheets — structured tabular data across multiple sheets</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Key challenge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Multiple sheets per file, merged cells, formula cells, empty rows, mixed data types in columns, inconsistent column headers across years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Python library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pandas + openpyxl for .xlsx. xlrd for legacy .xls files. Always use data_only=True to read computed values not formula strings.</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Output target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One JSON object per sheet row, with sheet name, row index, column headers, and all cell values as string fields</w:t>
            </w:r>
          </w:p>
        </w:tc>
      </w:tr>
    </w:tbl>
    <w:p>
      <w:pPr>
        <w:spacing w:after="0" w:before="80"/>
      </w:pPr>
    </w:p>
    <w:p>
      <w:pPr>
        <w:pStyle w:val="Heading2"/>
        <w:spacing w:after="100" w:before="200"/>
      </w:pPr>
      <w:r>
        <w:rPr>
          <w:rFonts w:ascii="Calibri" w:cs="Calibri" w:eastAsia="Calibri" w:hAnsi="Calibri"/>
          <w:b/>
          <w:bCs/>
          <w:color w:val="2E75B6"/>
          <w:sz w:val="26"/>
          <w:szCs w:val="26"/>
        </w:rPr>
        <w:t xml:space="preserve">File Type 2 — Word Documents (30% of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File extension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.docx (modern) and possibly .doc (legacy)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What it contains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Audit findings narratives, management representation letters, engagement letters, audit reports, commentary and observations — unstructured prose text</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Key challenge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No tabular structure. Content is paragraphs and sections. Tables embedded within Word docs. Headers and footers contain metadata. Track changes may be present from audit review process.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Python library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python-docx for .docx files. LibreOffice headless conversion for legacy .doc files. Extract paragraph by paragraph preserving heading hierarchy.</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Output target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JSON with document_type, section_name, paragraph_index, and paragraph_text fields. Tables within Word extracted as separate row objects.</w:t>
            </w:r>
          </w:p>
        </w:tc>
      </w:tr>
    </w:tbl>
    <w:p>
      <w:pPr>
        <w:spacing w:after="0" w:before="80"/>
      </w:pPr>
    </w:p>
    <w:p>
      <w:pPr>
        <w:pStyle w:val="Heading2"/>
        <w:spacing w:after="100" w:before="200"/>
      </w:pPr>
      <w:r>
        <w:rPr>
          <w:rFonts w:ascii="Calibri" w:cs="Calibri" w:eastAsia="Calibri" w:hAnsi="Calibri"/>
          <w:b/>
          <w:bCs/>
          <w:color w:val="2E75B6"/>
          <w:sz w:val="26"/>
          <w:szCs w:val="26"/>
        </w:rPr>
        <w:t xml:space="preserve">File Type 3 — PDF (10% of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File extension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.pdf</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What it contains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Scanned audit confirmations, signed management letters, regulatory submissions, external auditor reports — some are text PDFs, some are scanned image PDFs</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Key challenge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Two types: text PDFs (extractable directly) and scanned PDFs (require OCR). Cannot distinguish without checking. Scanned PDFs from older years are common in a 15-year dataset.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Python library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pdfplumber for text PDFs (fast, accurate). pytesseract + pdf2image for scanned PDFs (slow, OCR-based). Always try text extraction first, fall back to OCR if extraction returns empty.</w:t>
            </w:r>
          </w:p>
        </w:tc>
      </w:tr>
      <w:tr>
        <w:tc>
          <w:tcPr>
            <w:tcW w:type="dxa" w:w="26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Output target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Same JSON structure as Word documents — section, paragraph, text content. Flag ocr_used=true for scanned PDFs so quality can be reviewed.</w:t>
            </w:r>
          </w:p>
        </w:tc>
      </w:tr>
    </w:tbl>
    <w:p>
      <w:pPr>
        <w:spacing w:after="0" w:before="80"/>
      </w:pPr>
    </w:p>
    <w:p>
      <w:pPr>
        <w:pStyle w:val="Heading2"/>
        <w:spacing w:after="100" w:before="200"/>
      </w:pPr>
      <w:r>
        <w:rPr>
          <w:rFonts w:ascii="Calibri" w:cs="Calibri" w:eastAsia="Calibri" w:hAnsi="Calibri"/>
          <w:b/>
          <w:bCs/>
          <w:color w:val="2E75B6"/>
          <w:sz w:val="26"/>
          <w:szCs w:val="26"/>
        </w:rPr>
        <w:t xml:space="preserve">Unified JSON Output Structure — All Three File Types</w:t>
      </w:r>
    </w:p>
    <w:p>
      <w:pPr>
        <w:spacing w:after="60" w:before="60"/>
      </w:pPr>
      <w:r>
        <w:rPr>
          <w:rFonts w:ascii="Calibri" w:cs="Calibri" w:eastAsia="Calibri" w:hAnsi="Calibri"/>
          <w:color w:val="595959"/>
          <w:sz w:val="20"/>
          <w:szCs w:val="20"/>
        </w:rPr>
        <w:t xml:space="preserve">Regardless of source format, every record must produce this same JSON structure before entering the training pipeline: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Field</w:t>
            </w:r>
          </w:p>
        </w:tc>
        <w:tc>
          <w:tcPr>
            <w:tcW w:type="dxa" w:w="2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Type</w:t>
            </w:r>
          </w:p>
        </w:tc>
        <w:tc>
          <w:tcPr>
            <w:tcW w:type="dxa" w:w="49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doc_id</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string</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Unique identifier — SHA-256 hash of original filename + sheet/page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source_file</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string</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Original filename (anonymized — no client name)</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file_type</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enum</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excel | word | pdf</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sheet_or_section</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string</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Sheet name (Excel) or section heading (Word/PDF)</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year_of_workpaper</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int</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Year the workpaper was created — critical for drift handling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workpaper_category</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enum</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trial_balance | bank_rec | lead_schedule | finding | risk_assessment | compliance | internal_control | substantive_testing | narrative | other</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content</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object</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The actual data — rows array for Excel, paragraph text for Word/PDF</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row_index</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int</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Row number within sheet (Excel only). Paragraph index for Word/PDF.</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token_count</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int</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Approximate token count of this record. Used for chunking decisions.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temporal_category</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enum</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timeless | time_sensitive — set by drift classifier</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temporal_weight</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float</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Training weight 0.1–1.0 based on year and category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pii_scrubbed</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bool</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True if PII was detected and masked in this record</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ocr_used</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bool</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True if OCR was used to extract text (PDF scans only)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regulation_refs</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4B44B0"/>
                <w:sz w:val="18"/>
                <w:szCs w:val="18"/>
              </w:rPr>
              <w:t xml:space="preserve">array</w:t>
            </w:r>
          </w:p>
        </w:tc>
        <w:tc>
          <w:tcPr>
            <w:tcW w:type="dxa" w:w="4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Any regulation IDs found in this record — validated against master list</w:t>
            </w:r>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Temporal Drift Strategy — The 15-Year Problem</w:t>
      </w:r>
    </w:p>
    <w:p>
      <w:pPr>
        <w:spacing w:after="60" w:before="60"/>
      </w:pPr>
      <w:r>
        <w:rPr>
          <w:rFonts w:ascii="Calibri" w:cs="Calibri" w:eastAsia="Calibri" w:hAnsi="Calibri"/>
          <w:color w:val="595959"/>
          <w:sz w:val="20"/>
          <w:szCs w:val="20"/>
        </w:rPr>
        <w:t xml:space="preserve">This is the most important design decision in the entire data pipeline. Getting this wrong means training a model that gives outdated answers confidently. Getting it right means extracting maximum value from 15 years of data while ensuring the model reflects current standards.</w:t>
      </w:r>
    </w:p>
    <w:p>
      <w:pPr>
        <w:spacing w:after="0" w:before="80"/>
      </w:pPr>
    </w:p>
    <w:p>
      <w:pPr>
        <w:pStyle w:val="Heading2"/>
        <w:spacing w:after="100" w:before="200"/>
      </w:pPr>
      <w:r>
        <w:rPr>
          <w:rFonts w:ascii="Calibri" w:cs="Calibri" w:eastAsia="Calibri" w:hAnsi="Calibri"/>
          <w:b/>
          <w:bCs/>
          <w:color w:val="2E75B6"/>
          <w:sz w:val="26"/>
          <w:szCs w:val="26"/>
        </w:rPr>
        <w:t xml:space="preserve">What Changed Over 15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What Changed</w:t>
            </w:r>
          </w:p>
        </w:tc>
        <w:tc>
          <w:tcPr>
            <w:tcW w:type="dxa" w:w="30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Old (2010-2015)</w:t>
            </w:r>
          </w:p>
        </w:tc>
        <w:tc>
          <w:tcPr>
            <w:tcW w:type="dxa" w:w="396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Current (2021-2024)</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Federal audit threshold</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$500K (OMB Circular A-133)</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$750K (2 CFR Part 200 Uniform Guidance)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Regulation name</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OMB Circular A-133</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2 CFR Part 200 (replaced A-133 in 2014)</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Risk assessment standard</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SAS 109, SAS 110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AU-C 315, AU-C 330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Going concern standard</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AU Section 341</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AU-C 570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Related party standard</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AU Section 334</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AU-C 550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Audit documentation</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AU Section 339</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AU-C 230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COVID procedures</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Did not exist</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Remote audit, virtual confirmations, WFH controls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Technology risk</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Minimal IT focus</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IT General Controls central to most audits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ESG disclosures</w:t>
            </w:r>
          </w:p>
        </w:tc>
        <w:tc>
          <w:tcPr>
            <w:tcW w:type="dxa" w:w="3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8"/>
                <w:szCs w:val="18"/>
              </w:rPr>
              <w:t xml:space="preserve">Not standard</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Increasingly required in audit scope</w:t>
            </w:r>
          </w:p>
        </w:tc>
      </w:tr>
    </w:tbl>
    <w:p>
      <w:pPr>
        <w:spacing w:after="0" w:before="80"/>
      </w:pPr>
    </w:p>
    <w:p>
      <w:pPr>
        <w:pStyle w:val="Heading2"/>
        <w:spacing w:after="100" w:before="200"/>
      </w:pPr>
      <w:r>
        <w:rPr>
          <w:rFonts w:ascii="Calibri" w:cs="Calibri" w:eastAsia="Calibri" w:hAnsi="Calibri"/>
          <w:b/>
          <w:bCs/>
          <w:color w:val="2E75B6"/>
          <w:sz w:val="26"/>
          <w:szCs w:val="26"/>
        </w:rPr>
        <w:t xml:space="preserve">Data Classification — Timeless vs Time-Sensitive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The Core Rule</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Every training pair must be classified as either TIMELESS (safe to use from all 15 years) or TIME-SENSITIVE (only use from 2020 onwards). This single classification drives the entire drift strategy.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Classification</w:t>
            </w:r>
          </w:p>
        </w:tc>
        <w:tc>
          <w:tcPr>
            <w:tcW w:type="dxa" w:w="308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Examples</w:t>
            </w:r>
          </w:p>
        </w:tc>
        <w:tc>
          <w:tcPr>
            <w:tcW w:type="dxa" w:w="408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Strategy</w:t>
            </w:r>
          </w:p>
        </w:tc>
      </w:tr>
      <w:tr>
        <w:tc>
          <w:tcPr>
            <w:tcW w:type="dxa" w:w="2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9"/>
                <w:szCs w:val="19"/>
              </w:rPr>
              <w:t xml:space="preserve">TIMELESS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Document structure patterns, entity extraction (amounts, dates, names), basic accounting concepts, audit procedure steps, general narrative writing style</w:t>
            </w:r>
          </w:p>
        </w:tc>
        <w:tc>
          <w:tcPr>
            <w:tcW w:type="dxa" w:w="4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Use all 15 years freely. These patterns do not change. A bank reconciliation structure from 2010 teaches the same structural knowledge as one from 2024.</w:t>
            </w:r>
          </w:p>
        </w:tc>
      </w:tr>
      <w:tr>
        <w:tc>
          <w:tcPr>
            <w:tcW w:type="dxa" w:w="22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left"/>
            </w:pPr>
            <w:r>
              <w:rPr>
                <w:rFonts w:ascii="Calibri" w:cs="Calibri" w:eastAsia="Calibri" w:hAnsi="Calibri"/>
                <w:b/>
                <w:bCs/>
                <w:color w:val="C00000"/>
                <w:sz w:val="19"/>
                <w:szCs w:val="19"/>
              </w:rPr>
              <w:t xml:space="preserve">TIME-SENSITIVE</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Tax thresholds, regulation citations, risk classification criteria, compliance checklists, specific dollar thresholds, standard references (AU-C, SA, CFR)</w:t>
            </w:r>
          </w:p>
        </w:tc>
        <w:tc>
          <w:tcPr>
            <w:tcW w:type="dxa" w:w="4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Use only 2020 onwards. Anything older must be either updated to current standards or discarded. Never train the model on retired regulation names as valid.</w:t>
            </w:r>
          </w:p>
        </w:tc>
      </w:tr>
    </w:tbl>
    <w:p>
      <w:pPr>
        <w:spacing w:after="0" w:before="80"/>
      </w:pPr>
    </w:p>
    <w:p>
      <w:pPr>
        <w:pStyle w:val="Heading2"/>
        <w:spacing w:after="100" w:before="200"/>
      </w:pPr>
      <w:r>
        <w:rPr>
          <w:rFonts w:ascii="Calibri" w:cs="Calibri" w:eastAsia="Calibri" w:hAnsi="Calibri"/>
          <w:b/>
          <w:bCs/>
          <w:color w:val="2E75B6"/>
          <w:sz w:val="26"/>
          <w:szCs w:val="26"/>
        </w:rPr>
        <w:t xml:space="preserve">Temporal Weighting Formula</w:t>
      </w:r>
    </w:p>
    <w:p>
      <w:pPr>
        <w:spacing w:after="60" w:before="60"/>
      </w:pPr>
      <w:r>
        <w:rPr>
          <w:rFonts w:ascii="Calibri" w:cs="Calibri" w:eastAsia="Calibri" w:hAnsi="Calibri"/>
          <w:color w:val="595959"/>
          <w:sz w:val="20"/>
          <w:szCs w:val="20"/>
        </w:rPr>
        <w:t xml:space="preserve">Even within the data you keep, recent data should influence the model more than older data. Apply these weights during training: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Year Range</w:t>
            </w:r>
          </w:p>
        </w:tc>
        <w:tc>
          <w:tcPr>
            <w:tcW w:type="dxa" w:w="16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Timeless Weight</w:t>
            </w:r>
          </w:p>
        </w:tc>
        <w:tc>
          <w:tcPr>
            <w:tcW w:type="dxa" w:w="16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Time-Sensitive Weight</w:t>
            </w:r>
          </w:p>
        </w:tc>
        <w:tc>
          <w:tcPr>
            <w:tcW w:type="dxa" w:w="4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Reasoning</w:t>
            </w:r>
          </w:p>
        </w:tc>
      </w:tr>
      <w:tr>
        <w:tc>
          <w:tcPr>
            <w:tcW w:type="dxa" w:w="1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2010 – 2014</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0.2</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EXCLUDE</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Pre-Uniform Guidance era. Regulation names completely different. Time-sensitive data dangerous.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2015 – 2017</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0.4</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EXCLUDE</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Transition period. Mix of old and new standards. Too risky to include time-sensitive pairs.</w:t>
            </w:r>
          </w:p>
        </w:tc>
      </w:tr>
      <w:tr>
        <w:tc>
          <w:tcPr>
            <w:tcW w:type="dxa" w:w="1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2018 – 2019</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0.6</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0.3</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Near-modern. Timeless patterns valuable. Time-sensitive usable with manual review only.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2020 – 2021</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0.8</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0.7</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Post-Uniform Guidance stable. COVID procedures introduced. High value.</w:t>
            </w:r>
          </w:p>
        </w:tc>
      </w:tr>
      <w:tr>
        <w:tc>
          <w:tcPr>
            <w:tcW w:type="dxa" w:w="1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2022 – 2023</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0.9</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0.9</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Current standards. High confidence. Use heavily.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2024</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1.0</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1.0</w:t>
            </w:r>
          </w:p>
        </w:tc>
        <w:tc>
          <w:tcPr>
            <w:tcW w:type="dxa" w:w="4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Most current. Full weight. Prioritise these pairs.</w:t>
            </w:r>
          </w:p>
        </w:tc>
      </w:tr>
    </w:tbl>
    <w:p>
      <w:pPr>
        <w:spacing w:after="0" w:before="80"/>
      </w:pPr>
    </w:p>
    <w:p>
      <w:pPr>
        <w:pStyle w:val="Heading2"/>
        <w:spacing w:after="100" w:before="200"/>
      </w:pPr>
      <w:r>
        <w:rPr>
          <w:rFonts w:ascii="Calibri" w:cs="Calibri" w:eastAsia="Calibri" w:hAnsi="Calibri"/>
          <w:b/>
          <w:bCs/>
          <w:color w:val="2E75B6"/>
          <w:sz w:val="26"/>
          <w:szCs w:val="26"/>
        </w:rPr>
        <w:t xml:space="preserve">Effective Dataset After Drift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Era</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Raw Pairs</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After Filter</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Effective Weight</w:t>
            </w:r>
          </w:p>
        </w:tc>
        <w:tc>
          <w:tcPr>
            <w:tcW w:type="dxa" w:w="19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Notes</w:t>
            </w:r>
          </w:p>
        </w:tc>
      </w:tr>
      <w:tr>
        <w:tc>
          <w:tcPr>
            <w:tcW w:type="dxa" w:w="2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1F3864"/>
                <w:sz w:val="18"/>
                <w:szCs w:val="18"/>
              </w:rPr>
              <w:t xml:space="preserve">2010–2014</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8"/>
                <w:szCs w:val="18"/>
              </w:rPr>
              <w:t xml:space="preserve">~18,700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~3,740 (timeless only)</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~748</w:t>
            </w:r>
          </w:p>
        </w:tc>
        <w:tc>
          <w:tcPr>
            <w:tcW w:type="dxa" w:w="1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Structural patterns only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1F3864"/>
                <w:sz w:val="18"/>
                <w:szCs w:val="18"/>
              </w:rPr>
              <w:t xml:space="preserve">2015–2017</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8"/>
                <w:szCs w:val="18"/>
              </w:rPr>
              <w:t xml:space="preserve">~14,000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~5,600 (timeless only)</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~2,240</w:t>
            </w:r>
          </w:p>
        </w:tc>
        <w:tc>
          <w:tcPr>
            <w:tcW w:type="dxa" w:w="1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Structural + near-modern</w:t>
            </w:r>
          </w:p>
        </w:tc>
      </w:tr>
      <w:tr>
        <w:tc>
          <w:tcPr>
            <w:tcW w:type="dxa" w:w="2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1F3864"/>
                <w:sz w:val="18"/>
                <w:szCs w:val="18"/>
              </w:rPr>
              <w:t xml:space="preserve">2018–2019</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8"/>
                <w:szCs w:val="18"/>
              </w:rPr>
              <w:t xml:space="preserve">~10,500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~8,400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~5,880</w:t>
            </w:r>
          </w:p>
        </w:tc>
        <w:tc>
          <w:tcPr>
            <w:tcW w:type="dxa" w:w="1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Timeless full + time-sen reviewed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1F3864"/>
                <w:sz w:val="18"/>
                <w:szCs w:val="18"/>
              </w:rPr>
              <w:t xml:space="preserve">2020–2021</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8"/>
                <w:szCs w:val="18"/>
              </w:rPr>
              <w:t xml:space="preserve">~12,600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~12,600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~9,450</w:t>
            </w:r>
          </w:p>
        </w:tc>
        <w:tc>
          <w:tcPr>
            <w:tcW w:type="dxa" w:w="1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High confidence both categories</w:t>
            </w:r>
          </w:p>
        </w:tc>
      </w:tr>
      <w:tr>
        <w:tc>
          <w:tcPr>
            <w:tcW w:type="dxa" w:w="2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1F3864"/>
                <w:sz w:val="18"/>
                <w:szCs w:val="18"/>
              </w:rPr>
              <w:t xml:space="preserve">2022–2023</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8"/>
                <w:szCs w:val="18"/>
              </w:rPr>
              <w:t xml:space="preserve">~9,800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~9,800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~8,820</w:t>
            </w:r>
          </w:p>
        </w:tc>
        <w:tc>
          <w:tcPr>
            <w:tcW w:type="dxa" w:w="1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Current standards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1F3864"/>
                <w:sz w:val="18"/>
                <w:szCs w:val="18"/>
              </w:rPr>
              <w:t xml:space="preserve">2024</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8"/>
                <w:szCs w:val="18"/>
              </w:rPr>
              <w:t xml:space="preserve">~4,400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~4,400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8"/>
                <w:szCs w:val="18"/>
              </w:rPr>
              <w:t xml:space="preserve">~4,400</w:t>
            </w:r>
          </w:p>
        </w:tc>
        <w:tc>
          <w:tcPr>
            <w:tcW w:type="dxa" w:w="1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Full weight, most current</w:t>
            </w:r>
          </w:p>
        </w:tc>
      </w:tr>
      <w:tr>
        <w:tc>
          <w:tcPr>
            <w:tcW w:type="dxa" w:w="2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TOTAL</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~70,000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~44,540</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~31,538</w:t>
            </w:r>
          </w:p>
        </w:tc>
        <w:tc>
          <w:tcPr>
            <w:tcW w:type="dxa" w:w="1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FFFFFF"/>
                <w:sz w:val="17"/>
                <w:szCs w:val="17"/>
              </w:rPr>
              <w:t xml:space="preserve">Effective training dataset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8"/>
                <w:szCs w:val="18"/>
              </w:rPr>
              <w:t xml:space="preserve">Key Point</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31,500 effective pairs is still a very strong fine-tuning dataset for Mistral 22B. Quality over quantity — a clean 31K dataset outperforms a dirty 70K dataset every time.</w:t>
            </w:r>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ETL Pipeline — All Phases</w:t>
      </w:r>
    </w:p>
    <w:p>
      <w:pPr>
        <w:spacing w:after="60" w:before="60"/>
      </w:pPr>
      <w:r>
        <w:rPr>
          <w:rFonts w:ascii="Calibri" w:cs="Calibri" w:eastAsia="Calibri" w:hAnsi="Calibri"/>
          <w:color w:val="595959"/>
          <w:sz w:val="20"/>
          <w:szCs w:val="20"/>
        </w:rPr>
        <w:t xml:space="preserve">The pipeline runs in 6 sequential phases. Each phase has defined inputs, outputs, and validation gates. A phase must fully complete and pass validation before the next phase starts.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1</w:t>
            </w:r>
          </w:p>
        </w:tc>
        <w:tc>
          <w:tcPr>
            <w:tcW w:type="dxa" w:w="57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File Ingestion &amp; Classification</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Input: Raw files → Output: Typed file inventory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4280"/>
        <w:gridCol w:w="24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2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4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1.1</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Scan input directory</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Walk all subdirectories. Collect all file paths. Record filename, size, extension, last modified date, directory path.</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File inventory CSV</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1.2</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Detect file type</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Check file extension AND magic bytes. .xlsx = Excel magic bytes 50 4B. .docx = same ZIP magic bytes. .pdf = 25 50 44 46. Reject mismatched extension/magic.</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Typed file list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1.3</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Handle legacy formats</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For .xls → convert to .xlsx via LibreOffice headless. For .doc → convert to .docx via LibreOffice headless. Log all conversions.</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Normalized file list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1.4</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Assign workpaper year</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Extract year from filename pattern, directory structure, or file metadata. If unresolvable → flag for manual review. Year is mandatory — cannot proceed without it.</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Year-tagged inventory</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1.5</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Assign workpaper category</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Classify file into: trial_balance, bank_rec, lead_schedule, finding, risk_assessment, compliance, internal_control, substantive_testing, narrative. Use filename keywords + directory name.</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Category-tagged inventory</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1.6</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Deduplication check</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Compute SHA-256 hash of each file. Check against processed_files DB table. Skip already-processed files. Log skipped count.</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Deduplicated file list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2</w:t>
            </w:r>
          </w:p>
        </w:tc>
        <w:tc>
          <w:tcPr>
            <w:tcW w:type="dxa" w:w="576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Content Extraction — Format Specific</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Input: Typed files → Output: Raw text/data per file</w:t>
            </w:r>
          </w:p>
        </w:tc>
      </w:tr>
    </w:tbl>
    <w:p>
      <w:pPr>
        <w:spacing w:after="0" w:before="80"/>
      </w:pPr>
    </w:p>
    <w:p>
      <w:pPr>
        <w:pStyle w:val="Heading3"/>
        <w:spacing w:after="80" w:before="160"/>
      </w:pPr>
      <w:r>
        <w:rPr>
          <w:rFonts w:ascii="Calibri" w:cs="Calibri" w:eastAsia="Calibri" w:hAnsi="Calibri"/>
          <w:b/>
          <w:bCs/>
          <w:color w:val="0F6E56"/>
          <w:sz w:val="22"/>
          <w:szCs w:val="22"/>
        </w:rPr>
        <w:t xml:space="preserve">Excel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46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t>
            </w:r>
          </w:p>
        </w:tc>
        <w:tc>
          <w:tcPr>
            <w:tcW w:type="dxa" w:w="20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6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2.1</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Open workbook</w:t>
            </w:r>
          </w:p>
        </w:tc>
        <w:tc>
          <w:tcPr>
            <w:tcW w:type="dxa" w:w="46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pd.ExcelFile(path). List all sheet names. Skip sheets named 'Cover', 'Index', 'TOC' — these are navigation sheets not data.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Sheet list per file</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2.2</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Read each sheet</w:t>
            </w:r>
          </w:p>
        </w:tc>
        <w:tc>
          <w:tcPr>
            <w:tcW w:type="dxa" w:w="46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pd.read_excel(path, sheet_name=sheet, dtype=str, engine='openpyxl'). Always dtype=str — never let pandas infer types for financial data.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Raw DataFrame per sheet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2.3</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Handle formulas</w:t>
            </w:r>
          </w:p>
        </w:tc>
        <w:tc>
          <w:tcPr>
            <w:tcW w:type="dxa" w:w="46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Reopen with openpyxl directly, data_only=True. For any cell where pandas returned a formula string (starts with '=') replace with openpyxl computed value.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Formula-resolved DataFrame</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2.4</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Unmerge cells</w:t>
            </w:r>
          </w:p>
        </w:tc>
        <w:tc>
          <w:tcPr>
            <w:tcW w:type="dxa" w:w="46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merged cell regions via openpyxl. Forward-fill the value from top-left cell into all merged cells before converting to DataFrame.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Unmerged DataFrame</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2.5</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Convert to row JSON</w:t>
            </w:r>
          </w:p>
        </w:tc>
        <w:tc>
          <w:tcPr>
            <w:tcW w:type="dxa" w:w="46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Each DataFrame row becomes one JSON object. Keys are column headers. Values are string cell values. Add sheet_name and row_index to every object.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JSON rows array</w:t>
            </w:r>
          </w:p>
        </w:tc>
      </w:tr>
    </w:tbl>
    <w:p>
      <w:pPr>
        <w:spacing w:after="0" w:before="80"/>
      </w:pPr>
    </w:p>
    <w:p>
      <w:pPr>
        <w:pStyle w:val="Heading3"/>
        <w:spacing w:after="80" w:before="160"/>
      </w:pPr>
      <w:r>
        <w:rPr>
          <w:rFonts w:ascii="Calibri" w:cs="Calibri" w:eastAsia="Calibri" w:hAnsi="Calibri"/>
          <w:b/>
          <w:bCs/>
          <w:color w:val="0F6E56"/>
          <w:sz w:val="22"/>
          <w:szCs w:val="22"/>
        </w:rPr>
        <w:t xml:space="preserve">Word Document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44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2.6</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Open document</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python-docx Document(path). Extract all paragraphs, tables, headers, footers separately.</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Raw document object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2.7</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Extract paragraphs</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Iterate paragraphs. Capture text, style name (Heading1/Normal etc), paragraph index. Skip empty paragraphs.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Paragraph list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2.8</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Extract embedded tables</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For each table in document extract as row-level JSON — same format as Excel rows. Tag with table_index.</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Table rows list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2.9</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Handle track changes</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If document has tracked changes, accept all changes first (LibreOffice headless). Work with clean accepted version only.</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Clean document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2.10</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Build section hierarchy</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Group paragraphs under their nearest Heading paragraph. Assign section_name from heading text. Preserves document structure in JSON.</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Section-grouped JSON</w:t>
            </w:r>
          </w:p>
        </w:tc>
      </w:tr>
    </w:tbl>
    <w:p>
      <w:pPr>
        <w:spacing w:after="0" w:before="80"/>
      </w:pPr>
    </w:p>
    <w:p>
      <w:pPr>
        <w:pStyle w:val="Heading3"/>
        <w:spacing w:after="80" w:before="160"/>
      </w:pPr>
      <w:r>
        <w:rPr>
          <w:rFonts w:ascii="Calibri" w:cs="Calibri" w:eastAsia="Calibri" w:hAnsi="Calibri"/>
          <w:b/>
          <w:bCs/>
          <w:color w:val="0F6E56"/>
          <w:sz w:val="22"/>
          <w:szCs w:val="22"/>
        </w:rPr>
        <w:t xml:space="preserve">PDF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44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2.11</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Attempt text extraction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pdfplumber.open(path). Extract text page by page. If page returns empty string or &lt; 50 characters → mark as scanned page.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Text or empty per page</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2.12</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OCR fallback for scanned</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For scanned pages: pdf2image converts page to image. pytesseract runs OCR. Set lang='eng'. Tag record with ocr_used=true.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OCR text per page</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2.13</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Detect tables in PDF</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pdfplumber.extract_tables() for text PDFs. Camelot library for complex PDF tables. Convert extracted tables to same row JSON format as Excel.</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Table rows from PDF</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2.14</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Build page structure</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Group content by page number. Assign section_name from largest font text on page (likely a heading). Preserve page_number in JSON.</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Page-grouped JSON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3</w:t>
            </w:r>
          </w:p>
        </w:tc>
        <w:tc>
          <w:tcPr>
            <w:tcW w:type="dxa" w:w="576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PII Scrubbing &amp; Sanitization</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Input: Raw extracted JSON → Output: Anonymized JSON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480"/>
        <w:gridCol w:w="20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t>
            </w:r>
          </w:p>
        </w:tc>
        <w:tc>
          <w:tcPr>
            <w:tcW w:type="dxa" w:w="24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0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NER-based PII detection</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Run presidio-analyzer on all text fields. Detect: PERSON, ORG, LOCATION, PHONE, EMAIL, AU (Australian entities), IN (Indian entities), US entities, CREDIT_CARD, IBAN_CODE, DATE_TIME (only client-specific dates).</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PII entity list per record</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Custom finance recognizer</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Add custom presidio recognizer for: TIN/PAN numbers, GST numbers, CIN numbers, account numbers (pattern-based). Standard presidio misses these.</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Extended entity list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Mask entities</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presidio-anonymizer replaces detected entities with typed placeholders: &lt;PERSON_1&gt;, &lt;ORG_1&gt;, &lt;ACCOUNT_1&gt;, &lt;TIN_1&gt;. Consistent within a document (same entity = same placeholder).</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Anonymized text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3.4</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Sanitize injection patterns</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Scan all text fields for LLM injection patterns: [INST], &lt;/s&gt;, &lt;s&gt;, 'ignore previous', 'forget everything', 'you are now'. Strip or escape these.</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Injection-safe text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3.5</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Validate scrubbing</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Sample 50 random records after scrubbing. Senior auditor spot-checks for remaining PII. If any PII found → re-run scrubber with adjusted sensitivity.</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Validated clean JSON</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3.6</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Set pii_scrubbed flag</w:t>
            </w:r>
          </w:p>
        </w:tc>
        <w:tc>
          <w:tcPr>
            <w:tcW w:type="dxa" w:w="44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Set pii_scrubbed=true on every record that had at least one entity masked. Enables audit trail of what was anonymized.</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Flagged JSON records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4</w:t>
            </w:r>
          </w:p>
        </w:tc>
        <w:tc>
          <w:tcPr>
            <w:tcW w:type="dxa" w:w="576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Temporal Classification &amp; Weighting</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Input: Clean JSON → Output: Drift-handled JSON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2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t>
            </w:r>
          </w:p>
        </w:tc>
        <w:tc>
          <w:tcPr>
            <w:tcW w:type="dxa" w:w="24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2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Assign year tag</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Use year_of_workpaper from Phase 1. Verify against any regulation year references found in content. If mismatch &gt; 2 years → flag for manual review.</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Year-verified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Classify timeless vs time-sensitive</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Rule-based classifier checks content fields. If any regulation citation, threshold value, or compliance criteria found → TIME_SENSITIVE. Otherwise → TIMELESS.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Classified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Apply exclusion rules</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TIME_SENSITIVE records with year &lt; 2018 → mark status=EXCLUDED. TIMELESS records with year &lt; 2010 → mark status=EXCLUDED. Excluded records do not enter training.</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Filtered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4.4</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Update outdated regulations</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For TIME_SENSITIVE records 2018-2019: check regulation_refs against outdated_regulations.json. Replace retired standard names with current equivalents. Log all replacements.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Updated records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4.5</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Assign temporal weight</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Apply weight table from Section 3 based on year and category. Store as temporal_weight float field on every record.</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Weighted records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4.6</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Validate distribution</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Check: post-2020 records &gt;= 60% of total effective weight. If below threshold → alert ML engineer. Do not proceed to training with under-weighted recent data.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Distribution report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5</w:t>
            </w:r>
          </w:p>
        </w:tc>
        <w:tc>
          <w:tcPr>
            <w:tcW w:type="dxa" w:w="576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JSONL Pair Construction</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Input: Weighted clean JSON → Output: Training JSONL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2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t>
            </w:r>
          </w:p>
        </w:tc>
        <w:tc>
          <w:tcPr>
            <w:tcW w:type="dxa" w:w="24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2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Build instruction-response pairs</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For each JSON record construct a Mistral-format pair: [INST] {task_instruction} + {workpaper_json} [/INST] {expected_response}. Response written by domain expert or derived from existing audit conclusions in the workpaper.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Raw JSONL pairs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Assign task type</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Tag each pair with one of 4 task types: risk_classification, compliance_check, finding_documentation, summarization. Balance distribution — no task type &gt; 40% of total pairs.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Task-tagged pairs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Validate pair format</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Check every pair: correct [INST]/[/INST] template, non-empty response, response length within bounds (50-512 tokens), no PII remaining, no injection patterns.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Validated pairs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5.4</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Token count check</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Count tokens in each pair using Mistral tokenizer. Pairs &gt; 2048 tokens → truncate input at complete sentence boundary. Add truncation marker.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Token-bounded pairs</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5.5</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Dataset split</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Split by source_file SHA-256 hash — not by row. 80% train, 10% validation, 10% test. All records from same source file go to same split.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3 split JSONL files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5.6</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DVC version commit</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DVC add all 3 JSONL files. Compute dataset hash. git commit with message including pair counts per split, task distribution, date range covered.</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Versioned dataset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PHASE 6</w:t>
            </w:r>
          </w:p>
        </w:tc>
        <w:tc>
          <w:tcPr>
            <w:tcW w:type="dxa" w:w="576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Quality Validation &amp; Sign-off</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Input: Final JSONL → Output: Training-ready dataset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280"/>
        <w:gridCol w:w="2200"/>
      </w:tblGrid>
      <w:tr>
        <w:tc>
          <w:tcPr>
            <w:tcW w:type="dxa" w:w="4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t>
            </w:r>
          </w:p>
        </w:tc>
        <w:tc>
          <w:tcPr>
            <w:tcW w:type="dxa" w:w="24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42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22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6.1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Automated quality checks</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Run validation suite: check for empty fields, duplicate pairs, format compliance, token length distribution, task balance, temporal weight distribution. Fail hard on any critical check.</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Validation report</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6.2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Regulation citation audit</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Extract all regulation references from all response fields. Check every one against regulations_master.json. Flag any unknown citations for human review. Block training if &gt; 2% unknown citations.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Citation audit report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6.3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Senior auditor sample review</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Senior auditor reviews 100 randomly sampled pairs — 25 per task type. Approves response quality and factual accuracy. Target: 90%+ approval before training begins.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Human approval record</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6.4</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Final dataset stats</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Record: total pairs, pairs per task, pairs per year range, effective weight distribution, PII scrub rate, OCR rate, exclusion rate. Store in MLflow as dataset metadata.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Dataset stats artifact</w:t>
            </w:r>
          </w:p>
        </w:tc>
      </w:tr>
      <w:tr>
        <w:tc>
          <w:tcPr>
            <w:tcW w:type="dxa" w:w="48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6.5</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Sign-off gate</w:t>
            </w:r>
          </w:p>
        </w:tc>
        <w:tc>
          <w:tcPr>
            <w:tcW w:type="dxa" w:w="42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ML Engineer and Senior Auditor both sign off in project tracking system. Training cannot begin without both sign-offs recorded.</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8"/>
                <w:szCs w:val="18"/>
              </w:rPr>
              <w:t xml:space="preserve">Approved dataset</w:t>
            </w:r>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Edge Cases — Data &amp; ETL Pipeline</w:t>
      </w:r>
    </w:p>
    <w:p>
      <w:pPr>
        <w:spacing w:after="60" w:before="60"/>
      </w:pPr>
      <w:r>
        <w:rPr>
          <w:rFonts w:ascii="Calibri" w:cs="Calibri" w:eastAsia="Calibri" w:hAnsi="Calibri"/>
          <w:color w:val="595959"/>
          <w:sz w:val="20"/>
          <w:szCs w:val="20"/>
        </w:rPr>
        <w:t xml:space="preserve">These are the failure modes most likely to appear during the data preparation phase. Each one has a specific problem, a specific fix, and a severity level.</w:t>
      </w:r>
    </w:p>
    <w:p>
      <w:pPr>
        <w:spacing w:after="0" w:before="80"/>
      </w:pPr>
    </w:p>
    <w:p>
      <w:pPr>
        <w:pStyle w:val="Heading2"/>
        <w:spacing w:after="100" w:before="200"/>
      </w:pPr>
      <w:r>
        <w:rPr>
          <w:rFonts w:ascii="Calibri" w:cs="Calibri" w:eastAsia="Calibri" w:hAnsi="Calibri"/>
          <w:b/>
          <w:bCs/>
          <w:color w:val="2E75B6"/>
          <w:sz w:val="26"/>
          <w:szCs w:val="26"/>
        </w:rPr>
        <w:t xml:space="preserve">Excel-Specific Edge Cases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XL-01</w:t>
                  </w:r>
                </w:p>
              </w:tc>
              <w:tc>
                <w:tcPr>
                  <w:tcW w:type="dxa" w:w="668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Formula Cells Return Formula Text Not Values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openpyxl without data_only=True reads the formula string (=SUM(A1:A10)) instead of the computed value. Model trains on formula syntax instead of actual financial figures.</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open with data_only=True. Add assertion in ETL: if any cell value starts with '=' after reading → raise DataQualityError and halt.</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XL-02</w:t>
                  </w:r>
                </w:p>
              </w:tc>
              <w:tc>
                <w:tcPr>
                  <w:tcW w:type="dxa" w:w="668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Multiple Sheets — Only First Sheet Read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pd.read_excel() reads Sheet1 only by default. An audit workpaper with 10 sheets loses 90% of its content. Training pairs built from incomplete data.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use pd.ExcelFile(path) and iterate xl.sheet_names. Skip only navigation sheets (Cover, Index, TOC). Process all other sheets independently.</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XL-03</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Merged Cells Produce None Rows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Merged cells in Excel have a value only in the top-left cell. All other cells in the merge read as None. DataFrame has many None rows that appear as empty data.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merged regions via openpyxl worksheet.merged_cells. Unmerge and forward-fill the top-left value into all cells in the merge before creating DataFrame.</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XL-04</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Mixed Currency Formats in Same Column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 column contains '₹2.4L', '$500,000', '2400000', and 'N/A' — all representing monetary values but in different formats. pandas infers wrong dtype, silently corrupts values.</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read with dtype=str. Build a currency normalizer function that converts all formats to a standard integer (base units). Run as a Phase 2 post-processing step.</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XL-05</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Legacy .xls Files From Pre-2007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Older workpapers may be in binary .xls format. openpyxl cannot read .xls. xlrd 2.0+ removed .xls support. Silent failure or wrong library error.</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.xls files in Phase 1. Convert to .xlsx using LibreOffice headless before any processing. Verify conversion output before discarding original.</w:t>
                  </w:r>
                </w:p>
              </w:tc>
            </w:tr>
          </w:tbl>
          <w:p/>
        </w:tc>
      </w:tr>
    </w:tbl>
    <w:p>
      <w:pPr>
        <w:spacing w:after="0" w:before="80"/>
      </w:pPr>
    </w:p>
    <w:p>
      <w:pPr>
        <w:pStyle w:val="Heading2"/>
        <w:spacing w:after="100" w:before="200"/>
      </w:pPr>
      <w:r>
        <w:rPr>
          <w:rFonts w:ascii="Calibri" w:cs="Calibri" w:eastAsia="Calibri" w:hAnsi="Calibri"/>
          <w:b/>
          <w:bCs/>
          <w:color w:val="2E75B6"/>
          <w:sz w:val="26"/>
          <w:szCs w:val="26"/>
        </w:rPr>
        <w:t xml:space="preserve">Word Document Edge Cases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WD-01</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Track Changes Pollute Content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Word documents from audit review process have tracked changes enabled. python-docx reads both accepted and deleted text — model trains on contradictory content from same document.</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tracked changes via document.element.body XML. If track changes present → export clean accepted version using LibreOffice headless before processing with python-docx.</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WD-02</w:t>
                  </w:r>
                </w:p>
              </w:tc>
              <w:tc>
                <w:tcPr>
                  <w:tcW w:type="dxa" w:w="66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Embedded Objects — Charts and Images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Word documents contain embedded Excel charts, images of tables, and screenshots. python-docx skips these silently. Important financial data in images is lost from training set.</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Flag documents with embedded objects (check for InlineShape elements). For embedded Excel objects → extract the underlying xlsx file. For images → skip but log the loss for manual review.</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WD-03</w:t>
                  </w:r>
                </w:p>
              </w:tc>
              <w:tc>
                <w:tcPr>
                  <w:tcW w:type="dxa" w:w="66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Header and Footer Repetition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Every page of a Word document repeats the header and footer (firm name, engagement name, date). If extracted naively every paragraph is preceded by the same header text — corrupts training pairs.</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Explicitly separate header and footer content from body paragraphs in python-docx. Extract headers once per document, not per page. Do not include in paragraph iteration.</w:t>
                  </w:r>
                </w:p>
              </w:tc>
            </w:tr>
          </w:tbl>
          <w:p/>
        </w:tc>
      </w:tr>
    </w:tbl>
    <w:p>
      <w:pPr>
        <w:spacing w:after="0" w:before="80"/>
      </w:pPr>
    </w:p>
    <w:p>
      <w:pPr>
        <w:pStyle w:val="Heading2"/>
        <w:spacing w:after="100" w:before="200"/>
      </w:pPr>
      <w:r>
        <w:rPr>
          <w:rFonts w:ascii="Calibri" w:cs="Calibri" w:eastAsia="Calibri" w:hAnsi="Calibri"/>
          <w:b/>
          <w:bCs/>
          <w:color w:val="2E75B6"/>
          <w:sz w:val="26"/>
          <w:szCs w:val="26"/>
        </w:rPr>
        <w:t xml:space="preserve">PDF Edge Cases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PD-01</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Scanned PDF Misidentified as Text PDF</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Some PDFs contain an invisible text layer over a scanned image — OCR was run previously. pdfplumber extracts the text layer but it may be low quality or misaligned. No error raised.</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After text extraction, run a confidence check: if extracted text has &gt; 15% non-ASCII characters or character density &lt; 0.3 per pixel → treat as scanned and re-run with pytesseract.</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PD-02</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Multi-Column PDF Layout Destroys Text Order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Two-column audit report PDFs. pdfplumber extracts text left-to-right across the page, mixing column 1 and column 2 sentences together. Complete nonsense as training data.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Use pdfplumber's crop() function to extract each column independently. Detect two-column layout by checking if text bounding boxes have a clear horizontal gap in the middle of the page.</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PD-03</w:t>
                  </w:r>
                </w:p>
              </w:tc>
              <w:tc>
                <w:tcPr>
                  <w:tcW w:type="dxa" w:w="66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Password-Protected PDFs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Some signed audit documents are password-protected. pdfplumber raises an error. Pipeline crashes on first protected file if not handled.</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Wrap all PDF opens in try-except. Catch PasswordError specifically. Log protected files to a manual_review queue. Skip and continue pipeline — do not halt on one protected file.</w:t>
                  </w:r>
                </w:p>
              </w:tc>
            </w:tr>
          </w:tbl>
          <w:p/>
        </w:tc>
      </w:tr>
    </w:tbl>
    <w:p>
      <w:pPr>
        <w:spacing w:after="0" w:before="80"/>
      </w:pPr>
    </w:p>
    <w:p>
      <w:pPr>
        <w:pStyle w:val="Heading2"/>
        <w:spacing w:after="100" w:before="200"/>
      </w:pPr>
      <w:r>
        <w:rPr>
          <w:rFonts w:ascii="Calibri" w:cs="Calibri" w:eastAsia="Calibri" w:hAnsi="Calibri"/>
          <w:b/>
          <w:bCs/>
          <w:color w:val="2E75B6"/>
          <w:sz w:val="26"/>
          <w:szCs w:val="26"/>
        </w:rPr>
        <w:t xml:space="preserve">Temporal Drift Edge Cases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TD-01</w:t>
                  </w:r>
                </w:p>
              </w:tc>
              <w:tc>
                <w:tcPr>
                  <w:tcW w:type="dxa" w:w="668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Workpaper Year Cannot Be Determined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Some files have no date in filename, no metadata date, and no year reference in content. Year is mandatory for drift classification. Defaulting to wrong year is worse than skipping.</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If year cannot be determined with &gt; 80% confidence → mark status=YEAR_UNKNOWN and route to manual review queue. Never assume or default a year. A wrong year applied to a time-sensitive pair is dangerous.</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TD-02</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Regulation Updated Mid-Year in Dataset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OMB A-133 was replaced by 2 CFR Part 200 in December 2014. A workpaper from January 2014 correctly cites A-133. A workpaper from December 2014 should cite 2 CFR 200. Same year, different correct answer.</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a regulation_validity_dates.json with effective dates for every regulation transition. Check each citation against this date lookup using the workpaper date — not just the year.</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TD-03</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Timeless Classification Applied to Threshold Values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 training pair about document structure (TIMELESS) also happens to mention a specific dollar threshold in passing. Classified as TIMELESS, used from all 15 years. Model learns the old threshold value.</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Timeless classifier must check for any numeric threshold pattern ($ amounts, percentages used as criteria) anywhere in the record. If found → override to TIME_SENSITIVE regardless of primary classification.</w:t>
                  </w:r>
                </w:p>
              </w:tc>
            </w:tr>
          </w:tbl>
          <w:p/>
        </w:tc>
      </w:tr>
    </w:tbl>
    <w:p>
      <w:pPr>
        <w:spacing w:after="0" w:before="80"/>
      </w:pPr>
    </w:p>
    <w:p>
      <w:pPr>
        <w:pStyle w:val="Heading2"/>
        <w:spacing w:after="100" w:before="200"/>
      </w:pPr>
      <w:r>
        <w:rPr>
          <w:rFonts w:ascii="Calibri" w:cs="Calibri" w:eastAsia="Calibri" w:hAnsi="Calibri"/>
          <w:b/>
          <w:bCs/>
          <w:color w:val="2E75B6"/>
          <w:sz w:val="26"/>
          <w:szCs w:val="26"/>
        </w:rPr>
        <w:t xml:space="preserve">PII &amp; Quality Edge Cases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PQ-01</w:t>
                  </w:r>
                </w:p>
              </w:tc>
              <w:tc>
                <w:tcPr>
                  <w:tcW w:type="dxa" w:w="668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Presidio Misses Indian Financial Identifiers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Standard presidio does not recognise Indian PAN numbers (ABCDE1234F format), GST numbers (22AAAAA0000A1Z5 format), or CIN numbers. These pass through scrubbing and enter training data.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custom presidio recognizers for each Indian identifier format using regex patterns. Add to analyzer registry before running scrubbing phase. Test on 100 known examples before using in production.</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PQ-02</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OCR Errors Introduce Hallucination Training Data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pytesseract OCR on old scanned documents produces errors: '8' misread as 'B', '0' as 'O', '1' as 'l'. A threshold of $750,000 becomes '$75O,000'. Model trains on wrong values.</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Post-OCR validation: run regex on all numeric fields extracted from OCR. Check for non-numeric characters in numeric contexts. Flag OCR confidence &lt; 80% records for manual review. Do not use OCR records with confidence &lt; 60%.</w:t>
                  </w:r>
                </w:p>
              </w:tc>
            </w:tr>
          </w:tbl>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Risk Register — Data Preparation Pipeline</w:t>
      </w:r>
    </w:p>
    <w:p>
      <w:pPr>
        <w:spacing w:after="60" w:before="60"/>
      </w:pPr>
      <w:r>
        <w:rPr>
          <w:rFonts w:ascii="Calibri" w:cs="Calibri" w:eastAsia="Calibri" w:hAnsi="Calibri"/>
          <w:color w:val="595959"/>
          <w:sz w:val="20"/>
          <w:szCs w:val="20"/>
        </w:rPr>
        <w:t xml:space="preserve">These are the risks specific to the data preparation phase. Each risk has a likelihood, impact, owner, and a mitigation that must be built into the pipeline design before coding begins.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000"/>
        <w:gridCol w:w="2800"/>
        <w:gridCol w:w="1400"/>
        <w:gridCol w:w="3640"/>
      </w:tblGrid>
      <w:tr>
        <w:tc>
          <w:tcPr>
            <w:tcW w:type="dxa" w:w="52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ID</w:t>
            </w:r>
          </w:p>
        </w:tc>
        <w:tc>
          <w:tcPr>
            <w:tcW w:type="dxa" w:w="10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8"/>
                <w:szCs w:val="18"/>
              </w:rPr>
              <w:t xml:space="preserve">Level</w:t>
            </w:r>
          </w:p>
        </w:tc>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Risk</w:t>
            </w:r>
          </w:p>
        </w:tc>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Owner</w:t>
            </w:r>
          </w:p>
        </w:tc>
        <w:tc>
          <w:tcPr>
            <w:tcW w:type="dxa" w:w="364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8"/>
                <w:szCs w:val="18"/>
              </w:rPr>
              <w:t xml:space="preserve">Mitigation</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DR-01</w:t>
            </w:r>
          </w:p>
        </w:tc>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Client PII passes through scrubbing into training data — model learns to output real client names, TINs, or account numbers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 Eng</w:t>
            </w:r>
          </w:p>
        </w:tc>
        <w:tc>
          <w:tcPr>
            <w:tcW w:type="dxa" w:w="364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Two-pass scrubbing: automated presidio + custom Indian identifiers + manual senior auditor sample review of 50 records before training starts</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DR-02</w:t>
            </w:r>
          </w:p>
        </w:tc>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Outdated regulation citations in training data — model learns retired standards as valid and cites them confidently in production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ML Eng</w:t>
            </w:r>
          </w:p>
        </w:tc>
        <w:tc>
          <w:tcPr>
            <w:tcW w:type="dxa" w:w="364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Temporal classification enforced. All TIME_SENSITIVE records pre-2018 excluded. regulation_validity_dates.json used for precise citation date checking</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DR-03</w:t>
            </w:r>
          </w:p>
        </w:tc>
        <w:tc>
          <w:tcPr>
            <w:tcW w:type="dxa" w:w="10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Formula cells produce formula strings in training data — model learns formula syntax as valid audit content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 Eng</w:t>
            </w:r>
          </w:p>
        </w:tc>
        <w:tc>
          <w:tcPr>
            <w:tcW w:type="dxa" w:w="364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data_only=True enforced at ETL level. Assertion check for '=' prefix in all numeric fields. Unit test runs before each training dataset version is accepted</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DR-04</w:t>
            </w:r>
          </w:p>
        </w:tc>
        <w:tc>
          <w:tcPr>
            <w:tcW w:type="dxa" w:w="10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Workpaper year cannot be determined — wrong temporal weight applied — outdated data enters training at full weight</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 Eng</w:t>
            </w:r>
          </w:p>
        </w:tc>
        <w:tc>
          <w:tcPr>
            <w:tcW w:type="dxa" w:w="364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YEAR_UNKNOWN status blocks record from training entirely. Manual review queue for all undated files. Year is mandatory — no default fallback allowed</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DR-05</w:t>
            </w:r>
          </w:p>
        </w:tc>
        <w:tc>
          <w:tcPr>
            <w:tcW w:type="dxa" w:w="10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OCR errors from scanned PDFs introduce factually wrong financial figures into training data</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 Eng</w:t>
            </w:r>
          </w:p>
        </w:tc>
        <w:tc>
          <w:tcPr>
            <w:tcW w:type="dxa" w:w="364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OCR confidence threshold enforced (min 80%). Post-OCR numeric validation. Records with confidence &lt; 60% excluded entirely. OCR_used flag on all affected records</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DR-06</w:t>
            </w:r>
          </w:p>
        </w:tc>
        <w:tc>
          <w:tcPr>
            <w:tcW w:type="dxa" w:w="10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Dataset split by row not by file — same workpaper in both train and test — inflated evaluation metrics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ML Eng</w:t>
            </w:r>
          </w:p>
        </w:tc>
        <w:tc>
          <w:tcPr>
            <w:tcW w:type="dxa" w:w="364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Split logic uses source_file SHA-256 hash as partition key. All records from same file always in same split. Validated by checking file_id overlap across splits</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DR-07</w:t>
            </w:r>
          </w:p>
        </w:tc>
        <w:tc>
          <w:tcPr>
            <w:tcW w:type="dxa" w:w="10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Task type imbalance — one task dominates training pairs — model becomes weak on minority tasks</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ML Eng</w:t>
            </w:r>
          </w:p>
        </w:tc>
        <w:tc>
          <w:tcPr>
            <w:tcW w:type="dxa" w:w="364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Task distribution check in Phase 6 quality validation. No task type &gt; 40% of total pairs. Alert if any task &lt; 15%. Rebalance by adding or removing pairs before training</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DR-08</w:t>
            </w:r>
          </w:p>
        </w:tc>
        <w:tc>
          <w:tcPr>
            <w:tcW w:type="dxa" w:w="1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Legacy .xls and .doc files fail silently — content excluded without notification</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 Eng</w:t>
            </w:r>
          </w:p>
        </w:tc>
        <w:tc>
          <w:tcPr>
            <w:tcW w:type="dxa" w:w="364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Explicit detection of legacy formats in Phase 1. Conversion pipeline via LibreOffice. Conversion failure logged to error queue. Conversion success rate reported in pipeline summary</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DR-09</w:t>
            </w:r>
          </w:p>
        </w:tc>
        <w:tc>
          <w:tcPr>
            <w:tcW w:type="dxa" w:w="1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Two-column PDF layout produces garbled text — nonsense training pairs generated</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 Eng</w:t>
            </w:r>
          </w:p>
        </w:tc>
        <w:tc>
          <w:tcPr>
            <w:tcW w:type="dxa" w:w="364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Column detection logic using bounding box analysis. Two-column PDFs processed with crop-and-extract per column. Layout detection validated on sample of PDFs before pipeline run</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DR-10</w:t>
            </w:r>
          </w:p>
        </w:tc>
        <w:tc>
          <w:tcPr>
            <w:tcW w:type="dxa" w:w="10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Pipeline runs on already-processed files — duplicate pairs in training set inflate dataset size artificially</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 Eng</w:t>
            </w:r>
          </w:p>
        </w:tc>
        <w:tc>
          <w:tcPr>
            <w:tcW w:type="dxa" w:w="364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SHA-256 deduplication check in Phase 1. processed_files table in DB tracks all ingested files by hash. Duplicate files skipped and logged. Dataset pair count verified against expected unique sources</w:t>
            </w:r>
          </w:p>
        </w:tc>
      </w:tr>
      <w:tr>
        <w:tc>
          <w:tcPr>
            <w:tcW w:type="dxa" w:w="52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DR-11</w:t>
            </w:r>
          </w:p>
        </w:tc>
        <w:tc>
          <w:tcPr>
            <w:tcW w:type="dxa" w:w="10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LOW</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Effective training dataset drops below minimum viable size after filtering — not enough data for quality fine-tuning</w:t>
            </w:r>
          </w:p>
        </w:tc>
        <w:tc>
          <w:tcPr>
            <w:tcW w:type="dxa" w:w="1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ML Eng</w:t>
            </w:r>
          </w:p>
        </w:tc>
        <w:tc>
          <w:tcPr>
            <w:tcW w:type="dxa" w:w="364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Minimum threshold check in Phase 6: at least 25,000 effective pairs required. If below threshold → halt and alert ML Engineer. Do not proceed to training on insufficient data</w:t>
            </w:r>
          </w:p>
        </w:tc>
      </w:tr>
    </w:tbl>
    <w:p>
      <w:pPr>
        <w:spacing w:after="0" w:before="120"/>
      </w:pPr>
    </w:p>
    <w:p>
      <w:pPr>
        <w:pBdr>
          <w:bottom w:val="single" w:color="2E75B6" w:sz="8" w:space="1"/>
        </w:pBdr>
        <w:spacing w:after="120" w:before="120"/>
      </w:pPr>
    </w:p>
    <w:p>
      <w:pPr>
        <w:spacing w:after="0" w:before="80"/>
      </w:pPr>
    </w:p>
    <w:p>
      <w:pPr>
        <w:spacing w:after="60" w:before="60"/>
        <w:jc w:val="center"/>
      </w:pPr>
      <w:r>
        <w:rPr>
          <w:rFonts w:ascii="Calibri" w:cs="Calibri" w:eastAsia="Calibri" w:hAnsi="Calibri"/>
          <w:color w:val="AAAAAA"/>
          <w:sz w:val="16"/>
          <w:szCs w:val="16"/>
        </w:rPr>
        <w:t xml:space="preserve">Audit AI — Mistral 22B — Data Preparation &amp; ETL Pipeline — Internal Confidential — April 2026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2026-04-22T06:40:38.600Z</dcterms:created>
  <dcterms:modified xsi:type="dcterms:W3CDTF">2026-04-22T06:40:38.602Z</dcterms:modified>
</cp:coreProperties>
</file>

<file path=docProps/custom.xml><?xml version="1.0" encoding="utf-8"?>
<Properties xmlns="http://schemas.openxmlformats.org/officeDocument/2006/custom-properties" xmlns:vt="http://schemas.openxmlformats.org/officeDocument/2006/docPropsVTypes"/>
</file>