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RR Lyrae</w:t>
      </w:r>
      <w:r w:rsidDel="00000000" w:rsidR="00000000" w:rsidRPr="00000000">
        <w:rPr>
          <w:highlight w:val="white"/>
          <w:rtl w:val="0"/>
        </w:rPr>
        <w:t xml:space="preserve"> stars have the following properties: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Period = 4 hours to 1 day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Temperature = about 7000 Kelvin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Luminosity = about 80 L</w:t>
      </w:r>
      <w:r w:rsidDel="00000000" w:rsidR="00000000" w:rsidRPr="00000000">
        <w:rPr>
          <w:vertAlign w:val="subscript"/>
          <w:rtl w:val="0"/>
        </w:rPr>
        <w:t xml:space="preserve">sun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RR Lyrae variables do not follow a strict period-luminosity relationship at visual wavelengths, although they do in the infrared K band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RR LYRAE PERIOD-LUMINOSITY RELATION. I. THEORETICAL CALIBRATION -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https://iopscience.iop.org/article/10.1086/422916/pdf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377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781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Ref: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http://articles.adsabs.harvard.edu/pdf/1979AJ.....84..993B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  <w:vertAlign w:val="superscript"/>
        </w:rPr>
      </w:pPr>
      <w:r w:rsidDel="00000000" w:rsidR="00000000" w:rsidRPr="00000000">
        <w:rPr/>
        <w:drawing>
          <wp:inline distB="114300" distT="114300" distL="114300" distR="114300">
            <wp:extent cx="3600450" cy="400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32"/>
          <w:szCs w:val="32"/>
          <w:rtl w:val="0"/>
        </w:rPr>
        <w:t xml:space="preserve">where </w:t>
      </w:r>
      <w:r w:rsidDel="00000000" w:rsidR="00000000" w:rsidRPr="00000000">
        <w:rPr>
          <w:i w:val="1"/>
          <w:sz w:val="32"/>
          <w:szCs w:val="32"/>
          <w:rtl w:val="0"/>
        </w:rPr>
        <w:t xml:space="preserve">f</w:t>
      </w:r>
      <w:r w:rsidDel="00000000" w:rsidR="00000000" w:rsidRPr="00000000">
        <w:rPr>
          <w:sz w:val="32"/>
          <w:szCs w:val="32"/>
          <w:rtl w:val="0"/>
        </w:rPr>
        <w:t xml:space="preserve"> = 10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vertAlign w:val="superscript"/>
          <w:rtl w:val="0"/>
        </w:rPr>
        <w:t xml:space="preserve">[∝/Fe]</w:t>
      </w:r>
    </w:p>
    <w:p w:rsidR="00000000" w:rsidDel="00000000" w:rsidP="00000000" w:rsidRDefault="00000000" w:rsidRPr="00000000" w14:paraId="00000013">
      <w:pPr>
        <w:rPr>
          <w:sz w:val="32"/>
          <w:szCs w:val="3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  <w:vertAlign w:val="superscript"/>
        </w:rPr>
      </w:pPr>
      <w:r w:rsidDel="00000000" w:rsidR="00000000" w:rsidRPr="00000000">
        <w:rPr>
          <w:sz w:val="32"/>
          <w:szCs w:val="32"/>
          <w:vertAlign w:val="superscript"/>
          <w:rtl w:val="0"/>
        </w:rPr>
        <w:t xml:space="preserve">Can be useful: </w:t>
      </w:r>
      <w:hyperlink r:id="rId12">
        <w:r w:rsidDel="00000000" w:rsidR="00000000" w:rsidRPr="00000000">
          <w:rPr>
            <w:color w:val="1155cc"/>
            <w:sz w:val="32"/>
            <w:szCs w:val="32"/>
            <w:u w:val="single"/>
            <w:vertAlign w:val="superscript"/>
            <w:rtl w:val="0"/>
          </w:rPr>
          <w:t xml:space="preserve">https://iopscience.iop.org/article/10.1086/301407/pdf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superscript"/>
          <w:rtl w:val="0"/>
        </w:rPr>
        <w:t xml:space="preserve">P-L for RR-Lyrae - </w:t>
      </w:r>
      <w:hyperlink r:id="rId1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http://adsabs.harvard.edu/full/1998AstL...24..171F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hyperlink r:id="rId14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https://academic.oup.com/mnrasl/article/440/1/L96/1396776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articles.adsabs.harvard.edu/pdf/1979AJ.....84..993B" TargetMode="External"/><Relationship Id="rId13" Type="http://schemas.openxmlformats.org/officeDocument/2006/relationships/hyperlink" Target="http://adsabs.harvard.edu/full/1998AstL...24..171F" TargetMode="External"/><Relationship Id="rId12" Type="http://schemas.openxmlformats.org/officeDocument/2006/relationships/hyperlink" Target="https://iopscience.iop.org/article/10.1086/301407/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academic.oup.com/mnrasl/article/440/1/L96/1396776" TargetMode="External"/><Relationship Id="rId5" Type="http://schemas.openxmlformats.org/officeDocument/2006/relationships/styles" Target="styles.xml"/><Relationship Id="rId6" Type="http://schemas.openxmlformats.org/officeDocument/2006/relationships/hyperlink" Target="https://iopscience.iop.org/article/10.1086/422916/pdf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