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2F9" w:rsidRDefault="007442F9" w:rsidP="00CF2D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lang w:eastAsia="fr-FR"/>
        </w:rPr>
        <w:t>Barre « prélèvements »</w:t>
      </w:r>
    </w:p>
    <w:p w:rsidR="007442F9" w:rsidRDefault="007442F9" w:rsidP="00CF2D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lang w:eastAsia="fr-FR"/>
        </w:rPr>
      </w:pPr>
    </w:p>
    <w:p w:rsidR="00373441" w:rsidRPr="00373441" w:rsidRDefault="00373441" w:rsidP="00CF2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96969"/>
          <w:sz w:val="20"/>
          <w:szCs w:val="20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lang w:eastAsia="fr-FR"/>
        </w:rPr>
        <w:t>Nous réalisons les prélèvements chez vous ! Nous venons chercher vos échantillons !</w:t>
      </w:r>
      <w:r w:rsidR="00CF2D0C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</w:r>
      <w:r w:rsidR="00CF2D0C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  <w:t>L’équipe de préleveurs du LANAA</w:t>
      </w:r>
      <w:r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 effectue chaque année une multitude de prélèvements dans les domaines de l</w:t>
      </w:r>
      <w:r w:rsidR="00CF2D0C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’Hygiène Alimentaire, de l’Eau</w:t>
      </w:r>
      <w:r w:rsidR="00CF2D0C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. </w:t>
      </w:r>
      <w:r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Elle dispose de matériels spéc</w:t>
      </w:r>
      <w:r w:rsidR="00CF2D0C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ifiques afin de réaliser les prélèvements de manière adéquate</w:t>
      </w:r>
      <w:r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. </w:t>
      </w:r>
    </w:p>
    <w:p w:rsidR="00373441" w:rsidRPr="00373441" w:rsidRDefault="00373441" w:rsidP="00CF2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373441" w:rsidRDefault="00CF2D0C" w:rsidP="00CF2D0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696969"/>
          <w:sz w:val="20"/>
          <w:szCs w:val="20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Le LANAA </w:t>
      </w:r>
      <w:r w:rsidR="00373441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organise aussi des tournées de</w:t>
      </w:r>
      <w:r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 collectes d’échantillons (CIM, plan de surveillance</w:t>
      </w:r>
      <w:r w:rsidR="00373441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)</w:t>
      </w:r>
      <w:r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 et effectue des prélèvements</w:t>
      </w:r>
      <w:r w:rsidR="00373441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prévu dans le cadre de l’autocontrôle </w:t>
      </w:r>
      <w:r w:rsidR="00373441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t xml:space="preserve">sur demande mais vous pouvez également apporter vos échantillons directement au Laboratoire. </w:t>
      </w:r>
      <w:r w:rsidR="00373441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</w:r>
      <w:r w:rsidR="00373441" w:rsidRPr="00373441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</w:r>
      <w:r w:rsidR="00373441" w:rsidRPr="00373441">
        <w:rPr>
          <w:rFonts w:ascii="Arial" w:eastAsia="Times New Roman" w:hAnsi="Arial" w:cs="Arial"/>
          <w:i/>
          <w:iCs/>
          <w:color w:val="696969"/>
          <w:sz w:val="20"/>
          <w:szCs w:val="20"/>
          <w:bdr w:val="none" w:sz="0" w:space="0" w:color="auto" w:frame="1"/>
          <w:lang w:eastAsia="fr-FR"/>
        </w:rPr>
        <w:t>Dans le cas où vous souhaitez prélever vos échantillons, contactez le laboratoire au préalable afin qu'il vous indique le ou les protocole(s) à su</w:t>
      </w:r>
      <w:r w:rsidR="00A23358">
        <w:rPr>
          <w:rFonts w:ascii="Arial" w:eastAsia="Times New Roman" w:hAnsi="Arial" w:cs="Arial"/>
          <w:i/>
          <w:iCs/>
          <w:color w:val="696969"/>
          <w:sz w:val="20"/>
          <w:szCs w:val="20"/>
          <w:bdr w:val="none" w:sz="0" w:space="0" w:color="auto" w:frame="1"/>
          <w:lang w:eastAsia="fr-FR"/>
        </w:rPr>
        <w:t xml:space="preserve">ivre. </w:t>
      </w:r>
    </w:p>
    <w:p w:rsidR="00CF2D0C" w:rsidRDefault="00CF2D0C" w:rsidP="00CF2D0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696969"/>
          <w:sz w:val="20"/>
          <w:szCs w:val="20"/>
          <w:bdr w:val="none" w:sz="0" w:space="0" w:color="auto" w:frame="1"/>
          <w:lang w:eastAsia="fr-FR"/>
        </w:rPr>
      </w:pPr>
    </w:p>
    <w:p w:rsidR="00770577" w:rsidRPr="00770577" w:rsidRDefault="00770577" w:rsidP="00CF2D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</w:pPr>
      <w:r w:rsidRPr="00770577"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  <w:t>Contact : LANAA – Terre pleine de port de pêche</w:t>
      </w:r>
    </w:p>
    <w:p w:rsidR="00770577" w:rsidRPr="00770577" w:rsidRDefault="00770577" w:rsidP="00CF2D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</w:pPr>
      <w:r w:rsidRPr="00770577"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  <w:t>Tel (line1) : 21 35 80 67</w:t>
      </w:r>
    </w:p>
    <w:p w:rsidR="00770577" w:rsidRPr="00770577" w:rsidRDefault="00770577" w:rsidP="00CF2D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</w:pPr>
      <w:r w:rsidRPr="00770577"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  <w:t>Fax : 21 35 80 84</w:t>
      </w:r>
    </w:p>
    <w:p w:rsidR="00770577" w:rsidRDefault="00770577" w:rsidP="00CF2D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color w:val="696969"/>
          <w:sz w:val="20"/>
          <w:szCs w:val="20"/>
          <w:bdr w:val="none" w:sz="0" w:space="0" w:color="auto" w:frame="1"/>
          <w:lang w:eastAsia="fr-FR"/>
        </w:rPr>
      </w:pPr>
      <w:r w:rsidRPr="00770577">
        <w:rPr>
          <w:rFonts w:ascii="Arial" w:eastAsia="Times New Roman" w:hAnsi="Arial" w:cs="Arial"/>
          <w:b/>
          <w:iCs/>
          <w:color w:val="696969"/>
          <w:szCs w:val="20"/>
          <w:bdr w:val="none" w:sz="0" w:space="0" w:color="auto" w:frame="1"/>
          <w:lang w:eastAsia="fr-FR"/>
        </w:rPr>
        <w:t>Site web : www.lanaa.org</w:t>
      </w:r>
    </w:p>
    <w:p w:rsidR="00CF2D0C" w:rsidRPr="00373441" w:rsidRDefault="00CF2D0C" w:rsidP="00CF2D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696969"/>
          <w:sz w:val="20"/>
          <w:szCs w:val="20"/>
          <w:lang w:eastAsia="fr-FR"/>
        </w:rPr>
      </w:pPr>
      <w:r w:rsidRPr="00B80452">
        <w:rPr>
          <w:rFonts w:ascii="Arial" w:eastAsia="Times New Roman" w:hAnsi="Arial" w:cs="Arial"/>
          <w:b/>
          <w:iCs/>
          <w:color w:val="696969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373441" w:rsidRPr="00373441" w:rsidRDefault="00373441" w:rsidP="0037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373441" w:rsidRPr="00373441" w:rsidRDefault="00373441" w:rsidP="0037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17"/>
          <w:szCs w:val="17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lang w:eastAsia="fr-FR"/>
        </w:rPr>
        <w:t>Domaines d'intervention</w:t>
      </w:r>
    </w:p>
    <w:p w:rsidR="00373441" w:rsidRPr="00373441" w:rsidRDefault="00373441" w:rsidP="0037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373441" w:rsidRPr="00373441" w:rsidRDefault="00373441" w:rsidP="0037344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Restaurations collectives (cantines, hôpitaux, lycées, collèges, restaurants…)</w:t>
      </w:r>
      <w:r w:rsidR="00515E5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.</w:t>
      </w:r>
    </w:p>
    <w:p w:rsidR="00373441" w:rsidRPr="00373441" w:rsidRDefault="00373441" w:rsidP="0037344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Etablissements agroalimentaires, artisans (charcuteries, pâtisseries, boulangeries, conserveries, abattoirs…)</w:t>
      </w:r>
      <w:r w:rsidR="00515E5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.</w:t>
      </w:r>
    </w:p>
    <w:p w:rsidR="00373441" w:rsidRPr="00373441" w:rsidRDefault="00373441" w:rsidP="0037344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 xml:space="preserve">Domaine de l'eau (eaux de réseaux, </w:t>
      </w:r>
      <w:r w:rsidR="00B80452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 xml:space="preserve">eaux des citernes, </w:t>
      </w:r>
      <w:r w:rsidRPr="00373441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forages, eaux de puits, piscine, baignades, stations d'épuration,...)</w:t>
      </w:r>
      <w:r w:rsidR="00515E5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.</w:t>
      </w:r>
    </w:p>
    <w:p w:rsidR="00373441" w:rsidRPr="00373441" w:rsidRDefault="00373441" w:rsidP="0037344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Domaine de la santé animale (accouveurs, éleveurs, vétérinaires…)</w:t>
      </w:r>
      <w:r w:rsidR="00515E5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.</w:t>
      </w:r>
    </w:p>
    <w:p w:rsidR="00373441" w:rsidRDefault="00373441" w:rsidP="00373441">
      <w:pPr>
        <w:numPr>
          <w:ilvl w:val="0"/>
          <w:numId w:val="1"/>
        </w:numPr>
        <w:shd w:val="clear" w:color="auto" w:fill="FFFFFF"/>
        <w:spacing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373441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Agronomie : Prélèvements de terre.</w:t>
      </w:r>
    </w:p>
    <w:p w:rsidR="007442F9" w:rsidRDefault="007442F9" w:rsidP="007442F9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</w:p>
    <w:p w:rsidR="007442F9" w:rsidRPr="00373441" w:rsidRDefault="007442F9" w:rsidP="007442F9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</w:p>
    <w:p w:rsidR="007442F9" w:rsidRDefault="007442F9" w:rsidP="007442F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70C0"/>
          <w:szCs w:val="27"/>
          <w:lang w:eastAsia="fr-FR"/>
        </w:rPr>
      </w:pPr>
      <w:r w:rsidRPr="007442F9">
        <w:rPr>
          <w:rFonts w:ascii="Arial" w:eastAsia="Times New Roman" w:hAnsi="Arial" w:cs="Arial"/>
          <w:b/>
          <w:bCs/>
          <w:color w:val="0070C0"/>
          <w:szCs w:val="27"/>
          <w:lang w:eastAsia="fr-FR"/>
        </w:rPr>
        <w:t>« Barre Audits »</w:t>
      </w:r>
    </w:p>
    <w:p w:rsidR="007442F9" w:rsidRPr="007442F9" w:rsidRDefault="007442F9" w:rsidP="007442F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70C0"/>
          <w:szCs w:val="27"/>
          <w:lang w:eastAsia="fr-FR"/>
        </w:rPr>
      </w:pPr>
      <w:r w:rsidRPr="007442F9">
        <w:rPr>
          <w:rFonts w:ascii="Arial" w:eastAsia="Times New Roman" w:hAnsi="Arial" w:cs="Arial"/>
          <w:b/>
          <w:bCs/>
          <w:i/>
          <w:iCs/>
          <w:color w:val="0070C0"/>
          <w:szCs w:val="27"/>
          <w:bdr w:val="none" w:sz="0" w:space="0" w:color="auto" w:frame="1"/>
          <w:lang w:eastAsia="fr-FR"/>
        </w:rPr>
        <w:t>Un recueil de données objectives</w:t>
      </w:r>
    </w:p>
    <w:p w:rsidR="007442F9" w:rsidRPr="007442F9" w:rsidRDefault="007442F9" w:rsidP="007442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96969"/>
          <w:sz w:val="20"/>
          <w:szCs w:val="20"/>
          <w:lang w:eastAsia="fr-FR"/>
        </w:rPr>
      </w:pPr>
      <w:r w:rsidRPr="007442F9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Un technicien qualifié se déplace dans votre entreprise et établit un état des lieux sur :</w:t>
      </w:r>
    </w:p>
    <w:p w:rsidR="007442F9" w:rsidRPr="007442F9" w:rsidRDefault="007442F9" w:rsidP="007442F9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442F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Vos pratiques de fabrication et d’hygiène</w:t>
      </w:r>
    </w:p>
    <w:p w:rsidR="007442F9" w:rsidRPr="007442F9" w:rsidRDefault="007442F9" w:rsidP="007442F9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442F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Votre système documentaire (procédures, enregistrements, HACCP, …)</w:t>
      </w:r>
    </w:p>
    <w:p w:rsidR="007442F9" w:rsidRPr="007442F9" w:rsidRDefault="007442F9" w:rsidP="007442F9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442F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Vos locaux et matériel utilisé</w:t>
      </w:r>
    </w:p>
    <w:p w:rsidR="007442F9" w:rsidRPr="007442F9" w:rsidRDefault="007442F9" w:rsidP="007442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7442F9" w:rsidRPr="007442F9" w:rsidRDefault="007442F9" w:rsidP="007442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96969"/>
          <w:sz w:val="20"/>
          <w:szCs w:val="20"/>
          <w:lang w:eastAsia="fr-FR"/>
        </w:rPr>
      </w:pPr>
      <w:r w:rsidRPr="007442F9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Un rapport d’audit est rédigé mentionnant les points forts et les non-conformités. L’auditeur propose alors ses conseils et vous guide en vue d’être en accord avec la réglementation.</w:t>
      </w:r>
      <w:r w:rsidRPr="007442F9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</w:r>
      <w:r w:rsidRPr="007442F9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</w:r>
      <w:r w:rsidRPr="007442F9">
        <w:rPr>
          <w:rFonts w:ascii="Arial" w:eastAsia="Times New Roman" w:hAnsi="Arial" w:cs="Arial"/>
          <w:b/>
          <w:i/>
          <w:lang w:eastAsia="fr-FR"/>
        </w:rPr>
        <w:t>Selon vos besoins, nous vous prop</w:t>
      </w:r>
      <w:r>
        <w:rPr>
          <w:rFonts w:ascii="Arial" w:eastAsia="Times New Roman" w:hAnsi="Arial" w:cs="Arial"/>
          <w:b/>
          <w:i/>
          <w:lang w:eastAsia="fr-FR"/>
        </w:rPr>
        <w:t>osons différents types d’audits e</w:t>
      </w:r>
      <w:r w:rsidRPr="007442F9">
        <w:rPr>
          <w:rFonts w:ascii="Arial" w:eastAsia="Times New Roman" w:hAnsi="Arial" w:cs="Arial"/>
          <w:b/>
          <w:bCs/>
          <w:i/>
          <w:bdr w:val="none" w:sz="0" w:space="0" w:color="auto" w:frame="1"/>
          <w:shd w:val="clear" w:color="auto" w:fill="FFFFFF"/>
          <w:lang w:eastAsia="fr-FR"/>
        </w:rPr>
        <w:t>ssentiellement à destination de la restauration collective et des industries agroalimentaires :</w:t>
      </w:r>
      <w:r w:rsidRPr="007442F9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7442F9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</w:p>
    <w:p w:rsidR="007442F9" w:rsidRPr="007442F9" w:rsidRDefault="007442F9" w:rsidP="007442F9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442F9">
        <w:rPr>
          <w:rFonts w:ascii="Arial" w:eastAsia="Times New Roman" w:hAnsi="Arial" w:cs="Arial"/>
          <w:b/>
          <w:bCs/>
          <w:color w:val="9ACD11"/>
          <w:sz w:val="20"/>
          <w:szCs w:val="20"/>
          <w:bdr w:val="none" w:sz="0" w:space="0" w:color="auto" w:frame="1"/>
          <w:lang w:eastAsia="fr-FR"/>
        </w:rPr>
        <w:t>Audit d’hygiène :</w:t>
      </w:r>
      <w:r w:rsidRPr="007442F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 Contrôle des locaux, de la documentation et de l’application des bonnes pratiques d’hygiène</w:t>
      </w:r>
    </w:p>
    <w:p w:rsidR="007442F9" w:rsidRPr="007442F9" w:rsidRDefault="007442F9" w:rsidP="007442F9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442F9">
        <w:rPr>
          <w:rFonts w:ascii="Arial" w:eastAsia="Times New Roman" w:hAnsi="Arial" w:cs="Arial"/>
          <w:b/>
          <w:bCs/>
          <w:color w:val="9ACD11"/>
          <w:sz w:val="20"/>
          <w:szCs w:val="20"/>
          <w:bdr w:val="none" w:sz="0" w:space="0" w:color="auto" w:frame="1"/>
          <w:lang w:eastAsia="fr-FR"/>
        </w:rPr>
        <w:t>Audit documentaire :</w:t>
      </w:r>
      <w:r w:rsidRPr="007442F9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 Contrôle des procédures, des enregistrements, de la démarche HACCP ou de tout système qualité.</w:t>
      </w:r>
    </w:p>
    <w:p w:rsidR="007442F9" w:rsidRDefault="007442F9"/>
    <w:p w:rsidR="0076186C" w:rsidRDefault="0076186C"/>
    <w:p w:rsidR="0076186C" w:rsidRDefault="0076186C"/>
    <w:p w:rsidR="0076186C" w:rsidRPr="0076186C" w:rsidRDefault="0076186C" w:rsidP="0076186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  <w:t>Barre « Conseils »: </w:t>
      </w:r>
    </w:p>
    <w:p w:rsidR="0076186C" w:rsidRDefault="0076186C" w:rsidP="0076186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E76E7D"/>
          <w:sz w:val="27"/>
          <w:szCs w:val="27"/>
          <w:lang w:eastAsia="fr-FR"/>
        </w:rPr>
      </w:pPr>
    </w:p>
    <w:p w:rsidR="0076186C" w:rsidRPr="0076186C" w:rsidRDefault="0076186C" w:rsidP="0076186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i/>
          <w:iCs/>
          <w:color w:val="E76E7D"/>
          <w:sz w:val="24"/>
          <w:szCs w:val="27"/>
          <w:bdr w:val="none" w:sz="0" w:space="0" w:color="auto" w:frame="1"/>
          <w:lang w:eastAsia="fr-FR"/>
        </w:rPr>
      </w:pPr>
      <w:r w:rsidRPr="0076186C">
        <w:rPr>
          <w:rFonts w:ascii="Arial" w:eastAsia="Times New Roman" w:hAnsi="Arial" w:cs="Arial"/>
          <w:b/>
          <w:bCs/>
          <w:i/>
          <w:iCs/>
          <w:color w:val="0070C0"/>
          <w:sz w:val="24"/>
          <w:szCs w:val="27"/>
          <w:bdr w:val="none" w:sz="0" w:space="0" w:color="auto" w:frame="1"/>
          <w:lang w:eastAsia="fr-FR"/>
        </w:rPr>
        <w:t>Vers un système qualité</w:t>
      </w:r>
    </w:p>
    <w:p w:rsidR="0076186C" w:rsidRPr="0076186C" w:rsidRDefault="0076186C" w:rsidP="007618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96969"/>
          <w:sz w:val="20"/>
          <w:szCs w:val="20"/>
          <w:lang w:eastAsia="fr-FR"/>
        </w:rPr>
      </w:pPr>
      <w:r w:rsidRPr="0076186C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Notre mission est de vous accompagner dans la mise en place d’un système documentaire et de vous guider dans son application :</w:t>
      </w:r>
    </w:p>
    <w:p w:rsidR="0076186C" w:rsidRPr="0076186C" w:rsidRDefault="0076186C" w:rsidP="0076186C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Mise en place ou accompagnement à la démarche HACCP (Analyse des dangers, maîtrise des points critiques)</w:t>
      </w:r>
    </w:p>
    <w:p w:rsidR="0076186C" w:rsidRPr="0076186C" w:rsidRDefault="0076186C" w:rsidP="0076186C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Mise en place ou accompagnement au Plan de Maîtrise Sanitaire :</w:t>
      </w:r>
    </w:p>
    <w:p w:rsidR="0076186C" w:rsidRPr="0076186C" w:rsidRDefault="0076186C" w:rsidP="0076186C">
      <w:pPr>
        <w:numPr>
          <w:ilvl w:val="0"/>
          <w:numId w:val="5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b/>
          <w:bCs/>
          <w:i/>
          <w:i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i/>
          <w:iCs/>
          <w:color w:val="696969"/>
          <w:sz w:val="18"/>
          <w:szCs w:val="18"/>
          <w:lang w:eastAsia="fr-FR"/>
        </w:rPr>
        <w:t>Bonnes pratiques d’hygiène</w:t>
      </w:r>
    </w:p>
    <w:p w:rsidR="0076186C" w:rsidRPr="0076186C" w:rsidRDefault="0076186C" w:rsidP="0076186C">
      <w:pPr>
        <w:numPr>
          <w:ilvl w:val="0"/>
          <w:numId w:val="5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b/>
          <w:bCs/>
          <w:i/>
          <w:i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i/>
          <w:iCs/>
          <w:color w:val="696969"/>
          <w:sz w:val="18"/>
          <w:szCs w:val="18"/>
          <w:lang w:eastAsia="fr-FR"/>
        </w:rPr>
        <w:t>Démarche HACCP</w:t>
      </w:r>
    </w:p>
    <w:p w:rsidR="0076186C" w:rsidRPr="0076186C" w:rsidRDefault="0076186C" w:rsidP="0076186C">
      <w:pPr>
        <w:numPr>
          <w:ilvl w:val="0"/>
          <w:numId w:val="5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b/>
          <w:bCs/>
          <w:i/>
          <w:i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i/>
          <w:iCs/>
          <w:color w:val="696969"/>
          <w:sz w:val="18"/>
          <w:szCs w:val="18"/>
          <w:lang w:eastAsia="fr-FR"/>
        </w:rPr>
        <w:t>Traçabilité</w:t>
      </w:r>
    </w:p>
    <w:p w:rsidR="0076186C" w:rsidRPr="0076186C" w:rsidRDefault="0076186C" w:rsidP="0076186C">
      <w:pPr>
        <w:numPr>
          <w:ilvl w:val="0"/>
          <w:numId w:val="6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Mise en place ou accompagnement de dossiers d’agréments sanitaires</w:t>
      </w:r>
    </w:p>
    <w:p w:rsidR="0076186C" w:rsidRPr="0076186C" w:rsidRDefault="0076186C" w:rsidP="0076186C">
      <w:pPr>
        <w:numPr>
          <w:ilvl w:val="0"/>
          <w:numId w:val="6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Mise en place ou accompa</w:t>
      </w:r>
      <w:r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gnement de démarches « qualité »</w:t>
      </w:r>
    </w:p>
    <w:p w:rsidR="0076186C" w:rsidRPr="0076186C" w:rsidRDefault="0076186C" w:rsidP="0076186C">
      <w:pPr>
        <w:numPr>
          <w:ilvl w:val="0"/>
          <w:numId w:val="6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Validation de plans d'agencement de locaux alimentaires</w:t>
      </w:r>
    </w:p>
    <w:p w:rsidR="0076186C" w:rsidRDefault="0076186C" w:rsidP="00761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76186C" w:rsidRPr="0076186C" w:rsidRDefault="0076186C" w:rsidP="00761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76186C" w:rsidRPr="0076186C" w:rsidRDefault="0076186C" w:rsidP="007618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696969"/>
          <w:sz w:val="20"/>
          <w:szCs w:val="20"/>
          <w:lang w:eastAsia="fr-FR"/>
        </w:rPr>
      </w:pPr>
      <w:r w:rsidRPr="0076186C">
        <w:rPr>
          <w:rFonts w:ascii="Arial" w:eastAsia="Times New Roman" w:hAnsi="Arial" w:cs="Arial"/>
          <w:i/>
          <w:color w:val="696969"/>
          <w:sz w:val="20"/>
          <w:szCs w:val="20"/>
          <w:lang w:eastAsia="fr-FR"/>
        </w:rPr>
        <w:t>Essentiellement à destination de la restauration collective :</w:t>
      </w:r>
    </w:p>
    <w:p w:rsidR="0076186C" w:rsidRPr="0076186C" w:rsidRDefault="0076186C" w:rsidP="0076186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Elaboration de plans alimentaires</w:t>
      </w:r>
    </w:p>
    <w:p w:rsidR="0076186C" w:rsidRPr="0076186C" w:rsidRDefault="0076186C" w:rsidP="0076186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Validation de l'équilibre alimentaire des menus</w:t>
      </w:r>
    </w:p>
    <w:p w:rsidR="0076186C" w:rsidRPr="0076186C" w:rsidRDefault="0076186C" w:rsidP="00761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</w:p>
    <w:p w:rsidR="0076186C" w:rsidRPr="0076186C" w:rsidRDefault="0076186C" w:rsidP="007618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96969"/>
          <w:sz w:val="20"/>
          <w:szCs w:val="20"/>
          <w:lang w:eastAsia="fr-FR"/>
        </w:rPr>
      </w:pPr>
      <w:r w:rsidRPr="0076186C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Le service reste à disposition pour effectuer le suivi des systèmes documentaires. Cette proximité est aussi la garantie d’échanges constructifs au service de la santé de la population.</w:t>
      </w:r>
    </w:p>
    <w:p w:rsidR="0076186C" w:rsidRDefault="0076186C"/>
    <w:p w:rsidR="0076186C" w:rsidRPr="0076186C" w:rsidRDefault="0076186C" w:rsidP="0076186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70C0"/>
          <w:sz w:val="24"/>
          <w:szCs w:val="27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0070C0"/>
          <w:sz w:val="24"/>
          <w:szCs w:val="27"/>
          <w:lang w:eastAsia="fr-FR"/>
        </w:rPr>
        <w:t>Barre « Formations » : </w:t>
      </w:r>
    </w:p>
    <w:p w:rsidR="0076186C" w:rsidRPr="0076186C" w:rsidRDefault="0076186C" w:rsidP="0076186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E76E7D"/>
          <w:sz w:val="27"/>
          <w:szCs w:val="27"/>
          <w:lang w:eastAsia="fr-FR"/>
        </w:rPr>
      </w:pPr>
      <w:r w:rsidRPr="0076186C">
        <w:rPr>
          <w:rFonts w:ascii="Arial" w:eastAsia="Times New Roman" w:hAnsi="Arial" w:cs="Arial"/>
          <w:b/>
          <w:bCs/>
          <w:i/>
          <w:iCs/>
          <w:color w:val="0070C0"/>
          <w:sz w:val="24"/>
          <w:szCs w:val="27"/>
          <w:bdr w:val="none" w:sz="0" w:space="0" w:color="auto" w:frame="1"/>
          <w:lang w:eastAsia="fr-FR"/>
        </w:rPr>
        <w:t>Des interactions constructives</w:t>
      </w:r>
    </w:p>
    <w:p w:rsidR="0076186C" w:rsidRPr="0076186C" w:rsidRDefault="0076186C" w:rsidP="0076186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696969"/>
          <w:sz w:val="20"/>
          <w:szCs w:val="20"/>
          <w:lang w:eastAsia="fr-FR"/>
        </w:rPr>
      </w:pPr>
      <w:r w:rsidRPr="0076186C">
        <w:rPr>
          <w:rFonts w:ascii="Arial" w:eastAsia="Times New Roman" w:hAnsi="Arial" w:cs="Arial"/>
          <w:color w:val="696969"/>
          <w:sz w:val="20"/>
          <w:szCs w:val="20"/>
          <w:lang w:eastAsia="fr-FR"/>
        </w:rPr>
        <w:t>Afin d’acquérir des notions théoriques et pratiques essentielles et indispensables pour tout professionnel concerné, nous vous proposons différentes formations en entreprise ou dans nos locaux.</w:t>
      </w:r>
      <w:r w:rsidRPr="0076186C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</w:r>
      <w:r w:rsidRPr="0076186C">
        <w:rPr>
          <w:rFonts w:ascii="Arial" w:eastAsia="Times New Roman" w:hAnsi="Arial" w:cs="Arial"/>
          <w:color w:val="696969"/>
          <w:sz w:val="20"/>
          <w:szCs w:val="20"/>
          <w:lang w:eastAsia="fr-FR"/>
        </w:rPr>
        <w:br/>
        <w:t>Ces formations permettront de vous sensibiliser à différentes questions :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La réglementation dite « Paquet Hygiène »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 monde microbien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L’hygiène du personnel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 nettoyage et la désinfection du matériel et des locaux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La démarche HACCP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 plan de maîtrise sanitaire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Les toxi-infections alimentaires collectives (TIAC)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Les autocontrôles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Les critères bactériologiques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Le Guide des Bonnes Pratiques et d’Application aux Principes de l’HACCP</w:t>
      </w:r>
    </w:p>
    <w:p w:rsidR="0076186C" w:rsidRPr="0076186C" w:rsidRDefault="0076186C" w:rsidP="0076186C">
      <w:pPr>
        <w:numPr>
          <w:ilvl w:val="0"/>
          <w:numId w:val="8"/>
        </w:numPr>
        <w:shd w:val="clear" w:color="auto" w:fill="FFFFFF"/>
        <w:spacing w:after="0" w:line="270" w:lineRule="atLeast"/>
        <w:ind w:left="0"/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</w:pPr>
      <w:r w:rsidRPr="0076186C">
        <w:rPr>
          <w:rFonts w:ascii="Arial" w:eastAsia="Times New Roman" w:hAnsi="Arial" w:cs="Arial"/>
          <w:b/>
          <w:bCs/>
          <w:color w:val="696969"/>
          <w:sz w:val="18"/>
          <w:szCs w:val="18"/>
          <w:lang w:eastAsia="fr-FR"/>
        </w:rPr>
        <w:t>L'équilibre alimentaire et nutrition</w:t>
      </w:r>
    </w:p>
    <w:p w:rsidR="00206962" w:rsidRDefault="00206962"/>
    <w:p w:rsidR="00206962" w:rsidRDefault="00206962" w:rsidP="00206962"/>
    <w:p w:rsidR="009C50FF" w:rsidRDefault="009C50FF" w:rsidP="00206962">
      <w:pPr>
        <w:rPr>
          <w:rStyle w:val="titreactualites"/>
          <w:rFonts w:ascii="Arial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itreactualites"/>
          <w:rFonts w:ascii="Arial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shd w:val="clear" w:color="auto" w:fill="FFFFFF"/>
        </w:rPr>
        <w:t>Barre « Emploi » </w:t>
      </w:r>
    </w:p>
    <w:p w:rsidR="00206962" w:rsidRDefault="00206962" w:rsidP="00206962">
      <w:pPr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 w:rsidRPr="00206962">
        <w:rPr>
          <w:rStyle w:val="titreactualites"/>
          <w:rFonts w:ascii="Arial" w:hAnsi="Arial" w:cs="Arial"/>
          <w:b/>
          <w:bCs/>
          <w:color w:val="2E74B5" w:themeColor="accent1" w:themeShade="BF"/>
          <w:sz w:val="21"/>
          <w:szCs w:val="21"/>
          <w:bdr w:val="none" w:sz="0" w:space="0" w:color="auto" w:frame="1"/>
          <w:shd w:val="clear" w:color="auto" w:fill="FFFFFF"/>
        </w:rPr>
        <w:t>Candidatures</w:t>
      </w:r>
      <w:r>
        <w:rPr>
          <w:rFonts w:ascii="Arial" w:hAnsi="Arial" w:cs="Arial"/>
          <w:color w:val="696969"/>
          <w:sz w:val="20"/>
          <w:szCs w:val="20"/>
        </w:rPr>
        <w:br/>
      </w:r>
      <w:r>
        <w:rPr>
          <w:rFonts w:ascii="Arial" w:hAnsi="Arial" w:cs="Arial"/>
          <w:color w:val="696969"/>
          <w:sz w:val="20"/>
          <w:szCs w:val="20"/>
        </w:rPr>
        <w:br/>
      </w: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Vous pouvez adresser vos candidatures à l’attention du Directeur du laboratoire national d’analyses alimentaires en précisant le secteur que vous souhaitez découvrir. Les candidatures motivées et curriculum vitae (n’oubliez pas vos coordonnées + courriel) peuvent être envoyées par courriel aux adresses suivantes (une réponse systématique vous sera adressée éventuellement par courriel) :</w:t>
      </w:r>
    </w:p>
    <w:p w:rsidR="00206962" w:rsidRDefault="00206962" w:rsidP="00206962">
      <w:pPr>
        <w:pStyle w:val="Paragraphedeliste"/>
        <w:numPr>
          <w:ilvl w:val="1"/>
          <w:numId w:val="8"/>
        </w:numPr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Hassan </w:t>
      </w:r>
      <w:proofErr w:type="spellStart"/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Kamil</w:t>
      </w:r>
      <w:proofErr w:type="spellEnd"/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 Ali, Directeur du Laboratoire</w:t>
      </w:r>
      <w:r w:rsidR="009C50FF">
        <w:rPr>
          <w:rFonts w:ascii="Arial" w:hAnsi="Arial" w:cs="Arial"/>
          <w:color w:val="696969"/>
          <w:sz w:val="20"/>
          <w:szCs w:val="20"/>
          <w:shd w:val="clear" w:color="auto" w:fill="FFFFFF"/>
        </w:rPr>
        <w:t> </w:t>
      </w:r>
    </w:p>
    <w:p w:rsidR="009C50FF" w:rsidRDefault="009C50FF" w:rsidP="009C50FF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Tél : 21 35 80 67</w:t>
      </w:r>
    </w:p>
    <w:p w:rsidR="0084600E" w:rsidRDefault="009C50FF" w:rsidP="0084600E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Mail : </w:t>
      </w:r>
      <w:hyperlink r:id="rId5" w:history="1">
        <w:r w:rsidR="0084600E" w:rsidRPr="006747B4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hassankamil@lanaa.org</w:t>
        </w:r>
      </w:hyperlink>
    </w:p>
    <w:p w:rsidR="0084600E" w:rsidRPr="0084600E" w:rsidRDefault="0084600E" w:rsidP="0084600E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</w:p>
    <w:p w:rsidR="009C50FF" w:rsidRDefault="009C50FF" w:rsidP="009C50FF">
      <w:pPr>
        <w:pStyle w:val="Paragraphedeliste"/>
        <w:numPr>
          <w:ilvl w:val="1"/>
          <w:numId w:val="8"/>
        </w:numPr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Ibrahim </w:t>
      </w:r>
      <w:proofErr w:type="spellStart"/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Abdoulkader</w:t>
      </w:r>
      <w:proofErr w:type="spellEnd"/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Kamil</w:t>
      </w:r>
      <w:proofErr w:type="spellEnd"/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, Chef de services administratifs</w:t>
      </w:r>
    </w:p>
    <w:p w:rsidR="009C50FF" w:rsidRDefault="009C50FF" w:rsidP="009C50FF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Tél : 21 35 80 67 </w:t>
      </w:r>
    </w:p>
    <w:p w:rsidR="009C50FF" w:rsidRDefault="009C50FF" w:rsidP="009C50FF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>Portable : 77 65 36 68</w:t>
      </w:r>
    </w:p>
    <w:p w:rsidR="009C50FF" w:rsidRDefault="009C50FF" w:rsidP="009C50FF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96969"/>
          <w:sz w:val="20"/>
          <w:szCs w:val="20"/>
          <w:shd w:val="clear" w:color="auto" w:fill="FFFFFF"/>
        </w:rPr>
        <w:t xml:space="preserve">Mail : </w:t>
      </w:r>
      <w:hyperlink r:id="rId6" w:history="1">
        <w:r w:rsidR="0084600E" w:rsidRPr="006747B4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ibrahimak@lanaa.org</w:t>
        </w:r>
      </w:hyperlink>
    </w:p>
    <w:p w:rsidR="0084600E" w:rsidRPr="009C50FF" w:rsidRDefault="0084600E" w:rsidP="009C50FF">
      <w:pPr>
        <w:pStyle w:val="Paragraphedeliste"/>
        <w:ind w:left="1440"/>
        <w:rPr>
          <w:rFonts w:ascii="Arial" w:hAnsi="Arial" w:cs="Arial"/>
          <w:color w:val="696969"/>
          <w:sz w:val="20"/>
          <w:szCs w:val="20"/>
          <w:shd w:val="clear" w:color="auto" w:fill="FFFFFF"/>
        </w:rPr>
      </w:pPr>
    </w:p>
    <w:sectPr w:rsidR="0084600E" w:rsidRPr="009C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06E"/>
    <w:multiLevelType w:val="multilevel"/>
    <w:tmpl w:val="80D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7702"/>
    <w:multiLevelType w:val="multilevel"/>
    <w:tmpl w:val="A102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D2B8A"/>
    <w:multiLevelType w:val="multilevel"/>
    <w:tmpl w:val="EF6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6352C"/>
    <w:multiLevelType w:val="multilevel"/>
    <w:tmpl w:val="382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96EAF"/>
    <w:multiLevelType w:val="multilevel"/>
    <w:tmpl w:val="FEA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A26E5"/>
    <w:multiLevelType w:val="multilevel"/>
    <w:tmpl w:val="9E3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424EA"/>
    <w:multiLevelType w:val="multilevel"/>
    <w:tmpl w:val="414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5447B"/>
    <w:multiLevelType w:val="multilevel"/>
    <w:tmpl w:val="D24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508AB"/>
    <w:multiLevelType w:val="hybridMultilevel"/>
    <w:tmpl w:val="95B6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41"/>
    <w:rsid w:val="00206962"/>
    <w:rsid w:val="00373441"/>
    <w:rsid w:val="00515E59"/>
    <w:rsid w:val="007442F9"/>
    <w:rsid w:val="0076186C"/>
    <w:rsid w:val="00770577"/>
    <w:rsid w:val="0084600E"/>
    <w:rsid w:val="00876F98"/>
    <w:rsid w:val="009C50FF"/>
    <w:rsid w:val="00A23358"/>
    <w:rsid w:val="00B80452"/>
    <w:rsid w:val="00C878F3"/>
    <w:rsid w:val="00CF2D0C"/>
    <w:rsid w:val="00D342DF"/>
    <w:rsid w:val="00E1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08BBF-D350-4485-911D-5FDADFFD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442F9"/>
  </w:style>
  <w:style w:type="paragraph" w:customStyle="1" w:styleId="contenutxt">
    <w:name w:val="contenu_txt"/>
    <w:basedOn w:val="Normal"/>
    <w:rsid w:val="0074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actualites">
    <w:name w:val="titre_actualites"/>
    <w:basedOn w:val="Policepardfaut"/>
    <w:rsid w:val="00206962"/>
  </w:style>
  <w:style w:type="paragraph" w:styleId="Paragraphedeliste">
    <w:name w:val="List Paragraph"/>
    <w:basedOn w:val="Normal"/>
    <w:uiPriority w:val="34"/>
    <w:qFormat/>
    <w:rsid w:val="002069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C5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666666"/>
            <w:right w:val="none" w:sz="0" w:space="0" w:color="auto"/>
          </w:divBdr>
        </w:div>
        <w:div w:id="3126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666666"/>
            <w:right w:val="none" w:sz="0" w:space="0" w:color="auto"/>
          </w:divBdr>
        </w:div>
        <w:div w:id="474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666666"/>
            <w:right w:val="none" w:sz="0" w:space="0" w:color="auto"/>
          </w:divBdr>
        </w:div>
        <w:div w:id="1615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8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brahimak@lanaa.org" TargetMode="External" /><Relationship Id="rId5" Type="http://schemas.openxmlformats.org/officeDocument/2006/relationships/hyperlink" Target="mailto:hassankamil@lanaa.or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Liban Khadar Abdi</dc:creator>
  <cp:keywords/>
  <dc:description/>
  <cp:lastModifiedBy>Utilisateur invité</cp:lastModifiedBy>
  <cp:revision>2</cp:revision>
  <dcterms:created xsi:type="dcterms:W3CDTF">2021-09-21T13:00:00Z</dcterms:created>
  <dcterms:modified xsi:type="dcterms:W3CDTF">2021-09-21T13:00:00Z</dcterms:modified>
</cp:coreProperties>
</file>