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48A62" w14:textId="0E54BC0D" w:rsidR="001D4DC7" w:rsidRDefault="005E5F30">
      <w:pPr>
        <w:jc w:val="center"/>
      </w:pPr>
      <w:r>
        <w:rPr>
          <w:b/>
          <w:sz w:val="32"/>
        </w:rPr>
        <w:t>Supplementary Materials</w:t>
      </w:r>
    </w:p>
    <w:p w14:paraId="1D2D7E90" w14:textId="77777777" w:rsidR="001D4DC7" w:rsidRDefault="005E5F30">
      <w:pPr>
        <w:jc w:val="center"/>
      </w:pPr>
      <w:r>
        <w:rPr>
          <w:b/>
          <w:sz w:val="24"/>
        </w:rPr>
        <w:t>EMI Platform: Reproducibility, Experimental Data, and Validation Materials</w:t>
      </w:r>
    </w:p>
    <w:p w14:paraId="755D0D30" w14:textId="77777777" w:rsidR="001D4DC7" w:rsidRDefault="005E5F30">
      <w:pPr>
        <w:jc w:val="center"/>
      </w:pPr>
      <w:r>
        <w:rPr>
          <w:i/>
        </w:rPr>
        <w:t>Supporting material for the associated manuscript</w:t>
      </w:r>
    </w:p>
    <w:p w14:paraId="0DCFD118" w14:textId="77777777" w:rsidR="001D4DC7" w:rsidRDefault="005E5F30">
      <w:pPr>
        <w:pStyle w:val="Heading1"/>
      </w:pPr>
      <w:r>
        <w:t>S1. Purpose and scope</w:t>
      </w:r>
    </w:p>
    <w:p w14:paraId="7895337F" w14:textId="77777777" w:rsidR="001D4DC7" w:rsidRDefault="005E5F30">
      <w:r>
        <w:t xml:space="preserve">These </w:t>
      </w:r>
      <w:r>
        <w:t>Supplementary Materials provide reproducibility information and supporting analytical records associated with the experimental evaluation of the EMI Platform. They complement the manuscript without duplicating its architectural description or extending its scientific claims.</w:t>
      </w:r>
    </w:p>
    <w:p w14:paraId="0EE58EAB" w14:textId="77777777" w:rsidR="001D4DC7" w:rsidRDefault="005E5F30">
      <w:r>
        <w:t>The EMI Platform is the primary subject of the study. The smart pyranometer is the application-specific experimental instantiation used to evaluate the platform.</w:t>
      </w:r>
    </w:p>
    <w:p w14:paraId="179EEF98" w14:textId="77777777" w:rsidR="001D4DC7" w:rsidRDefault="005E5F30">
      <w:pPr>
        <w:pStyle w:val="Heading1"/>
      </w:pPr>
      <w:r>
        <w:t>S2. Reproducibility repository</w:t>
      </w:r>
    </w:p>
    <w:p w14:paraId="475A59E8" w14:textId="77777777" w:rsidR="001D4DC7" w:rsidRDefault="005E5F30">
      <w:r>
        <w:t>The complete reproducibility repository is maintained in the GitHub repository popase/EMI_Platform. It contains the analysis pipeline, firmware, experimental series, frozen calibration and validation datasets, and supporting documentation.</w:t>
      </w:r>
    </w:p>
    <w:p w14:paraId="70380241" w14:textId="77777777" w:rsidR="001D4DC7" w:rsidRDefault="005E5F30">
      <w:pPr>
        <w:pStyle w:val="ListBullet"/>
      </w:pPr>
      <w:r>
        <w:t>analysis/ — reproducible data-processing and diagnostic pipeline.</w:t>
      </w:r>
    </w:p>
    <w:p w14:paraId="2FBB63D0" w14:textId="77777777" w:rsidR="001D4DC7" w:rsidRDefault="005E5F30">
      <w:pPr>
        <w:pStyle w:val="ListBullet"/>
      </w:pPr>
      <w:r>
        <w:t>firmware/ — experimental EMI Node firmware.</w:t>
      </w:r>
    </w:p>
    <w:p w14:paraId="42F0E121" w14:textId="77777777" w:rsidR="001D4DC7" w:rsidRDefault="005E5F30">
      <w:pPr>
        <w:pStyle w:val="ListBullet"/>
      </w:pPr>
      <w:r>
        <w:t>gateway/ — gateway/FSM software.</w:t>
      </w:r>
    </w:p>
    <w:p w14:paraId="2DF97C2A" w14:textId="77777777" w:rsidR="001D4DC7" w:rsidRDefault="005E5F30">
      <w:pPr>
        <w:pStyle w:val="ListBullet"/>
      </w:pPr>
      <w:r>
        <w:t>series/ — the 13 final experimental measurement series.</w:t>
      </w:r>
    </w:p>
    <w:p w14:paraId="571D348B" w14:textId="77777777" w:rsidR="001D4DC7" w:rsidRDefault="005E5F30">
      <w:pPr>
        <w:pStyle w:val="ListBullet"/>
      </w:pPr>
      <w:r>
        <w:t>analysis/EMI_Dataset/data/calibration_dataset.csv — frozen calibration dataset (N = 1044).</w:t>
      </w:r>
    </w:p>
    <w:p w14:paraId="167597CF" w14:textId="77777777" w:rsidR="001D4DC7" w:rsidRDefault="005E5F30">
      <w:pPr>
        <w:pStyle w:val="ListBullet"/>
      </w:pPr>
      <w:r>
        <w:t>analysis/EMI_Dataset/data/validation_dataset.csv — frozen independent validation dataset (N = 583).</w:t>
      </w:r>
    </w:p>
    <w:p w14:paraId="384D9579" w14:textId="77777777" w:rsidR="001D4DC7" w:rsidRDefault="005E5F30">
      <w:pPr>
        <w:pStyle w:val="Heading1"/>
      </w:pPr>
      <w:r>
        <w:t>S3. Experimental data provenance</w:t>
      </w:r>
    </w:p>
    <w:p w14:paraId="136C226B" w14:textId="77777777" w:rsidR="001D4DC7" w:rsidRDefault="005E5F30">
      <w:r>
        <w:t>Raw JPEG / OCR acquisition → spm72_readings_raw.csv → manual/visual OCR correction → spm72_readings.csv → synchronization with emi_measurements.csv → synchronized_measurements.csv → derived analysis dataset.</w:t>
      </w:r>
    </w:p>
    <w:p w14:paraId="36712615" w14:textId="77777777" w:rsidR="001D4DC7" w:rsidRDefault="005E5F30">
      <w:r>
        <w:t>The original OCR output is preserved separately from corrected OCR values. The synchronized analytical data use the corrected OCR readings. Source measurement files are not modified by the analysis pipeline.</w:t>
      </w:r>
    </w:p>
    <w:p w14:paraId="2DCECAD9" w14:textId="77777777" w:rsidR="001D4DC7" w:rsidRDefault="005E5F30">
      <w:pPr>
        <w:pStyle w:val="Heading1"/>
      </w:pPr>
      <w:r>
        <w:t>S4. Experimental series and analytical allocation</w:t>
      </w:r>
    </w:p>
    <w:p w14:paraId="7148AACA" w14:textId="77777777" w:rsidR="001D4DC7" w:rsidRDefault="005E5F30">
      <w:r>
        <w:t>Seven valid analytical sessions from 20–22 August 2026 were assigned to calibration. Five valid sessions or temporal segments from 24 August 2026 were reserved for independent validation. Other series were excluded from quantitative model evaluation according to the predefined validity decisions.</w:t>
      </w:r>
    </w:p>
    <w:tbl>
      <w:tblPr>
        <w:tblStyle w:val="TableGrid"/>
        <w:tblW w:w="0" w:type="auto"/>
        <w:jc w:val="center"/>
        <w:tblLook w:val="04A0" w:firstRow="1" w:lastRow="0" w:firstColumn="1" w:lastColumn="0" w:noHBand="0" w:noVBand="1"/>
      </w:tblPr>
      <w:tblGrid>
        <w:gridCol w:w="3264"/>
        <w:gridCol w:w="3264"/>
        <w:gridCol w:w="3264"/>
      </w:tblGrid>
      <w:tr w:rsidR="001D4DC7" w14:paraId="3AD5FB28" w14:textId="77777777">
        <w:trPr>
          <w:jc w:val="center"/>
        </w:trPr>
        <w:tc>
          <w:tcPr>
            <w:tcW w:w="3264" w:type="dxa"/>
          </w:tcPr>
          <w:p w14:paraId="0BCCFDEC" w14:textId="77777777" w:rsidR="001D4DC7" w:rsidRDefault="005E5F30">
            <w:r>
              <w:rPr>
                <w:b/>
              </w:rPr>
              <w:t>Unit</w:t>
            </w:r>
          </w:p>
        </w:tc>
        <w:tc>
          <w:tcPr>
            <w:tcW w:w="3264" w:type="dxa"/>
          </w:tcPr>
          <w:p w14:paraId="523607FF" w14:textId="77777777" w:rsidR="001D4DC7" w:rsidRDefault="005E5F30">
            <w:r>
              <w:rPr>
                <w:b/>
              </w:rPr>
              <w:t>Role</w:t>
            </w:r>
          </w:p>
        </w:tc>
        <w:tc>
          <w:tcPr>
            <w:tcW w:w="3264" w:type="dxa"/>
          </w:tcPr>
          <w:p w14:paraId="7DDDA37D" w14:textId="77777777" w:rsidR="001D4DC7" w:rsidRDefault="005E5F30">
            <w:r>
              <w:rPr>
                <w:b/>
              </w:rPr>
              <w:t>Status</w:t>
            </w:r>
          </w:p>
        </w:tc>
      </w:tr>
      <w:tr w:rsidR="001D4DC7" w14:paraId="0EA8C425" w14:textId="77777777">
        <w:trPr>
          <w:jc w:val="center"/>
        </w:trPr>
        <w:tc>
          <w:tcPr>
            <w:tcW w:w="3264" w:type="dxa"/>
            <w:vAlign w:val="center"/>
          </w:tcPr>
          <w:p w14:paraId="3E10F40A" w14:textId="77777777" w:rsidR="001D4DC7" w:rsidRDefault="005E5F30">
            <w:r>
              <w:t>S01</w:t>
            </w:r>
          </w:p>
        </w:tc>
        <w:tc>
          <w:tcPr>
            <w:tcW w:w="3264" w:type="dxa"/>
            <w:vAlign w:val="center"/>
          </w:tcPr>
          <w:p w14:paraId="2B6EFA8D" w14:textId="77777777" w:rsidR="001D4DC7" w:rsidRDefault="005E5F30">
            <w:r>
              <w:t>Calibration</w:t>
            </w:r>
          </w:p>
        </w:tc>
        <w:tc>
          <w:tcPr>
            <w:tcW w:w="3264" w:type="dxa"/>
            <w:vAlign w:val="center"/>
          </w:tcPr>
          <w:p w14:paraId="5B8EC1AC" w14:textId="77777777" w:rsidR="001D4DC7" w:rsidRDefault="005E5F30">
            <w:r>
              <w:t>VALID</w:t>
            </w:r>
          </w:p>
        </w:tc>
      </w:tr>
      <w:tr w:rsidR="001D4DC7" w14:paraId="734FD31C" w14:textId="77777777">
        <w:trPr>
          <w:jc w:val="center"/>
        </w:trPr>
        <w:tc>
          <w:tcPr>
            <w:tcW w:w="3264" w:type="dxa"/>
            <w:vAlign w:val="center"/>
          </w:tcPr>
          <w:p w14:paraId="7B797F0D" w14:textId="77777777" w:rsidR="001D4DC7" w:rsidRDefault="005E5F30">
            <w:r>
              <w:t>S02</w:t>
            </w:r>
          </w:p>
        </w:tc>
        <w:tc>
          <w:tcPr>
            <w:tcW w:w="3264" w:type="dxa"/>
            <w:vAlign w:val="center"/>
          </w:tcPr>
          <w:p w14:paraId="7F0C1E17" w14:textId="77777777" w:rsidR="001D4DC7" w:rsidRDefault="005E5F30">
            <w:r>
              <w:t>Calibration</w:t>
            </w:r>
          </w:p>
        </w:tc>
        <w:tc>
          <w:tcPr>
            <w:tcW w:w="3264" w:type="dxa"/>
            <w:vAlign w:val="center"/>
          </w:tcPr>
          <w:p w14:paraId="0EEB48AD" w14:textId="77777777" w:rsidR="001D4DC7" w:rsidRDefault="005E5F30">
            <w:r>
              <w:t>VALID – dynamic</w:t>
            </w:r>
          </w:p>
        </w:tc>
      </w:tr>
      <w:tr w:rsidR="001D4DC7" w14:paraId="70F63860" w14:textId="77777777">
        <w:trPr>
          <w:jc w:val="center"/>
        </w:trPr>
        <w:tc>
          <w:tcPr>
            <w:tcW w:w="3264" w:type="dxa"/>
            <w:vAlign w:val="center"/>
          </w:tcPr>
          <w:p w14:paraId="5862D733" w14:textId="77777777" w:rsidR="001D4DC7" w:rsidRDefault="005E5F30">
            <w:r>
              <w:t>S03</w:t>
            </w:r>
          </w:p>
        </w:tc>
        <w:tc>
          <w:tcPr>
            <w:tcW w:w="3264" w:type="dxa"/>
            <w:vAlign w:val="center"/>
          </w:tcPr>
          <w:p w14:paraId="62E6AD72" w14:textId="77777777" w:rsidR="001D4DC7" w:rsidRDefault="005E5F30">
            <w:r>
              <w:t>Calibration</w:t>
            </w:r>
          </w:p>
        </w:tc>
        <w:tc>
          <w:tcPr>
            <w:tcW w:w="3264" w:type="dxa"/>
            <w:vAlign w:val="center"/>
          </w:tcPr>
          <w:p w14:paraId="4698DA29" w14:textId="77777777" w:rsidR="001D4DC7" w:rsidRDefault="005E5F30">
            <w:r>
              <w:t>VALID</w:t>
            </w:r>
          </w:p>
        </w:tc>
      </w:tr>
      <w:tr w:rsidR="001D4DC7" w14:paraId="20838BD2" w14:textId="77777777">
        <w:trPr>
          <w:jc w:val="center"/>
        </w:trPr>
        <w:tc>
          <w:tcPr>
            <w:tcW w:w="3264" w:type="dxa"/>
            <w:vAlign w:val="center"/>
          </w:tcPr>
          <w:p w14:paraId="30DDA0C7" w14:textId="77777777" w:rsidR="001D4DC7" w:rsidRDefault="005E5F30">
            <w:r>
              <w:t>S04</w:t>
            </w:r>
          </w:p>
        </w:tc>
        <w:tc>
          <w:tcPr>
            <w:tcW w:w="3264" w:type="dxa"/>
            <w:vAlign w:val="center"/>
          </w:tcPr>
          <w:p w14:paraId="416DCD55" w14:textId="77777777" w:rsidR="001D4DC7" w:rsidRDefault="005E5F30">
            <w:r>
              <w:t>Calibration</w:t>
            </w:r>
          </w:p>
        </w:tc>
        <w:tc>
          <w:tcPr>
            <w:tcW w:w="3264" w:type="dxa"/>
            <w:vAlign w:val="center"/>
          </w:tcPr>
          <w:p w14:paraId="2C6B03F5" w14:textId="77777777" w:rsidR="001D4DC7" w:rsidRDefault="005E5F30">
            <w:r>
              <w:t>VALID</w:t>
            </w:r>
          </w:p>
        </w:tc>
      </w:tr>
      <w:tr w:rsidR="001D4DC7" w14:paraId="1C6079E9" w14:textId="77777777">
        <w:trPr>
          <w:jc w:val="center"/>
        </w:trPr>
        <w:tc>
          <w:tcPr>
            <w:tcW w:w="3264" w:type="dxa"/>
            <w:vAlign w:val="center"/>
          </w:tcPr>
          <w:p w14:paraId="7197CB81" w14:textId="77777777" w:rsidR="001D4DC7" w:rsidRDefault="005E5F30">
            <w:r>
              <w:t>S05</w:t>
            </w:r>
          </w:p>
        </w:tc>
        <w:tc>
          <w:tcPr>
            <w:tcW w:w="3264" w:type="dxa"/>
            <w:vAlign w:val="center"/>
          </w:tcPr>
          <w:p w14:paraId="67671A5C" w14:textId="77777777" w:rsidR="001D4DC7" w:rsidRDefault="005E5F30">
            <w:r>
              <w:t>Calibration</w:t>
            </w:r>
          </w:p>
        </w:tc>
        <w:tc>
          <w:tcPr>
            <w:tcW w:w="3264" w:type="dxa"/>
            <w:vAlign w:val="center"/>
          </w:tcPr>
          <w:p w14:paraId="796B170E" w14:textId="77777777" w:rsidR="001D4DC7" w:rsidRDefault="005E5F30">
            <w:r>
              <w:t>VALID</w:t>
            </w:r>
          </w:p>
        </w:tc>
      </w:tr>
      <w:tr w:rsidR="001D4DC7" w14:paraId="2FD4BE32" w14:textId="77777777">
        <w:trPr>
          <w:jc w:val="center"/>
        </w:trPr>
        <w:tc>
          <w:tcPr>
            <w:tcW w:w="3264" w:type="dxa"/>
            <w:vAlign w:val="center"/>
          </w:tcPr>
          <w:p w14:paraId="3C31A301" w14:textId="77777777" w:rsidR="001D4DC7" w:rsidRDefault="005E5F30">
            <w:r>
              <w:t>S06</w:t>
            </w:r>
          </w:p>
        </w:tc>
        <w:tc>
          <w:tcPr>
            <w:tcW w:w="3264" w:type="dxa"/>
            <w:vAlign w:val="center"/>
          </w:tcPr>
          <w:p w14:paraId="57474284" w14:textId="77777777" w:rsidR="001D4DC7" w:rsidRDefault="005E5F30">
            <w:r>
              <w:t>Calibration</w:t>
            </w:r>
          </w:p>
        </w:tc>
        <w:tc>
          <w:tcPr>
            <w:tcW w:w="3264" w:type="dxa"/>
            <w:vAlign w:val="center"/>
          </w:tcPr>
          <w:p w14:paraId="63CFA408" w14:textId="77777777" w:rsidR="001D4DC7" w:rsidRDefault="005E5F30">
            <w:r>
              <w:t>VALID</w:t>
            </w:r>
          </w:p>
        </w:tc>
      </w:tr>
      <w:tr w:rsidR="001D4DC7" w14:paraId="45E303A6" w14:textId="77777777">
        <w:trPr>
          <w:jc w:val="center"/>
        </w:trPr>
        <w:tc>
          <w:tcPr>
            <w:tcW w:w="3264" w:type="dxa"/>
            <w:vAlign w:val="center"/>
          </w:tcPr>
          <w:p w14:paraId="0F913E3D" w14:textId="77777777" w:rsidR="001D4DC7" w:rsidRDefault="005E5F30">
            <w:r>
              <w:t>S07</w:t>
            </w:r>
          </w:p>
        </w:tc>
        <w:tc>
          <w:tcPr>
            <w:tcW w:w="3264" w:type="dxa"/>
            <w:vAlign w:val="center"/>
          </w:tcPr>
          <w:p w14:paraId="520D54DE" w14:textId="77777777" w:rsidR="001D4DC7" w:rsidRDefault="005E5F30">
            <w:r>
              <w:t>Calibration</w:t>
            </w:r>
          </w:p>
        </w:tc>
        <w:tc>
          <w:tcPr>
            <w:tcW w:w="3264" w:type="dxa"/>
            <w:vAlign w:val="center"/>
          </w:tcPr>
          <w:p w14:paraId="647DB704" w14:textId="77777777" w:rsidR="001D4DC7" w:rsidRDefault="005E5F30">
            <w:r>
              <w:t>VALID – dynamic</w:t>
            </w:r>
          </w:p>
        </w:tc>
      </w:tr>
      <w:tr w:rsidR="001D4DC7" w14:paraId="5468CB17" w14:textId="77777777">
        <w:trPr>
          <w:jc w:val="center"/>
        </w:trPr>
        <w:tc>
          <w:tcPr>
            <w:tcW w:w="3264" w:type="dxa"/>
            <w:vAlign w:val="center"/>
          </w:tcPr>
          <w:p w14:paraId="310FC010" w14:textId="77777777" w:rsidR="001D4DC7" w:rsidRDefault="005E5F30">
            <w:r>
              <w:lastRenderedPageBreak/>
              <w:t>S08-A</w:t>
            </w:r>
          </w:p>
        </w:tc>
        <w:tc>
          <w:tcPr>
            <w:tcW w:w="3264" w:type="dxa"/>
            <w:vAlign w:val="center"/>
          </w:tcPr>
          <w:p w14:paraId="4447E799" w14:textId="77777777" w:rsidR="001D4DC7" w:rsidRDefault="005E5F30">
            <w:r>
              <w:t>Independent validation</w:t>
            </w:r>
          </w:p>
        </w:tc>
        <w:tc>
          <w:tcPr>
            <w:tcW w:w="3264" w:type="dxa"/>
            <w:vAlign w:val="center"/>
          </w:tcPr>
          <w:p w14:paraId="158CC4DB" w14:textId="77777777" w:rsidR="001D4DC7" w:rsidRDefault="005E5F30">
            <w:r>
              <w:t>VALID</w:t>
            </w:r>
          </w:p>
        </w:tc>
      </w:tr>
      <w:tr w:rsidR="001D4DC7" w14:paraId="6750BE0C" w14:textId="77777777">
        <w:trPr>
          <w:jc w:val="center"/>
        </w:trPr>
        <w:tc>
          <w:tcPr>
            <w:tcW w:w="3264" w:type="dxa"/>
            <w:vAlign w:val="center"/>
          </w:tcPr>
          <w:p w14:paraId="534420C6" w14:textId="77777777" w:rsidR="001D4DC7" w:rsidRDefault="005E5F30">
            <w:r>
              <w:t>S08-B</w:t>
            </w:r>
          </w:p>
        </w:tc>
        <w:tc>
          <w:tcPr>
            <w:tcW w:w="3264" w:type="dxa"/>
            <w:vAlign w:val="center"/>
          </w:tcPr>
          <w:p w14:paraId="77AA2996" w14:textId="77777777" w:rsidR="001D4DC7" w:rsidRDefault="005E5F30">
            <w:r>
              <w:t>Independent validation</w:t>
            </w:r>
          </w:p>
        </w:tc>
        <w:tc>
          <w:tcPr>
            <w:tcW w:w="3264" w:type="dxa"/>
            <w:vAlign w:val="center"/>
          </w:tcPr>
          <w:p w14:paraId="560A61A4" w14:textId="77777777" w:rsidR="001D4DC7" w:rsidRDefault="005E5F30">
            <w:r>
              <w:t>VALID – dynamic</w:t>
            </w:r>
          </w:p>
        </w:tc>
      </w:tr>
      <w:tr w:rsidR="001D4DC7" w14:paraId="413CE7BB" w14:textId="77777777">
        <w:trPr>
          <w:jc w:val="center"/>
        </w:trPr>
        <w:tc>
          <w:tcPr>
            <w:tcW w:w="3264" w:type="dxa"/>
            <w:vAlign w:val="center"/>
          </w:tcPr>
          <w:p w14:paraId="1F97BAA9" w14:textId="77777777" w:rsidR="001D4DC7" w:rsidRDefault="005E5F30">
            <w:r>
              <w:t>S08-C</w:t>
            </w:r>
          </w:p>
        </w:tc>
        <w:tc>
          <w:tcPr>
            <w:tcW w:w="3264" w:type="dxa"/>
            <w:vAlign w:val="center"/>
          </w:tcPr>
          <w:p w14:paraId="1AE0B93E" w14:textId="77777777" w:rsidR="001D4DC7" w:rsidRDefault="005E5F30">
            <w:r>
              <w:t>Excluded</w:t>
            </w:r>
          </w:p>
        </w:tc>
        <w:tc>
          <w:tcPr>
            <w:tcW w:w="3264" w:type="dxa"/>
            <w:vAlign w:val="center"/>
          </w:tcPr>
          <w:p w14:paraId="3A2F3CD1" w14:textId="77777777" w:rsidR="001D4DC7" w:rsidRDefault="005E5F30">
            <w:r>
              <w:t>Not used quantitatively</w:t>
            </w:r>
          </w:p>
        </w:tc>
      </w:tr>
      <w:tr w:rsidR="001D4DC7" w14:paraId="1AD668C0" w14:textId="77777777">
        <w:trPr>
          <w:jc w:val="center"/>
        </w:trPr>
        <w:tc>
          <w:tcPr>
            <w:tcW w:w="3264" w:type="dxa"/>
            <w:vAlign w:val="center"/>
          </w:tcPr>
          <w:p w14:paraId="5892C78D" w14:textId="77777777" w:rsidR="001D4DC7" w:rsidRDefault="005E5F30">
            <w:r>
              <w:t>S09</w:t>
            </w:r>
          </w:p>
        </w:tc>
        <w:tc>
          <w:tcPr>
            <w:tcW w:w="3264" w:type="dxa"/>
            <w:vAlign w:val="center"/>
          </w:tcPr>
          <w:p w14:paraId="11FE452A" w14:textId="77777777" w:rsidR="001D4DC7" w:rsidRDefault="005E5F30">
            <w:r>
              <w:t>Independent validation</w:t>
            </w:r>
          </w:p>
        </w:tc>
        <w:tc>
          <w:tcPr>
            <w:tcW w:w="3264" w:type="dxa"/>
            <w:vAlign w:val="center"/>
          </w:tcPr>
          <w:p w14:paraId="62B02709" w14:textId="77777777" w:rsidR="001D4DC7" w:rsidRDefault="005E5F30">
            <w:r>
              <w:t>VALID – dynamic</w:t>
            </w:r>
          </w:p>
        </w:tc>
      </w:tr>
      <w:tr w:rsidR="001D4DC7" w14:paraId="67EBDDF4" w14:textId="77777777">
        <w:trPr>
          <w:jc w:val="center"/>
        </w:trPr>
        <w:tc>
          <w:tcPr>
            <w:tcW w:w="3264" w:type="dxa"/>
            <w:vAlign w:val="center"/>
          </w:tcPr>
          <w:p w14:paraId="2E7D577B" w14:textId="77777777" w:rsidR="001D4DC7" w:rsidRDefault="005E5F30">
            <w:r>
              <w:t>S10</w:t>
            </w:r>
          </w:p>
        </w:tc>
        <w:tc>
          <w:tcPr>
            <w:tcW w:w="3264" w:type="dxa"/>
            <w:vAlign w:val="center"/>
          </w:tcPr>
          <w:p w14:paraId="1991D956" w14:textId="77777777" w:rsidR="001D4DC7" w:rsidRDefault="005E5F30">
            <w:r>
              <w:t>Independent validation</w:t>
            </w:r>
          </w:p>
        </w:tc>
        <w:tc>
          <w:tcPr>
            <w:tcW w:w="3264" w:type="dxa"/>
            <w:vAlign w:val="center"/>
          </w:tcPr>
          <w:p w14:paraId="0B4B6EF2" w14:textId="77777777" w:rsidR="001D4DC7" w:rsidRDefault="005E5F30">
            <w:r>
              <w:t>VALID</w:t>
            </w:r>
          </w:p>
        </w:tc>
      </w:tr>
      <w:tr w:rsidR="001D4DC7" w14:paraId="4D870B7A" w14:textId="77777777">
        <w:trPr>
          <w:jc w:val="center"/>
        </w:trPr>
        <w:tc>
          <w:tcPr>
            <w:tcW w:w="3264" w:type="dxa"/>
            <w:vAlign w:val="center"/>
          </w:tcPr>
          <w:p w14:paraId="5EAEC1A4" w14:textId="77777777" w:rsidR="001D4DC7" w:rsidRDefault="005E5F30">
            <w:r>
              <w:t>S11</w:t>
            </w:r>
          </w:p>
        </w:tc>
        <w:tc>
          <w:tcPr>
            <w:tcW w:w="3264" w:type="dxa"/>
            <w:vAlign w:val="center"/>
          </w:tcPr>
          <w:p w14:paraId="71478EE9" w14:textId="77777777" w:rsidR="001D4DC7" w:rsidRDefault="005E5F30">
            <w:r>
              <w:t>Independent validation</w:t>
            </w:r>
          </w:p>
        </w:tc>
        <w:tc>
          <w:tcPr>
            <w:tcW w:w="3264" w:type="dxa"/>
            <w:vAlign w:val="center"/>
          </w:tcPr>
          <w:p w14:paraId="614274C8" w14:textId="77777777" w:rsidR="001D4DC7" w:rsidRDefault="005E5F30">
            <w:r>
              <w:t>VALID – low irradiance</w:t>
            </w:r>
          </w:p>
        </w:tc>
      </w:tr>
    </w:tbl>
    <w:p w14:paraId="50D01399" w14:textId="77777777" w:rsidR="001D4DC7" w:rsidRDefault="005E5F30">
      <w:pPr>
        <w:pStyle w:val="Heading1"/>
      </w:pPr>
      <w:r>
        <w:t>S5. Frozen calibration and validation datasets</w:t>
      </w:r>
    </w:p>
    <w:tbl>
      <w:tblPr>
        <w:tblStyle w:val="TableGrid"/>
        <w:tblW w:w="0" w:type="auto"/>
        <w:jc w:val="center"/>
        <w:tblLook w:val="04A0" w:firstRow="1" w:lastRow="0" w:firstColumn="1" w:lastColumn="0" w:noHBand="0" w:noVBand="1"/>
      </w:tblPr>
      <w:tblGrid>
        <w:gridCol w:w="2448"/>
        <w:gridCol w:w="2448"/>
        <w:gridCol w:w="2448"/>
        <w:gridCol w:w="2448"/>
      </w:tblGrid>
      <w:tr w:rsidR="001D4DC7" w14:paraId="48F5760C" w14:textId="77777777">
        <w:trPr>
          <w:jc w:val="center"/>
        </w:trPr>
        <w:tc>
          <w:tcPr>
            <w:tcW w:w="2448" w:type="dxa"/>
          </w:tcPr>
          <w:p w14:paraId="598CAAF9" w14:textId="77777777" w:rsidR="001D4DC7" w:rsidRDefault="005E5F30">
            <w:r>
              <w:rPr>
                <w:b/>
              </w:rPr>
              <w:t>Dataset</w:t>
            </w:r>
          </w:p>
        </w:tc>
        <w:tc>
          <w:tcPr>
            <w:tcW w:w="2448" w:type="dxa"/>
          </w:tcPr>
          <w:p w14:paraId="0487FCDC" w14:textId="77777777" w:rsidR="001D4DC7" w:rsidRDefault="005E5F30">
            <w:r>
              <w:rPr>
                <w:b/>
              </w:rPr>
              <w:t>Observations</w:t>
            </w:r>
          </w:p>
        </w:tc>
        <w:tc>
          <w:tcPr>
            <w:tcW w:w="2448" w:type="dxa"/>
          </w:tcPr>
          <w:p w14:paraId="6FFC34B3" w14:textId="77777777" w:rsidR="001D4DC7" w:rsidRDefault="005E5F30">
            <w:r>
              <w:rPr>
                <w:b/>
              </w:rPr>
              <w:t>Role</w:t>
            </w:r>
          </w:p>
        </w:tc>
        <w:tc>
          <w:tcPr>
            <w:tcW w:w="2448" w:type="dxa"/>
          </w:tcPr>
          <w:p w14:paraId="397E9A62" w14:textId="77777777" w:rsidR="001D4DC7" w:rsidRDefault="005E5F30">
            <w:r>
              <w:rPr>
                <w:b/>
              </w:rPr>
              <w:t>Status</w:t>
            </w:r>
          </w:p>
        </w:tc>
      </w:tr>
      <w:tr w:rsidR="001D4DC7" w14:paraId="6A51675A" w14:textId="77777777">
        <w:trPr>
          <w:jc w:val="center"/>
        </w:trPr>
        <w:tc>
          <w:tcPr>
            <w:tcW w:w="2448" w:type="dxa"/>
            <w:vAlign w:val="center"/>
          </w:tcPr>
          <w:p w14:paraId="0BBE790A" w14:textId="77777777" w:rsidR="001D4DC7" w:rsidRDefault="005E5F30">
            <w:r>
              <w:t>Calibration</w:t>
            </w:r>
          </w:p>
        </w:tc>
        <w:tc>
          <w:tcPr>
            <w:tcW w:w="2448" w:type="dxa"/>
            <w:vAlign w:val="center"/>
          </w:tcPr>
          <w:p w14:paraId="25361D78" w14:textId="77777777" w:rsidR="001D4DC7" w:rsidRDefault="005E5F30">
            <w:r>
              <w:t>1044</w:t>
            </w:r>
          </w:p>
        </w:tc>
        <w:tc>
          <w:tcPr>
            <w:tcW w:w="2448" w:type="dxa"/>
            <w:vAlign w:val="center"/>
          </w:tcPr>
          <w:p w14:paraId="28155E36" w14:textId="77777777" w:rsidR="001D4DC7" w:rsidRDefault="005E5F30">
            <w:r>
              <w:t>Model estimation</w:t>
            </w:r>
          </w:p>
        </w:tc>
        <w:tc>
          <w:tcPr>
            <w:tcW w:w="2448" w:type="dxa"/>
            <w:vAlign w:val="center"/>
          </w:tcPr>
          <w:p w14:paraId="56CBFA62" w14:textId="77777777" w:rsidR="001D4DC7" w:rsidRDefault="005E5F30">
            <w:r>
              <w:t>FROZEN</w:t>
            </w:r>
          </w:p>
        </w:tc>
      </w:tr>
      <w:tr w:rsidR="001D4DC7" w14:paraId="592626BE" w14:textId="77777777">
        <w:trPr>
          <w:jc w:val="center"/>
        </w:trPr>
        <w:tc>
          <w:tcPr>
            <w:tcW w:w="2448" w:type="dxa"/>
            <w:vAlign w:val="center"/>
          </w:tcPr>
          <w:p w14:paraId="4FF6DB29" w14:textId="77777777" w:rsidR="001D4DC7" w:rsidRDefault="005E5F30">
            <w:r>
              <w:t>Validation</w:t>
            </w:r>
          </w:p>
        </w:tc>
        <w:tc>
          <w:tcPr>
            <w:tcW w:w="2448" w:type="dxa"/>
            <w:vAlign w:val="center"/>
          </w:tcPr>
          <w:p w14:paraId="4C428A36" w14:textId="77777777" w:rsidR="001D4DC7" w:rsidRDefault="005E5F30">
            <w:r>
              <w:t>583</w:t>
            </w:r>
          </w:p>
        </w:tc>
        <w:tc>
          <w:tcPr>
            <w:tcW w:w="2448" w:type="dxa"/>
            <w:vAlign w:val="center"/>
          </w:tcPr>
          <w:p w14:paraId="2FBD1D0C" w14:textId="77777777" w:rsidR="001D4DC7" w:rsidRDefault="005E5F30">
            <w:r>
              <w:t>Independent evaluation</w:t>
            </w:r>
          </w:p>
        </w:tc>
        <w:tc>
          <w:tcPr>
            <w:tcW w:w="2448" w:type="dxa"/>
            <w:vAlign w:val="center"/>
          </w:tcPr>
          <w:p w14:paraId="051030A0" w14:textId="77777777" w:rsidR="001D4DC7" w:rsidRDefault="005E5F30">
            <w:r>
              <w:t>FROZEN</w:t>
            </w:r>
          </w:p>
        </w:tc>
      </w:tr>
    </w:tbl>
    <w:p w14:paraId="27A91ED7" w14:textId="77777777" w:rsidR="001D4DC7" w:rsidRDefault="005E5F30">
      <w:r>
        <w:t>Validation observations were not used for model estimation or model selection. The split is performed by measurement day, with 24 August reserved for independent validation.</w:t>
      </w:r>
    </w:p>
    <w:p w14:paraId="1E10F374" w14:textId="77777777" w:rsidR="001D4DC7" w:rsidRDefault="005E5F30">
      <w:pPr>
        <w:pStyle w:val="Heading1"/>
      </w:pPr>
      <w:r>
        <w:t>S6. Application-specific measurement model</w:t>
      </w:r>
    </w:p>
    <w:p w14:paraId="0B585859" w14:textId="77777777" w:rsidR="001D4DC7" w:rsidRDefault="005E5F30">
      <w:r>
        <w:t>The final application-specific model is a linear relationship between PV current and reference irradiance:</w:t>
      </w:r>
    </w:p>
    <w:p w14:paraId="57421271" w14:textId="0D96D629" w:rsidR="001D4DC7" w:rsidRDefault="005E5F30">
      <w:pPr>
        <w:jc w:val="center"/>
      </w:pPr>
      <w:r>
        <w:rPr>
          <w:b/>
        </w:rPr>
        <w:t>G = 6.55</w:t>
      </w:r>
      <w:r w:rsidR="00352A5F">
        <w:rPr>
          <w:b/>
        </w:rPr>
        <w:t>0</w:t>
      </w:r>
      <w:r>
        <w:rPr>
          <w:b/>
        </w:rPr>
        <w:t xml:space="preserve"> × I − 37.577</w:t>
      </w:r>
    </w:p>
    <w:p w14:paraId="1CCA572A" w14:textId="77777777" w:rsidR="001D4DC7" w:rsidRDefault="005E5F30">
      <w:r>
        <w:t>G is estimated irradiance in W/m² and I is PV current in mA. The coefficients were estimated exclusively from the frozen calibration dataset using ordinary least squares and frozen before independent validation.</w:t>
      </w:r>
    </w:p>
    <w:p w14:paraId="197E9F22" w14:textId="77777777" w:rsidR="001D4DC7" w:rsidRDefault="005E5F30">
      <w:r>
        <w:t>Model identifier: EMI-LIN-2026-08-26.</w:t>
      </w:r>
    </w:p>
    <w:p w14:paraId="29AB89A9" w14:textId="77777777" w:rsidR="001D4DC7" w:rsidRDefault="005E5F30">
      <w:r>
        <w:t>The linear model was retained after comparison with a quadratic candidate: the quadratic model improved calibration RMSE by only approximately 0.42% while adding an additional parameter.</w:t>
      </w:r>
    </w:p>
    <w:p w14:paraId="34CCD59D" w14:textId="77777777" w:rsidR="001D4DC7" w:rsidRDefault="005E5F30">
      <w:pPr>
        <w:pStyle w:val="Heading1"/>
      </w:pPr>
      <w:r>
        <w:t>S7. Model performance</w:t>
      </w:r>
    </w:p>
    <w:tbl>
      <w:tblPr>
        <w:tblStyle w:val="TableGrid"/>
        <w:tblW w:w="0" w:type="auto"/>
        <w:jc w:val="center"/>
        <w:tblLook w:val="04A0" w:firstRow="1" w:lastRow="0" w:firstColumn="1" w:lastColumn="0" w:noHBand="0" w:noVBand="1"/>
      </w:tblPr>
      <w:tblGrid>
        <w:gridCol w:w="3264"/>
        <w:gridCol w:w="3264"/>
        <w:gridCol w:w="3264"/>
      </w:tblGrid>
      <w:tr w:rsidR="001D4DC7" w14:paraId="529AD6E0" w14:textId="77777777">
        <w:trPr>
          <w:jc w:val="center"/>
        </w:trPr>
        <w:tc>
          <w:tcPr>
            <w:tcW w:w="3264" w:type="dxa"/>
          </w:tcPr>
          <w:p w14:paraId="312BAADF" w14:textId="77777777" w:rsidR="001D4DC7" w:rsidRDefault="005E5F30">
            <w:r>
              <w:rPr>
                <w:b/>
              </w:rPr>
              <w:t>Metric</w:t>
            </w:r>
          </w:p>
        </w:tc>
        <w:tc>
          <w:tcPr>
            <w:tcW w:w="3264" w:type="dxa"/>
          </w:tcPr>
          <w:p w14:paraId="734707BF" w14:textId="77777777" w:rsidR="001D4DC7" w:rsidRDefault="005E5F30">
            <w:r>
              <w:rPr>
                <w:b/>
              </w:rPr>
              <w:t>Calibration</w:t>
            </w:r>
          </w:p>
        </w:tc>
        <w:tc>
          <w:tcPr>
            <w:tcW w:w="3264" w:type="dxa"/>
          </w:tcPr>
          <w:p w14:paraId="07012952" w14:textId="77777777" w:rsidR="001D4DC7" w:rsidRDefault="005E5F30">
            <w:r>
              <w:rPr>
                <w:b/>
              </w:rPr>
              <w:t>Independent validation</w:t>
            </w:r>
          </w:p>
        </w:tc>
      </w:tr>
      <w:tr w:rsidR="001D4DC7" w14:paraId="3CD08420" w14:textId="77777777">
        <w:trPr>
          <w:jc w:val="center"/>
        </w:trPr>
        <w:tc>
          <w:tcPr>
            <w:tcW w:w="3264" w:type="dxa"/>
            <w:vAlign w:val="center"/>
          </w:tcPr>
          <w:p w14:paraId="19323009" w14:textId="77777777" w:rsidR="001D4DC7" w:rsidRDefault="005E5F30">
            <w:r>
              <w:t>N</w:t>
            </w:r>
          </w:p>
        </w:tc>
        <w:tc>
          <w:tcPr>
            <w:tcW w:w="3264" w:type="dxa"/>
            <w:vAlign w:val="center"/>
          </w:tcPr>
          <w:p w14:paraId="356988E2" w14:textId="77777777" w:rsidR="001D4DC7" w:rsidRDefault="005E5F30">
            <w:r>
              <w:t>1044</w:t>
            </w:r>
          </w:p>
        </w:tc>
        <w:tc>
          <w:tcPr>
            <w:tcW w:w="3264" w:type="dxa"/>
            <w:vAlign w:val="center"/>
          </w:tcPr>
          <w:p w14:paraId="2CB5281C" w14:textId="77777777" w:rsidR="001D4DC7" w:rsidRDefault="005E5F30">
            <w:r>
              <w:t>583</w:t>
            </w:r>
          </w:p>
        </w:tc>
      </w:tr>
      <w:tr w:rsidR="001D4DC7" w14:paraId="7ED7FFEB" w14:textId="77777777">
        <w:trPr>
          <w:jc w:val="center"/>
        </w:trPr>
        <w:tc>
          <w:tcPr>
            <w:tcW w:w="3264" w:type="dxa"/>
            <w:vAlign w:val="center"/>
          </w:tcPr>
          <w:p w14:paraId="2669A42E" w14:textId="77777777" w:rsidR="001D4DC7" w:rsidRDefault="005E5F30">
            <w:r>
              <w:t>MAE [W/m²]</w:t>
            </w:r>
          </w:p>
        </w:tc>
        <w:tc>
          <w:tcPr>
            <w:tcW w:w="3264" w:type="dxa"/>
            <w:vAlign w:val="center"/>
          </w:tcPr>
          <w:p w14:paraId="3DCC4969" w14:textId="77777777" w:rsidR="001D4DC7" w:rsidRDefault="005E5F30">
            <w:r>
              <w:t>20.2539</w:t>
            </w:r>
          </w:p>
        </w:tc>
        <w:tc>
          <w:tcPr>
            <w:tcW w:w="3264" w:type="dxa"/>
            <w:vAlign w:val="center"/>
          </w:tcPr>
          <w:p w14:paraId="61290CAC" w14:textId="77777777" w:rsidR="001D4DC7" w:rsidRDefault="005E5F30">
            <w:r>
              <w:t>25.6668</w:t>
            </w:r>
          </w:p>
        </w:tc>
      </w:tr>
      <w:tr w:rsidR="001D4DC7" w14:paraId="2BC3E91B" w14:textId="77777777">
        <w:trPr>
          <w:jc w:val="center"/>
        </w:trPr>
        <w:tc>
          <w:tcPr>
            <w:tcW w:w="3264" w:type="dxa"/>
            <w:vAlign w:val="center"/>
          </w:tcPr>
          <w:p w14:paraId="3F81C79E" w14:textId="77777777" w:rsidR="001D4DC7" w:rsidRDefault="005E5F30">
            <w:r>
              <w:t>RMSE [W/m²]</w:t>
            </w:r>
          </w:p>
        </w:tc>
        <w:tc>
          <w:tcPr>
            <w:tcW w:w="3264" w:type="dxa"/>
            <w:vAlign w:val="center"/>
          </w:tcPr>
          <w:p w14:paraId="70D3CBF1" w14:textId="77777777" w:rsidR="001D4DC7" w:rsidRDefault="005E5F30">
            <w:r>
              <w:t>50.7335</w:t>
            </w:r>
          </w:p>
        </w:tc>
        <w:tc>
          <w:tcPr>
            <w:tcW w:w="3264" w:type="dxa"/>
            <w:vAlign w:val="center"/>
          </w:tcPr>
          <w:p w14:paraId="0843CAB3" w14:textId="77777777" w:rsidR="001D4DC7" w:rsidRDefault="005E5F30">
            <w:r>
              <w:t>36.0706</w:t>
            </w:r>
          </w:p>
        </w:tc>
      </w:tr>
      <w:tr w:rsidR="001D4DC7" w14:paraId="4B77C1F7" w14:textId="77777777">
        <w:trPr>
          <w:jc w:val="center"/>
        </w:trPr>
        <w:tc>
          <w:tcPr>
            <w:tcW w:w="3264" w:type="dxa"/>
            <w:vAlign w:val="center"/>
          </w:tcPr>
          <w:p w14:paraId="15D26D81" w14:textId="77777777" w:rsidR="001D4DC7" w:rsidRDefault="005E5F30">
            <w:r>
              <w:t>MBE [W/m²]</w:t>
            </w:r>
          </w:p>
        </w:tc>
        <w:tc>
          <w:tcPr>
            <w:tcW w:w="3264" w:type="dxa"/>
            <w:vAlign w:val="center"/>
          </w:tcPr>
          <w:p w14:paraId="44BFA649" w14:textId="77777777" w:rsidR="001D4DC7" w:rsidRDefault="005E5F30">
            <w:r>
              <w:t>≈0</w:t>
            </w:r>
          </w:p>
        </w:tc>
        <w:tc>
          <w:tcPr>
            <w:tcW w:w="3264" w:type="dxa"/>
            <w:vAlign w:val="center"/>
          </w:tcPr>
          <w:p w14:paraId="075B0FBF" w14:textId="77777777" w:rsidR="001D4DC7" w:rsidRDefault="005E5F30">
            <w:r>
              <w:t>4.4446</w:t>
            </w:r>
          </w:p>
        </w:tc>
      </w:tr>
      <w:tr w:rsidR="001D4DC7" w14:paraId="772D03EF" w14:textId="77777777">
        <w:trPr>
          <w:jc w:val="center"/>
        </w:trPr>
        <w:tc>
          <w:tcPr>
            <w:tcW w:w="3264" w:type="dxa"/>
            <w:vAlign w:val="center"/>
          </w:tcPr>
          <w:p w14:paraId="4C5907AE" w14:textId="77777777" w:rsidR="001D4DC7" w:rsidRDefault="005E5F30">
            <w:r>
              <w:t>R²</w:t>
            </w:r>
          </w:p>
        </w:tc>
        <w:tc>
          <w:tcPr>
            <w:tcW w:w="3264" w:type="dxa"/>
            <w:vAlign w:val="center"/>
          </w:tcPr>
          <w:p w14:paraId="0E888E15" w14:textId="77777777" w:rsidR="001D4DC7" w:rsidRDefault="005E5F30">
            <w:r>
              <w:t>0.9168</w:t>
            </w:r>
          </w:p>
        </w:tc>
        <w:tc>
          <w:tcPr>
            <w:tcW w:w="3264" w:type="dxa"/>
            <w:vAlign w:val="center"/>
          </w:tcPr>
          <w:p w14:paraId="27BF7660" w14:textId="77777777" w:rsidR="001D4DC7" w:rsidRDefault="005E5F30">
            <w:r>
              <w:t>0.9791</w:t>
            </w:r>
          </w:p>
        </w:tc>
      </w:tr>
      <w:tr w:rsidR="001D4DC7" w14:paraId="69D3D2B4" w14:textId="77777777">
        <w:trPr>
          <w:jc w:val="center"/>
        </w:trPr>
        <w:tc>
          <w:tcPr>
            <w:tcW w:w="3264" w:type="dxa"/>
            <w:vAlign w:val="center"/>
          </w:tcPr>
          <w:p w14:paraId="14FCD778" w14:textId="77777777" w:rsidR="001D4DC7" w:rsidRDefault="005E5F30">
            <w:r>
              <w:t>Pearson r</w:t>
            </w:r>
          </w:p>
        </w:tc>
        <w:tc>
          <w:tcPr>
            <w:tcW w:w="3264" w:type="dxa"/>
            <w:vAlign w:val="center"/>
          </w:tcPr>
          <w:p w14:paraId="42E2E2F2" w14:textId="77777777" w:rsidR="001D4DC7" w:rsidRDefault="005E5F30">
            <w:r>
              <w:t>0.9575</w:t>
            </w:r>
          </w:p>
        </w:tc>
        <w:tc>
          <w:tcPr>
            <w:tcW w:w="3264" w:type="dxa"/>
            <w:vAlign w:val="center"/>
          </w:tcPr>
          <w:p w14:paraId="15293B47" w14:textId="77777777" w:rsidR="001D4DC7" w:rsidRDefault="005E5F30">
            <w:r>
              <w:t>0.9904</w:t>
            </w:r>
          </w:p>
        </w:tc>
      </w:tr>
    </w:tbl>
    <w:p w14:paraId="7E474144" w14:textId="77777777" w:rsidR="001D4DC7" w:rsidRDefault="005E5F30">
      <w:pPr>
        <w:pStyle w:val="Heading1"/>
      </w:pPr>
      <w:r>
        <w:t xml:space="preserve">S8. Communication endurance </w:t>
      </w:r>
      <w:r>
        <w:t>evidence</w:t>
      </w:r>
    </w:p>
    <w:tbl>
      <w:tblPr>
        <w:tblStyle w:val="TableGrid"/>
        <w:tblW w:w="0" w:type="auto"/>
        <w:jc w:val="center"/>
        <w:tblLook w:val="04A0" w:firstRow="1" w:lastRow="0" w:firstColumn="1" w:lastColumn="0" w:noHBand="0" w:noVBand="1"/>
      </w:tblPr>
      <w:tblGrid>
        <w:gridCol w:w="4896"/>
        <w:gridCol w:w="4896"/>
      </w:tblGrid>
      <w:tr w:rsidR="001D4DC7" w14:paraId="6A6D7727" w14:textId="77777777">
        <w:trPr>
          <w:jc w:val="center"/>
        </w:trPr>
        <w:tc>
          <w:tcPr>
            <w:tcW w:w="4896" w:type="dxa"/>
          </w:tcPr>
          <w:p w14:paraId="0E9FD3E7" w14:textId="77777777" w:rsidR="001D4DC7" w:rsidRDefault="005E5F30">
            <w:r>
              <w:rPr>
                <w:b/>
              </w:rPr>
              <w:t>Measure</w:t>
            </w:r>
          </w:p>
        </w:tc>
        <w:tc>
          <w:tcPr>
            <w:tcW w:w="4896" w:type="dxa"/>
          </w:tcPr>
          <w:p w14:paraId="249104AF" w14:textId="77777777" w:rsidR="001D4DC7" w:rsidRDefault="005E5F30">
            <w:r>
              <w:rPr>
                <w:b/>
              </w:rPr>
              <w:t>Result</w:t>
            </w:r>
          </w:p>
        </w:tc>
      </w:tr>
      <w:tr w:rsidR="001D4DC7" w14:paraId="44C9B4AC" w14:textId="77777777">
        <w:trPr>
          <w:jc w:val="center"/>
        </w:trPr>
        <w:tc>
          <w:tcPr>
            <w:tcW w:w="4896" w:type="dxa"/>
            <w:vAlign w:val="center"/>
          </w:tcPr>
          <w:p w14:paraId="0480FB3F" w14:textId="77777777" w:rsidR="001D4DC7" w:rsidRDefault="005E5F30">
            <w:r>
              <w:t>Modbus requests</w:t>
            </w:r>
          </w:p>
        </w:tc>
        <w:tc>
          <w:tcPr>
            <w:tcW w:w="4896" w:type="dxa"/>
            <w:vAlign w:val="center"/>
          </w:tcPr>
          <w:p w14:paraId="63335ED3" w14:textId="77777777" w:rsidR="001D4DC7" w:rsidRDefault="005E5F30">
            <w:r>
              <w:t>10,586</w:t>
            </w:r>
          </w:p>
        </w:tc>
      </w:tr>
      <w:tr w:rsidR="001D4DC7" w14:paraId="0C068015" w14:textId="77777777">
        <w:trPr>
          <w:jc w:val="center"/>
        </w:trPr>
        <w:tc>
          <w:tcPr>
            <w:tcW w:w="4896" w:type="dxa"/>
            <w:vAlign w:val="center"/>
          </w:tcPr>
          <w:p w14:paraId="0924F32B" w14:textId="77777777" w:rsidR="001D4DC7" w:rsidRDefault="005E5F30">
            <w:r>
              <w:t>Successful transactions</w:t>
            </w:r>
          </w:p>
        </w:tc>
        <w:tc>
          <w:tcPr>
            <w:tcW w:w="4896" w:type="dxa"/>
            <w:vAlign w:val="center"/>
          </w:tcPr>
          <w:p w14:paraId="69917370" w14:textId="77777777" w:rsidR="001D4DC7" w:rsidRDefault="005E5F30">
            <w:r>
              <w:t>10,585</w:t>
            </w:r>
          </w:p>
        </w:tc>
      </w:tr>
      <w:tr w:rsidR="001D4DC7" w14:paraId="43BE106B" w14:textId="77777777">
        <w:trPr>
          <w:jc w:val="center"/>
        </w:trPr>
        <w:tc>
          <w:tcPr>
            <w:tcW w:w="4896" w:type="dxa"/>
            <w:vAlign w:val="center"/>
          </w:tcPr>
          <w:p w14:paraId="706C6AC9" w14:textId="77777777" w:rsidR="001D4DC7" w:rsidRDefault="005E5F30">
            <w:r>
              <w:t>Timeouts</w:t>
            </w:r>
          </w:p>
        </w:tc>
        <w:tc>
          <w:tcPr>
            <w:tcW w:w="4896" w:type="dxa"/>
            <w:vAlign w:val="center"/>
          </w:tcPr>
          <w:p w14:paraId="0A4993F7" w14:textId="77777777" w:rsidR="001D4DC7" w:rsidRDefault="005E5F30">
            <w:r>
              <w:t>1</w:t>
            </w:r>
          </w:p>
        </w:tc>
      </w:tr>
      <w:tr w:rsidR="001D4DC7" w14:paraId="33529567" w14:textId="77777777">
        <w:trPr>
          <w:jc w:val="center"/>
        </w:trPr>
        <w:tc>
          <w:tcPr>
            <w:tcW w:w="4896" w:type="dxa"/>
            <w:vAlign w:val="center"/>
          </w:tcPr>
          <w:p w14:paraId="6D88C0B8" w14:textId="77777777" w:rsidR="001D4DC7" w:rsidRDefault="005E5F30">
            <w:r>
              <w:t>Observed CRC errors</w:t>
            </w:r>
          </w:p>
        </w:tc>
        <w:tc>
          <w:tcPr>
            <w:tcW w:w="4896" w:type="dxa"/>
            <w:vAlign w:val="center"/>
          </w:tcPr>
          <w:p w14:paraId="3256499B" w14:textId="77777777" w:rsidR="001D4DC7" w:rsidRDefault="005E5F30">
            <w:r>
              <w:t>0</w:t>
            </w:r>
          </w:p>
        </w:tc>
      </w:tr>
      <w:tr w:rsidR="001D4DC7" w14:paraId="3BDA3F35" w14:textId="77777777">
        <w:trPr>
          <w:jc w:val="center"/>
        </w:trPr>
        <w:tc>
          <w:tcPr>
            <w:tcW w:w="4896" w:type="dxa"/>
            <w:vAlign w:val="center"/>
          </w:tcPr>
          <w:p w14:paraId="023A5EF2" w14:textId="77777777" w:rsidR="001D4DC7" w:rsidRDefault="005E5F30">
            <w:r>
              <w:t>Success rate</w:t>
            </w:r>
          </w:p>
        </w:tc>
        <w:tc>
          <w:tcPr>
            <w:tcW w:w="4896" w:type="dxa"/>
            <w:vAlign w:val="center"/>
          </w:tcPr>
          <w:p w14:paraId="14592B2E" w14:textId="77777777" w:rsidR="001D4DC7" w:rsidRDefault="005E5F30">
            <w:r>
              <w:t>99.99%</w:t>
            </w:r>
          </w:p>
        </w:tc>
      </w:tr>
    </w:tbl>
    <w:p w14:paraId="3EB7A746" w14:textId="77777777" w:rsidR="001D4DC7" w:rsidRDefault="005E5F30">
      <w:r>
        <w:t xml:space="preserve">This test provides platform-level evidence for the stability of the embedded-to-gateway communication path under the </w:t>
      </w:r>
      <w:r>
        <w:t>tested conditions.</w:t>
      </w:r>
    </w:p>
    <w:p w14:paraId="26990C29" w14:textId="77777777" w:rsidR="001D4DC7" w:rsidRDefault="005E5F30">
      <w:pPr>
        <w:pStyle w:val="Heading1"/>
      </w:pPr>
      <w:r>
        <w:lastRenderedPageBreak/>
        <w:t>S9. Reproduction procedure</w:t>
      </w:r>
    </w:p>
    <w:p w14:paraId="587451AB" w14:textId="77777777" w:rsidR="001D4DC7" w:rsidRDefault="005E5F30">
      <w:r>
        <w:t>From analysis/EMI_Dataset, after installing the dependencies listed in requirements.txt:</w:t>
      </w:r>
    </w:p>
    <w:p w14:paraId="016DDF9F" w14:textId="77777777" w:rsidR="001D4DC7" w:rsidRDefault="005E5F30">
      <w:pPr>
        <w:ind w:left="504"/>
      </w:pPr>
      <w:r>
        <w:rPr>
          <w:rFonts w:ascii="Consolas" w:hAnsi="Consolas"/>
        </w:rPr>
        <w:t>python 06_check_input.py</w:t>
      </w:r>
    </w:p>
    <w:p w14:paraId="6F2889B6" w14:textId="77777777" w:rsidR="001D4DC7" w:rsidRDefault="005E5F30">
      <w:pPr>
        <w:ind w:left="504"/>
      </w:pPr>
      <w:r>
        <w:rPr>
          <w:rFonts w:ascii="Consolas" w:hAnsi="Consolas"/>
        </w:rPr>
        <w:t>python 01_prepare_dataset.py</w:t>
      </w:r>
    </w:p>
    <w:p w14:paraId="0137F8BE" w14:textId="77777777" w:rsidR="001D4DC7" w:rsidRDefault="005E5F30">
      <w:pPr>
        <w:ind w:left="504"/>
      </w:pPr>
      <w:r>
        <w:rPr>
          <w:rFonts w:ascii="Consolas" w:hAnsi="Consolas"/>
        </w:rPr>
        <w:t>python 02_scatter_spm72_pvrear.py</w:t>
      </w:r>
    </w:p>
    <w:p w14:paraId="5B4E4625" w14:textId="77777777" w:rsidR="001D4DC7" w:rsidRDefault="005E5F30">
      <w:pPr>
        <w:ind w:left="504"/>
      </w:pPr>
      <w:r>
        <w:rPr>
          <w:rFonts w:ascii="Consolas" w:hAnsi="Consolas"/>
        </w:rPr>
        <w:t xml:space="preserve">python </w:t>
      </w:r>
      <w:r>
        <w:rPr>
          <w:rFonts w:ascii="Consolas" w:hAnsi="Consolas"/>
        </w:rPr>
        <w:t>03_timeseries.py</w:t>
      </w:r>
    </w:p>
    <w:p w14:paraId="64E5F153" w14:textId="77777777" w:rsidR="001D4DC7" w:rsidRDefault="005E5F30">
      <w:pPr>
        <w:ind w:left="504"/>
      </w:pPr>
      <w:r>
        <w:rPr>
          <w:rFonts w:ascii="Consolas" w:hAnsi="Consolas"/>
        </w:rPr>
        <w:t>python 04_descriptive_report.py</w:t>
      </w:r>
    </w:p>
    <w:p w14:paraId="6467FA6E" w14:textId="77777777" w:rsidR="001D4DC7" w:rsidRDefault="005E5F30">
      <w:pPr>
        <w:ind w:left="504"/>
      </w:pPr>
      <w:r>
        <w:rPr>
          <w:rFonts w:ascii="Consolas" w:hAnsi="Consolas"/>
        </w:rPr>
        <w:t>python 07_series_diagnostics.py</w:t>
      </w:r>
    </w:p>
    <w:p w14:paraId="03FF42C7" w14:textId="77777777" w:rsidR="001D4DC7" w:rsidRDefault="005E5F30">
      <w:r>
        <w:t>Alternatively, 05_make_all.py runs scripts 01–04 sequentially, followed by 07_series_diagnostics.py.</w:t>
      </w:r>
    </w:p>
    <w:p w14:paraId="72B18696" w14:textId="77777777" w:rsidR="001D4DC7" w:rsidRDefault="005E5F30">
      <w:pPr>
        <w:pStyle w:val="Heading1"/>
      </w:pPr>
      <w:r>
        <w:t>S10. Reproducibility boundaries</w:t>
      </w:r>
    </w:p>
    <w:p w14:paraId="1F850E79" w14:textId="77777777" w:rsidR="001D4DC7" w:rsidRDefault="005E5F30">
      <w:pPr>
        <w:pStyle w:val="ListBullet"/>
      </w:pPr>
      <w:r>
        <w:t>The generic analysis pipeline does not automatically refit the frozen article model.</w:t>
      </w:r>
    </w:p>
    <w:p w14:paraId="4E88F3AD" w14:textId="77777777" w:rsidR="001D4DC7" w:rsidRDefault="005E5F30">
      <w:pPr>
        <w:pStyle w:val="ListBullet"/>
      </w:pPr>
      <w:r>
        <w:t>The calibration/validation split is a methodological research decision and is not regenerated automatically.</w:t>
      </w:r>
    </w:p>
    <w:p w14:paraId="76F904C4" w14:textId="77777777" w:rsidR="001D4DC7" w:rsidRDefault="005E5F30">
      <w:pPr>
        <w:pStyle w:val="ListBullet"/>
      </w:pPr>
      <w:r>
        <w:t>Original experimental CSV files are preserved and are not modified by the analysis scripts.</w:t>
      </w:r>
    </w:p>
    <w:p w14:paraId="4A38DA00" w14:textId="77777777" w:rsidR="001D4DC7" w:rsidRDefault="005E5F30">
      <w:pPr>
        <w:pStyle w:val="ListBullet"/>
      </w:pPr>
      <w:r>
        <w:t>The frozen datasets are treated as research artifacts and should not be silently regenerated or replaced.</w:t>
      </w:r>
    </w:p>
    <w:p w14:paraId="02100327" w14:textId="77777777" w:rsidR="001D4DC7" w:rsidRDefault="005E5F30">
      <w:pPr>
        <w:pStyle w:val="ListBullet"/>
      </w:pPr>
      <w:r>
        <w:t>The reported model and validation results are application-specific evidence supporting evaluation of the EMI Platform.</w:t>
      </w:r>
    </w:p>
    <w:p w14:paraId="3B5597C8" w14:textId="77777777" w:rsidR="001D4DC7" w:rsidRDefault="005E5F30">
      <w:pPr>
        <w:pStyle w:val="Heading1"/>
      </w:pPr>
      <w:r>
        <w:t>Annex A. Repository structure relevant to reproducibility</w:t>
      </w:r>
    </w:p>
    <w:p w14:paraId="5DAC985E" w14:textId="77777777" w:rsidR="001D4DC7" w:rsidRDefault="005E5F30">
      <w:pPr>
        <w:pStyle w:val="ListBullet"/>
      </w:pPr>
      <w:r>
        <w:t>README.md</w:t>
      </w:r>
    </w:p>
    <w:p w14:paraId="415E2E48" w14:textId="77777777" w:rsidR="001D4DC7" w:rsidRDefault="005E5F30">
      <w:pPr>
        <w:pStyle w:val="ListBullet"/>
      </w:pPr>
      <w:r>
        <w:t>analysis/EMI_Dataset/config.json</w:t>
      </w:r>
    </w:p>
    <w:p w14:paraId="55225BB8" w14:textId="77777777" w:rsidR="001D4DC7" w:rsidRDefault="005E5F30">
      <w:pPr>
        <w:pStyle w:val="ListBullet"/>
      </w:pPr>
      <w:r>
        <w:t>analysis/EMI_Dataset/common.py</w:t>
      </w:r>
    </w:p>
    <w:p w14:paraId="22257A56" w14:textId="77777777" w:rsidR="001D4DC7" w:rsidRDefault="005E5F30">
      <w:pPr>
        <w:pStyle w:val="ListBullet"/>
      </w:pPr>
      <w:r>
        <w:t>analysis/EMI_Dataset/requirements.txt</w:t>
      </w:r>
    </w:p>
    <w:p w14:paraId="12D2FC94" w14:textId="77777777" w:rsidR="001D4DC7" w:rsidRDefault="005E5F30">
      <w:pPr>
        <w:pStyle w:val="ListBullet"/>
      </w:pPr>
      <w:r>
        <w:t>analysis/EMI_Dataset/01_prepare_dataset.py … 07_series_diagnostics.py</w:t>
      </w:r>
    </w:p>
    <w:p w14:paraId="43306A3F" w14:textId="77777777" w:rsidR="001D4DC7" w:rsidRDefault="005E5F30">
      <w:pPr>
        <w:pStyle w:val="ListBullet"/>
      </w:pPr>
      <w:r>
        <w:t>analysis/EMI_Dataset/data/&lt;experimental series&gt;/</w:t>
      </w:r>
    </w:p>
    <w:p w14:paraId="3368BA5F" w14:textId="77777777" w:rsidR="001D4DC7" w:rsidRDefault="005E5F30">
      <w:pPr>
        <w:pStyle w:val="ListBullet"/>
      </w:pPr>
      <w:r>
        <w:t>analysis/EMI_Dataset/data/calibration_dataset.csv</w:t>
      </w:r>
    </w:p>
    <w:p w14:paraId="53C28CED" w14:textId="77777777" w:rsidR="001D4DC7" w:rsidRDefault="005E5F30">
      <w:pPr>
        <w:pStyle w:val="ListBullet"/>
      </w:pPr>
      <w:r>
        <w:t>analysis/EMI_Dataset/data/validation_dataset.csv</w:t>
      </w:r>
    </w:p>
    <w:p w14:paraId="69A545B3" w14:textId="77777777" w:rsidR="001D4DC7" w:rsidRDefault="005E5F30">
      <w:pPr>
        <w:pStyle w:val="ListBullet"/>
      </w:pPr>
      <w:r>
        <w:t>firmware/EMI_Node/EMI_Node.ino</w:t>
      </w:r>
    </w:p>
    <w:p w14:paraId="046FC98F" w14:textId="77777777" w:rsidR="001D4DC7" w:rsidRDefault="005E5F30">
      <w:pPr>
        <w:pStyle w:val="ListBullet"/>
      </w:pPr>
      <w:r>
        <w:t>gateway/FSM/spm72_control.py</w:t>
      </w:r>
    </w:p>
    <w:p w14:paraId="4F942B25" w14:textId="77777777" w:rsidR="001D4DC7" w:rsidRDefault="005E5F30">
      <w:pPr>
        <w:pStyle w:val="ListBullet"/>
      </w:pPr>
      <w:r>
        <w:t>gateway/FSM/spm72_ocr.py</w:t>
      </w:r>
    </w:p>
    <w:p w14:paraId="02480D20" w14:textId="77777777" w:rsidR="001D4DC7" w:rsidRDefault="005E5F30">
      <w:pPr>
        <w:pStyle w:val="ListBullet"/>
      </w:pPr>
      <w:r>
        <w:t>gateway/FSM/sync_series.py</w:t>
      </w:r>
    </w:p>
    <w:p w14:paraId="212C4092" w14:textId="77777777" w:rsidR="001D4DC7" w:rsidRDefault="005E5F30">
      <w:pPr>
        <w:pStyle w:val="Heading1"/>
      </w:pPr>
      <w:r>
        <w:t>Annex B. Frozen analytical reference</w:t>
      </w:r>
    </w:p>
    <w:p w14:paraId="39B5E082" w14:textId="77777777" w:rsidR="001D4DC7" w:rsidRDefault="005E5F30">
      <w:pPr>
        <w:pStyle w:val="ListBullet"/>
      </w:pPr>
      <w:r>
        <w:t>Calibration: S01–S07, N = 1044.</w:t>
      </w:r>
    </w:p>
    <w:p w14:paraId="11729FF0" w14:textId="77777777" w:rsidR="001D4DC7" w:rsidRDefault="005E5F30">
      <w:pPr>
        <w:pStyle w:val="ListBullet"/>
      </w:pPr>
      <w:r>
        <w:t>Independent validation: S08-A, S08-B, S09, S10, S11, N = 583.</w:t>
      </w:r>
    </w:p>
    <w:p w14:paraId="756E8351" w14:textId="77777777" w:rsidR="001D4DC7" w:rsidRDefault="005E5F30">
      <w:pPr>
        <w:pStyle w:val="ListBullet"/>
      </w:pPr>
      <w:r>
        <w:t>Model: linear OLS, estimated on calibration only.</w:t>
      </w:r>
    </w:p>
    <w:p w14:paraId="2BB09F0E" w14:textId="77777777" w:rsidR="001D4DC7" w:rsidRDefault="005E5F30">
      <w:pPr>
        <w:pStyle w:val="ListBullet"/>
      </w:pPr>
      <w:r>
        <w:t>Frozen coefficients: slope = 6.550183385298; intercept = −37.577182152696.</w:t>
      </w:r>
    </w:p>
    <w:p w14:paraId="31D2B3D4" w14:textId="77777777" w:rsidR="001D4DC7" w:rsidRDefault="005E5F30">
      <w:pPr>
        <w:pStyle w:val="ListBullet"/>
      </w:pPr>
      <w:r>
        <w:t>Validation: MAE = 25.67 W/m²; RMSE = 36.07 W/m²; MBE = 4.44 W/m²; R² = 0.9791; Pearson r = 0.9904.</w:t>
      </w:r>
    </w:p>
    <w:p w14:paraId="7B499A63" w14:textId="77777777" w:rsidR="001D4DC7" w:rsidRDefault="005E5F30">
      <w:pPr>
        <w:pStyle w:val="ListBullet"/>
      </w:pPr>
      <w:r>
        <w:t>Communication endurance: 10,585 successful transactions / 10,586 requests; one timeout; no observed CRC errors.</w:t>
      </w:r>
    </w:p>
    <w:p w14:paraId="51B4C804" w14:textId="77777777" w:rsidR="001D4DC7" w:rsidRDefault="005E5F30">
      <w:pPr>
        <w:pStyle w:val="Heading1"/>
      </w:pPr>
      <w:r>
        <w:lastRenderedPageBreak/>
        <w:t>Annex C. Scope boundary</w:t>
      </w:r>
    </w:p>
    <w:p w14:paraId="1F6A2BA1" w14:textId="77777777" w:rsidR="001D4DC7" w:rsidRDefault="005E5F30">
      <w:r>
        <w:t>Remote device configuration and lifecycle management are not implemented or experimentally validated in the present work. They therefore do not form part of the reproducibility evidence for the current article.</w:t>
      </w:r>
    </w:p>
    <w:p w14:paraId="471881BA" w14:textId="77777777" w:rsidR="001D4DC7" w:rsidRDefault="005E5F30">
      <w:pPr>
        <w:jc w:val="center"/>
      </w:pPr>
      <w:r>
        <w:rPr>
          <w:i/>
        </w:rPr>
        <w:t>End of Supplementary Materials</w:t>
      </w:r>
    </w:p>
    <w:sectPr w:rsidR="001D4DC7"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40878" w14:textId="77777777" w:rsidR="005E5F30" w:rsidRDefault="005E5F30" w:rsidP="005E5F30">
      <w:pPr>
        <w:spacing w:after="0" w:line="240" w:lineRule="auto"/>
      </w:pPr>
      <w:r>
        <w:separator/>
      </w:r>
    </w:p>
  </w:endnote>
  <w:endnote w:type="continuationSeparator" w:id="0">
    <w:p w14:paraId="1ED159E3" w14:textId="77777777" w:rsidR="005E5F30" w:rsidRDefault="005E5F30" w:rsidP="005E5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305361"/>
      <w:docPartObj>
        <w:docPartGallery w:val="Page Numbers (Bottom of Page)"/>
        <w:docPartUnique/>
      </w:docPartObj>
    </w:sdtPr>
    <w:sdtEndPr>
      <w:rPr>
        <w:noProof/>
      </w:rPr>
    </w:sdtEndPr>
    <w:sdtContent>
      <w:p w14:paraId="25912071" w14:textId="5AC42DA0" w:rsidR="005E5F30" w:rsidRDefault="005E5F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1D3931" w14:textId="77777777" w:rsidR="005E5F30" w:rsidRDefault="005E5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6E55D" w14:textId="77777777" w:rsidR="005E5F30" w:rsidRDefault="005E5F30" w:rsidP="005E5F30">
      <w:pPr>
        <w:spacing w:after="0" w:line="240" w:lineRule="auto"/>
      </w:pPr>
      <w:r>
        <w:separator/>
      </w:r>
    </w:p>
  </w:footnote>
  <w:footnote w:type="continuationSeparator" w:id="0">
    <w:p w14:paraId="6F2E17E5" w14:textId="77777777" w:rsidR="005E5F30" w:rsidRDefault="005E5F30" w:rsidP="005E5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8C530B"/>
    <w:multiLevelType w:val="hybridMultilevel"/>
    <w:tmpl w:val="1FDA350A"/>
    <w:lvl w:ilvl="0" w:tplc="04180001">
      <w:start w:val="1"/>
      <w:numFmt w:val="bullet"/>
      <w:lvlText w:val=""/>
      <w:lvlJc w:val="left"/>
      <w:pPr>
        <w:ind w:left="1800" w:hanging="360"/>
      </w:pPr>
      <w:rPr>
        <w:rFonts w:ascii="Symbol" w:hAnsi="Symbo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10" w15:restartNumberingAfterBreak="0">
    <w:nsid w:val="498417BD"/>
    <w:multiLevelType w:val="multilevel"/>
    <w:tmpl w:val="B5CE1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B4393C"/>
    <w:multiLevelType w:val="multilevel"/>
    <w:tmpl w:val="EE1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869301">
    <w:abstractNumId w:val="8"/>
  </w:num>
  <w:num w:numId="2" w16cid:durableId="876888230">
    <w:abstractNumId w:val="6"/>
  </w:num>
  <w:num w:numId="3" w16cid:durableId="911476168">
    <w:abstractNumId w:val="5"/>
  </w:num>
  <w:num w:numId="4" w16cid:durableId="1502349843">
    <w:abstractNumId w:val="4"/>
  </w:num>
  <w:num w:numId="5" w16cid:durableId="2083284079">
    <w:abstractNumId w:val="7"/>
  </w:num>
  <w:num w:numId="6" w16cid:durableId="565721937">
    <w:abstractNumId w:val="3"/>
  </w:num>
  <w:num w:numId="7" w16cid:durableId="1673607007">
    <w:abstractNumId w:val="2"/>
  </w:num>
  <w:num w:numId="8" w16cid:durableId="1484421393">
    <w:abstractNumId w:val="1"/>
  </w:num>
  <w:num w:numId="9" w16cid:durableId="539787237">
    <w:abstractNumId w:val="0"/>
  </w:num>
  <w:num w:numId="10" w16cid:durableId="696010465">
    <w:abstractNumId w:val="10"/>
  </w:num>
  <w:num w:numId="11" w16cid:durableId="1454010683">
    <w:abstractNumId w:val="11"/>
  </w:num>
  <w:num w:numId="12" w16cid:durableId="1365443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597"/>
    <w:rsid w:val="001D4DC7"/>
    <w:rsid w:val="0029639D"/>
    <w:rsid w:val="00326F90"/>
    <w:rsid w:val="00352A5F"/>
    <w:rsid w:val="003F57BF"/>
    <w:rsid w:val="005E5F30"/>
    <w:rsid w:val="00AA1D8D"/>
    <w:rsid w:val="00B47730"/>
    <w:rsid w:val="00B56357"/>
    <w:rsid w:val="00CB0664"/>
    <w:rsid w:val="00EF7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863A05-75C1-49BE-87D2-6290B688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419507">
      <w:bodyDiv w:val="1"/>
      <w:marLeft w:val="0"/>
      <w:marRight w:val="0"/>
      <w:marTop w:val="0"/>
      <w:marBottom w:val="0"/>
      <w:divBdr>
        <w:top w:val="none" w:sz="0" w:space="0" w:color="auto"/>
        <w:left w:val="none" w:sz="0" w:space="0" w:color="auto"/>
        <w:bottom w:val="none" w:sz="0" w:space="0" w:color="auto"/>
        <w:right w:val="none" w:sz="0" w:space="0" w:color="auto"/>
      </w:divBdr>
    </w:div>
    <w:div w:id="6443113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903</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Sef  lucrari dr. ing. Popa Sorin Eugen</cp:lastModifiedBy>
  <cp:revision>5</cp:revision>
  <dcterms:created xsi:type="dcterms:W3CDTF">2013-12-23T23:15:00Z</dcterms:created>
  <dcterms:modified xsi:type="dcterms:W3CDTF">2026-09-04T07:15:00Z</dcterms:modified>
  <cp:category/>
</cp:coreProperties>
</file>