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eGrid"/>
        <w:tblW w:w="10207" w:type="dxa"/>
        <w:tblInd w:w="-1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Caption w:val="Department logo"/>
        <w:tblDescription w:val="Department logo"/>
      </w:tblPr>
      <w:tblGrid>
        <w:gridCol w:w="6306"/>
        <w:gridCol w:w="3901"/>
      </w:tblGrid>
      <w:tr w:rsidR="003A7D03" w:rsidRPr="00325A39" w:rsidTr="00E21B48">
        <w:trPr>
          <w:tblHeader/>
        </w:trPr>
        <w:tc>
          <w:tcPr>
            <w:tcW w:w="6096" w:type="dxa"/>
          </w:tcPr>
          <w:p w:rsidR="003A7D03" w:rsidRPr="00325A39" w:rsidRDefault="003A7D03" w:rsidP="003A7D03">
            <w:pPr>
              <w:autoSpaceDE w:val="0"/>
              <w:autoSpaceDN w:val="0"/>
              <w:adjustRightInd w:val="0"/>
              <w:rPr>
                <w:rFonts w:cstheme="minorHAnsi"/>
                <w:sz w:val="12"/>
                <w:szCs w:val="12"/>
              </w:rPr>
            </w:pPr>
            <w:bookmarkStart w:id="0" w:name="_Toc234306067"/>
            <w:r w:rsidRPr="00325A39">
              <w:rPr>
                <w:rFonts w:cstheme="minorHAnsi"/>
                <w:noProof/>
                <w:sz w:val="12"/>
                <w:szCs w:val="12"/>
              </w:rPr>
              <w:drawing>
                <wp:inline distT="0" distB="0" distL="0" distR="0" wp14:anchorId="21636873" wp14:editId="7DAACE41">
                  <wp:extent cx="3859619" cy="928100"/>
                  <wp:effectExtent l="0" t="0" r="7620" b="5715"/>
                  <wp:docPr id="3" name="Picture 3"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H_inline_black.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94623" cy="936517"/>
                          </a:xfrm>
                          <a:prstGeom prst="rect">
                            <a:avLst/>
                          </a:prstGeom>
                        </pic:spPr>
                      </pic:pic>
                    </a:graphicData>
                  </a:graphic>
                </wp:inline>
              </w:drawing>
            </w:r>
          </w:p>
        </w:tc>
        <w:tc>
          <w:tcPr>
            <w:tcW w:w="4111" w:type="dxa"/>
          </w:tcPr>
          <w:p w:rsidR="003A7D03" w:rsidRPr="00325A39" w:rsidRDefault="003A7D03" w:rsidP="003A7D03">
            <w:pPr>
              <w:keepNext/>
              <w:tabs>
                <w:tab w:val="left" w:pos="6301"/>
              </w:tabs>
              <w:jc w:val="right"/>
              <w:outlineLvl w:val="0"/>
              <w:rPr>
                <w:rFonts w:cs="Arial"/>
                <w:b/>
                <w:caps/>
                <w:color w:val="000000" w:themeColor="text1"/>
                <w:sz w:val="32"/>
                <w:szCs w:val="28"/>
              </w:rPr>
            </w:pPr>
            <w:r w:rsidRPr="00325A39">
              <w:rPr>
                <w:rFonts w:cs="Arial"/>
                <w:b/>
                <w:caps/>
                <w:color w:val="000000" w:themeColor="text1"/>
                <w:sz w:val="32"/>
                <w:szCs w:val="28"/>
              </w:rPr>
              <w:t>Australian Influenza</w:t>
            </w:r>
          </w:p>
          <w:p w:rsidR="003A7D03" w:rsidRPr="00325A39" w:rsidRDefault="006C5CE3" w:rsidP="003A7D03">
            <w:pPr>
              <w:keepNext/>
              <w:tabs>
                <w:tab w:val="left" w:pos="6301"/>
              </w:tabs>
              <w:jc w:val="right"/>
              <w:outlineLvl w:val="0"/>
              <w:rPr>
                <w:rFonts w:cs="Arial"/>
                <w:b/>
                <w:caps/>
                <w:color w:val="000000" w:themeColor="text1"/>
                <w:sz w:val="32"/>
                <w:szCs w:val="28"/>
              </w:rPr>
            </w:pPr>
            <w:r w:rsidRPr="00325A39">
              <w:rPr>
                <w:rFonts w:cs="Arial"/>
                <w:b/>
                <w:caps/>
                <w:color w:val="000000" w:themeColor="text1"/>
                <w:sz w:val="32"/>
                <w:szCs w:val="28"/>
              </w:rPr>
              <w:t>SURVEILLANCE</w:t>
            </w:r>
            <w:r w:rsidR="003A7D03" w:rsidRPr="00325A39">
              <w:rPr>
                <w:rFonts w:cs="Arial"/>
                <w:b/>
                <w:caps/>
                <w:color w:val="000000" w:themeColor="text1"/>
                <w:sz w:val="32"/>
                <w:szCs w:val="28"/>
              </w:rPr>
              <w:t xml:space="preserve"> </w:t>
            </w:r>
            <w:r w:rsidRPr="00325A39">
              <w:rPr>
                <w:rFonts w:cs="Arial"/>
                <w:b/>
                <w:caps/>
                <w:color w:val="000000" w:themeColor="text1"/>
                <w:sz w:val="32"/>
                <w:szCs w:val="28"/>
              </w:rPr>
              <w:t>REPORT</w:t>
            </w:r>
          </w:p>
          <w:p w:rsidR="003A7D03" w:rsidRPr="00325A39" w:rsidRDefault="003A7D03" w:rsidP="003A7D03">
            <w:pPr>
              <w:jc w:val="right"/>
              <w:rPr>
                <w:rFonts w:cstheme="minorHAnsi"/>
                <w:b/>
                <w:bCs/>
                <w:i/>
                <w:iCs/>
                <w:color w:val="000000"/>
                <w:sz w:val="8"/>
                <w:szCs w:val="8"/>
              </w:rPr>
            </w:pPr>
          </w:p>
          <w:p w:rsidR="00C5674A" w:rsidRPr="00325A39" w:rsidRDefault="00431CB3" w:rsidP="003A7D03">
            <w:pPr>
              <w:tabs>
                <w:tab w:val="left" w:pos="3420"/>
              </w:tabs>
              <w:jc w:val="right"/>
              <w:rPr>
                <w:rFonts w:cstheme="minorHAnsi"/>
                <w:b/>
              </w:rPr>
            </w:pPr>
            <w:bookmarkStart w:id="1" w:name="Start"/>
            <w:bookmarkEnd w:id="1"/>
            <w:r w:rsidRPr="00325A39">
              <w:rPr>
                <w:rFonts w:cstheme="minorHAnsi"/>
                <w:b/>
              </w:rPr>
              <w:t xml:space="preserve">No. </w:t>
            </w:r>
            <w:r w:rsidR="006C5CE3" w:rsidRPr="00325A39">
              <w:rPr>
                <w:rFonts w:cstheme="minorHAnsi"/>
                <w:b/>
              </w:rPr>
              <w:t>1</w:t>
            </w:r>
            <w:r w:rsidR="003A7D03" w:rsidRPr="00325A39">
              <w:rPr>
                <w:rFonts w:cstheme="minorHAnsi"/>
                <w:b/>
              </w:rPr>
              <w:t>, 201</w:t>
            </w:r>
            <w:r w:rsidR="00C5674A" w:rsidRPr="00325A39">
              <w:rPr>
                <w:rFonts w:cstheme="minorHAnsi"/>
                <w:b/>
              </w:rPr>
              <w:t>7</w:t>
            </w:r>
          </w:p>
          <w:p w:rsidR="003A7D03" w:rsidRPr="00325A39" w:rsidRDefault="003A7D03" w:rsidP="00D85001">
            <w:pPr>
              <w:tabs>
                <w:tab w:val="left" w:pos="3420"/>
              </w:tabs>
              <w:jc w:val="right"/>
              <w:rPr>
                <w:rFonts w:cstheme="minorHAnsi"/>
                <w:sz w:val="12"/>
                <w:szCs w:val="12"/>
              </w:rPr>
            </w:pPr>
            <w:r w:rsidRPr="00325A39">
              <w:rPr>
                <w:rFonts w:cstheme="minorHAnsi"/>
                <w:b/>
              </w:rPr>
              <w:t xml:space="preserve"> </w:t>
            </w:r>
            <w:r w:rsidR="00D85001">
              <w:rPr>
                <w:rFonts w:cstheme="minorHAnsi"/>
                <w:b/>
              </w:rPr>
              <w:t xml:space="preserve">Reporting period 13 - </w:t>
            </w:r>
            <w:r w:rsidR="006C5CE3" w:rsidRPr="00325A39">
              <w:rPr>
                <w:rFonts w:cstheme="minorHAnsi"/>
                <w:b/>
              </w:rPr>
              <w:t>26</w:t>
            </w:r>
            <w:r w:rsidR="00EC7EC1">
              <w:rPr>
                <w:rFonts w:cstheme="minorHAnsi"/>
                <w:b/>
              </w:rPr>
              <w:t> </w:t>
            </w:r>
            <w:r w:rsidR="00D47173" w:rsidRPr="00325A39">
              <w:rPr>
                <w:rFonts w:cstheme="minorHAnsi"/>
                <w:b/>
              </w:rPr>
              <w:t>May</w:t>
            </w:r>
            <w:r w:rsidR="00C5674A" w:rsidRPr="00325A39">
              <w:rPr>
                <w:rFonts w:cstheme="minorHAnsi"/>
                <w:b/>
              </w:rPr>
              <w:t xml:space="preserve"> 2017</w:t>
            </w:r>
          </w:p>
        </w:tc>
      </w:tr>
    </w:tbl>
    <w:p w:rsidR="003A7D03" w:rsidRPr="00325A39" w:rsidRDefault="003A7D03" w:rsidP="003A7D03">
      <w:pPr>
        <w:jc w:val="both"/>
        <w:rPr>
          <w:rFonts w:cstheme="minorHAnsi"/>
        </w:rPr>
      </w:pPr>
      <w:r w:rsidRPr="00325A39">
        <w:rPr>
          <w:rFonts w:cstheme="minorHAnsi"/>
        </w:rPr>
        <w:t>The Department of Health acknowledges the providers of the many sources of data used in this report and greatly appreciates their contribution.</w:t>
      </w:r>
    </w:p>
    <w:p w:rsidR="009F446F" w:rsidRPr="00336E21" w:rsidRDefault="00325A39" w:rsidP="0069692C">
      <w:pPr>
        <w:pStyle w:val="Heading1"/>
      </w:pPr>
      <w:r w:rsidRPr="00336E21">
        <w:t>KEY MESSAGES</w:t>
      </w:r>
    </w:p>
    <w:p w:rsidR="00336E21" w:rsidRPr="00E233E0" w:rsidRDefault="00321933">
      <w:pPr>
        <w:pStyle w:val="ListBullet"/>
        <w:numPr>
          <w:ilvl w:val="0"/>
          <w:numId w:val="4"/>
        </w:numPr>
        <w:spacing w:after="100"/>
        <w:ind w:left="284" w:hanging="284"/>
        <w:rPr>
          <w:rFonts w:cstheme="minorHAnsi"/>
        </w:rPr>
      </w:pPr>
      <w:r w:rsidRPr="00B43A9B">
        <w:rPr>
          <w:rFonts w:cstheme="minorHAnsi"/>
          <w:sz w:val="2"/>
          <w:highlight w:val="yellow"/>
        </w:rPr>
        <w:t xml:space="preserve"> </w:t>
      </w:r>
      <w:bookmarkEnd w:id="0"/>
      <w:r w:rsidR="00336E21" w:rsidRPr="00E233E0">
        <w:rPr>
          <w:rFonts w:cstheme="minorHAnsi"/>
        </w:rPr>
        <w:t xml:space="preserve">Influenza activity </w:t>
      </w:r>
      <w:r w:rsidR="00D51899" w:rsidRPr="00E233E0">
        <w:rPr>
          <w:rFonts w:cstheme="minorHAnsi"/>
        </w:rPr>
        <w:t>has increased</w:t>
      </w:r>
      <w:r w:rsidR="001C1C8A" w:rsidRPr="00E233E0">
        <w:rPr>
          <w:rFonts w:cstheme="minorHAnsi"/>
        </w:rPr>
        <w:t xml:space="preserve"> slightly</w:t>
      </w:r>
      <w:r w:rsidR="00D51899" w:rsidRPr="00E233E0">
        <w:rPr>
          <w:rFonts w:cstheme="minorHAnsi"/>
        </w:rPr>
        <w:t xml:space="preserve"> in the last month, but </w:t>
      </w:r>
      <w:r w:rsidR="00336E21" w:rsidRPr="00E233E0">
        <w:rPr>
          <w:rFonts w:cstheme="minorHAnsi"/>
        </w:rPr>
        <w:t xml:space="preserve">remains at inter-seasonal levels across Australia. </w:t>
      </w:r>
    </w:p>
    <w:p w:rsidR="001C1C8A" w:rsidRDefault="001C1C8A" w:rsidP="00B43A9B">
      <w:pPr>
        <w:pStyle w:val="ListBullet"/>
        <w:numPr>
          <w:ilvl w:val="0"/>
          <w:numId w:val="4"/>
        </w:numPr>
        <w:spacing w:after="100"/>
        <w:ind w:left="284" w:hanging="284"/>
        <w:rPr>
          <w:rFonts w:cstheme="minorHAnsi"/>
        </w:rPr>
      </w:pPr>
      <w:r>
        <w:rPr>
          <w:rFonts w:cstheme="minorHAnsi"/>
        </w:rPr>
        <w:t xml:space="preserve">Detections of influenza B viruses have increased in recent weeks, consistent </w:t>
      </w:r>
      <w:r w:rsidRPr="001C1C8A">
        <w:rPr>
          <w:rFonts w:cstheme="minorHAnsi"/>
        </w:rPr>
        <w:t>with the predominance of influenza B viruses worldwide</w:t>
      </w:r>
      <w:r w:rsidR="00C22C0D">
        <w:rPr>
          <w:rFonts w:cstheme="minorHAnsi"/>
        </w:rPr>
        <w:t xml:space="preserve"> currently</w:t>
      </w:r>
      <w:r>
        <w:rPr>
          <w:rFonts w:cstheme="minorHAnsi"/>
        </w:rPr>
        <w:t>.</w:t>
      </w:r>
      <w:r w:rsidR="007060D5" w:rsidRPr="00B43A9B">
        <w:rPr>
          <w:rFonts w:cstheme="minorHAnsi"/>
          <w:vertAlign w:val="superscript"/>
        </w:rPr>
        <w:endnoteReference w:id="1"/>
      </w:r>
    </w:p>
    <w:p w:rsidR="00336E21" w:rsidRDefault="00336E21" w:rsidP="00336E21">
      <w:pPr>
        <w:pStyle w:val="ListBullet"/>
        <w:numPr>
          <w:ilvl w:val="0"/>
          <w:numId w:val="4"/>
        </w:numPr>
        <w:spacing w:after="100"/>
        <w:ind w:left="284" w:hanging="284"/>
        <w:rPr>
          <w:rFonts w:cstheme="minorHAnsi"/>
        </w:rPr>
      </w:pPr>
      <w:r w:rsidRPr="00B42C10">
        <w:rPr>
          <w:rFonts w:cstheme="minorHAnsi"/>
        </w:rPr>
        <w:t xml:space="preserve">Respiratory viruses other than influenza are more commonly causing influenza-like illness </w:t>
      </w:r>
      <w:r>
        <w:rPr>
          <w:rFonts w:cstheme="minorHAnsi"/>
        </w:rPr>
        <w:t>presentations to sentinel general practitioners</w:t>
      </w:r>
      <w:r w:rsidRPr="00B42C10">
        <w:rPr>
          <w:rFonts w:cstheme="minorHAnsi"/>
        </w:rPr>
        <w:t xml:space="preserve">, with rhinovirus </w:t>
      </w:r>
      <w:r w:rsidR="00342723">
        <w:rPr>
          <w:rFonts w:cstheme="minorHAnsi"/>
        </w:rPr>
        <w:t xml:space="preserve">and </w:t>
      </w:r>
      <w:r w:rsidR="00AE1C11">
        <w:rPr>
          <w:rFonts w:cstheme="minorHAnsi"/>
        </w:rPr>
        <w:t>respiratory syncytial virus (</w:t>
      </w:r>
      <w:r w:rsidR="00342723">
        <w:rPr>
          <w:rFonts w:cstheme="minorHAnsi"/>
        </w:rPr>
        <w:t>RSV</w:t>
      </w:r>
      <w:r w:rsidR="00AE1C11">
        <w:rPr>
          <w:rFonts w:cstheme="minorHAnsi"/>
        </w:rPr>
        <w:t>)</w:t>
      </w:r>
      <w:r w:rsidR="00342723">
        <w:rPr>
          <w:rFonts w:cstheme="minorHAnsi"/>
        </w:rPr>
        <w:t xml:space="preserve"> </w:t>
      </w:r>
      <w:r w:rsidRPr="00B42C10">
        <w:rPr>
          <w:rFonts w:cstheme="minorHAnsi"/>
        </w:rPr>
        <w:t>detected most frequently.</w:t>
      </w:r>
    </w:p>
    <w:p w:rsidR="00336E21" w:rsidRPr="00B42C10" w:rsidRDefault="00336E21" w:rsidP="00336E21">
      <w:pPr>
        <w:pStyle w:val="ListBullet"/>
        <w:numPr>
          <w:ilvl w:val="0"/>
          <w:numId w:val="4"/>
        </w:numPr>
        <w:spacing w:after="100"/>
        <w:ind w:left="284" w:hanging="284"/>
        <w:rPr>
          <w:rFonts w:cstheme="minorHAnsi"/>
        </w:rPr>
      </w:pPr>
      <w:r w:rsidRPr="00B42C10">
        <w:rPr>
          <w:rFonts w:cstheme="minorHAnsi"/>
        </w:rPr>
        <w:t>There is no indication of the potential severity of the</w:t>
      </w:r>
      <w:r>
        <w:rPr>
          <w:rFonts w:cstheme="minorHAnsi"/>
        </w:rPr>
        <w:t xml:space="preserve"> 2017</w:t>
      </w:r>
      <w:r w:rsidRPr="00B42C10">
        <w:rPr>
          <w:rFonts w:cstheme="minorHAnsi"/>
        </w:rPr>
        <w:t xml:space="preserve"> season at this time.</w:t>
      </w:r>
    </w:p>
    <w:p w:rsidR="00336E21" w:rsidRDefault="00336E21" w:rsidP="00336E21">
      <w:pPr>
        <w:pStyle w:val="ListBullet"/>
        <w:numPr>
          <w:ilvl w:val="0"/>
          <w:numId w:val="4"/>
        </w:numPr>
        <w:spacing w:after="100"/>
        <w:ind w:left="284" w:hanging="284"/>
        <w:rPr>
          <w:rFonts w:cstheme="minorHAnsi"/>
        </w:rPr>
      </w:pPr>
      <w:r>
        <w:rPr>
          <w:rFonts w:cstheme="minorHAnsi"/>
        </w:rPr>
        <w:t>To date, t</w:t>
      </w:r>
      <w:r w:rsidRPr="000A6888">
        <w:rPr>
          <w:rFonts w:cstheme="minorHAnsi"/>
        </w:rPr>
        <w:t xml:space="preserve">he seasonal influenza vaccines appear to be a good match for circulating </w:t>
      </w:r>
      <w:r>
        <w:rPr>
          <w:rFonts w:cstheme="minorHAnsi"/>
        </w:rPr>
        <w:t xml:space="preserve">virus </w:t>
      </w:r>
      <w:r w:rsidRPr="000A6888">
        <w:rPr>
          <w:rFonts w:cstheme="minorHAnsi"/>
        </w:rPr>
        <w:t>strains</w:t>
      </w:r>
      <w:r>
        <w:rPr>
          <w:rFonts w:cstheme="minorHAnsi"/>
        </w:rPr>
        <w:t>.</w:t>
      </w:r>
    </w:p>
    <w:p w:rsidR="00336E21" w:rsidRDefault="00B832F0" w:rsidP="00336E21">
      <w:pPr>
        <w:pStyle w:val="Heading1"/>
      </w:pPr>
      <w:r w:rsidRPr="00336E21">
        <w:t>ANALYSIS</w:t>
      </w:r>
    </w:p>
    <w:p w:rsidR="00B65539" w:rsidRPr="001C0786" w:rsidRDefault="00B65539" w:rsidP="00B65539">
      <w:pPr>
        <w:rPr>
          <w:rFonts w:cstheme="minorHAnsi"/>
          <w:sz w:val="2"/>
          <w:lang w:eastAsia="en-US"/>
        </w:rPr>
      </w:pPr>
    </w:p>
    <w:p w:rsidR="00336E21" w:rsidRPr="00301941" w:rsidRDefault="00336E21" w:rsidP="00336E21">
      <w:pPr>
        <w:pStyle w:val="Heading2"/>
        <w:spacing w:before="0"/>
      </w:pPr>
      <w:r>
        <w:t>1</w:t>
      </w:r>
      <w:r w:rsidRPr="00301941">
        <w:t>. Laboratory Confirmed Influenza Activity</w:t>
      </w:r>
    </w:p>
    <w:p w:rsidR="00B65539" w:rsidRPr="001C0786" w:rsidRDefault="00B65539" w:rsidP="00B65539">
      <w:pPr>
        <w:rPr>
          <w:rFonts w:cstheme="minorHAnsi"/>
          <w:sz w:val="2"/>
          <w:lang w:eastAsia="en-US"/>
        </w:rPr>
      </w:pPr>
    </w:p>
    <w:p w:rsidR="00336E21" w:rsidRPr="00301941" w:rsidRDefault="00336E21" w:rsidP="00336E21">
      <w:pPr>
        <w:pStyle w:val="Heading3"/>
      </w:pPr>
      <w:r w:rsidRPr="00336E21">
        <w:t>Notifications of Influenza to Health Departments</w:t>
      </w:r>
      <w:r w:rsidRPr="00301941">
        <w:t xml:space="preserve"> </w:t>
      </w:r>
    </w:p>
    <w:p w:rsidR="008E3476" w:rsidRDefault="00411AE3" w:rsidP="00336E21">
      <w:pPr>
        <w:rPr>
          <w:rFonts w:cstheme="minorHAnsi"/>
        </w:rPr>
      </w:pPr>
      <w:r>
        <w:rPr>
          <w:lang w:eastAsia="en-US"/>
        </w:rPr>
        <w:t xml:space="preserve">Notifications of laboratory confirmed influenza </w:t>
      </w:r>
      <w:r w:rsidRPr="005B5F0F">
        <w:rPr>
          <w:rFonts w:cstheme="minorHAnsi"/>
        </w:rPr>
        <w:t>reported to the National Notifiable Diseases Surveillance</w:t>
      </w:r>
      <w:r>
        <w:rPr>
          <w:rFonts w:cstheme="minorHAnsi"/>
        </w:rPr>
        <w:t xml:space="preserve"> System (NNDSS) were higher over the</w:t>
      </w:r>
      <w:r w:rsidR="00271390">
        <w:rPr>
          <w:rFonts w:cstheme="minorHAnsi"/>
        </w:rPr>
        <w:t xml:space="preserve"> 2016-17</w:t>
      </w:r>
      <w:r>
        <w:rPr>
          <w:rFonts w:cstheme="minorHAnsi"/>
        </w:rPr>
        <w:t xml:space="preserve"> inter-seasonal </w:t>
      </w:r>
      <w:proofErr w:type="gramStart"/>
      <w:r>
        <w:rPr>
          <w:rFonts w:cstheme="minorHAnsi"/>
        </w:rPr>
        <w:t>period</w:t>
      </w:r>
      <w:proofErr w:type="gramEnd"/>
      <w:r>
        <w:rPr>
          <w:rFonts w:cstheme="minorHAnsi"/>
        </w:rPr>
        <w:t xml:space="preserve"> this year when compared to previous years. Notifications received from January to March this year were 64% higher than the same period in 2016 and 148% higher than the 5 year mean for the period.</w:t>
      </w:r>
      <w:r w:rsidR="003E08DB">
        <w:rPr>
          <w:rFonts w:cstheme="minorHAnsi"/>
        </w:rPr>
        <w:t xml:space="preserve"> Notifications declined over April but increase</w:t>
      </w:r>
      <w:r w:rsidR="008E3476">
        <w:rPr>
          <w:rFonts w:cstheme="minorHAnsi"/>
        </w:rPr>
        <w:t>d</w:t>
      </w:r>
      <w:r w:rsidR="003E08DB">
        <w:rPr>
          <w:rFonts w:cstheme="minorHAnsi"/>
        </w:rPr>
        <w:t xml:space="preserve"> over </w:t>
      </w:r>
      <w:r w:rsidR="008E3476">
        <w:rPr>
          <w:rFonts w:cstheme="minorHAnsi"/>
        </w:rPr>
        <w:br/>
      </w:r>
      <w:r w:rsidR="003E08DB">
        <w:rPr>
          <w:rFonts w:cstheme="minorHAnsi"/>
        </w:rPr>
        <w:t>May</w:t>
      </w:r>
      <w:r w:rsidR="00CF7228">
        <w:rPr>
          <w:rFonts w:cstheme="minorHAnsi"/>
        </w:rPr>
        <w:t xml:space="preserve"> (</w:t>
      </w:r>
      <w:r w:rsidR="00CF7228">
        <w:rPr>
          <w:rFonts w:cstheme="minorHAnsi"/>
        </w:rPr>
        <w:fldChar w:fldCharType="begin"/>
      </w:r>
      <w:r w:rsidR="00CF7228">
        <w:rPr>
          <w:rFonts w:cstheme="minorHAnsi"/>
        </w:rPr>
        <w:instrText xml:space="preserve"> REF _Ref484694615 \h </w:instrText>
      </w:r>
      <w:r w:rsidR="00CF7228">
        <w:rPr>
          <w:rFonts w:cstheme="minorHAnsi"/>
        </w:rPr>
      </w:r>
      <w:r w:rsidR="00CF7228">
        <w:rPr>
          <w:rFonts w:cstheme="minorHAnsi"/>
        </w:rPr>
        <w:fldChar w:fldCharType="separate"/>
      </w:r>
      <w:r w:rsidR="00736EE1">
        <w:t xml:space="preserve">Figure </w:t>
      </w:r>
      <w:r w:rsidR="00736EE1">
        <w:rPr>
          <w:noProof/>
        </w:rPr>
        <w:t>1</w:t>
      </w:r>
      <w:r w:rsidR="00CF7228">
        <w:rPr>
          <w:rFonts w:cstheme="minorHAnsi"/>
        </w:rPr>
        <w:fldChar w:fldCharType="end"/>
      </w:r>
      <w:r w:rsidR="00CF7228">
        <w:rPr>
          <w:rFonts w:cstheme="minorHAnsi"/>
        </w:rPr>
        <w:t>)</w:t>
      </w:r>
      <w:r w:rsidR="003E08DB">
        <w:rPr>
          <w:rFonts w:cstheme="minorHAnsi"/>
        </w:rPr>
        <w:t>.</w:t>
      </w:r>
      <w:r w:rsidR="00271390">
        <w:rPr>
          <w:rFonts w:cstheme="minorHAnsi"/>
        </w:rPr>
        <w:t xml:space="preserve"> </w:t>
      </w:r>
      <w:r w:rsidR="00C866B3">
        <w:rPr>
          <w:rFonts w:cstheme="minorHAnsi"/>
        </w:rPr>
        <w:t xml:space="preserve">It is unlikely that </w:t>
      </w:r>
      <w:r w:rsidR="00271390">
        <w:rPr>
          <w:rFonts w:cstheme="minorHAnsi"/>
        </w:rPr>
        <w:t xml:space="preserve">the high number of notifications in the inter-seasonal period was </w:t>
      </w:r>
      <w:r w:rsidR="00C866B3">
        <w:rPr>
          <w:rFonts w:cstheme="minorHAnsi"/>
        </w:rPr>
        <w:t>entirely due to an increase in incidence</w:t>
      </w:r>
      <w:r w:rsidR="003E08DB">
        <w:rPr>
          <w:rFonts w:cstheme="minorHAnsi"/>
        </w:rPr>
        <w:t xml:space="preserve"> of influenza</w:t>
      </w:r>
      <w:r w:rsidR="00C866B3">
        <w:rPr>
          <w:rFonts w:cstheme="minorHAnsi"/>
        </w:rPr>
        <w:t xml:space="preserve"> in the community</w:t>
      </w:r>
      <w:r w:rsidR="003E08DB">
        <w:rPr>
          <w:rFonts w:cstheme="minorHAnsi"/>
        </w:rPr>
        <w:t>;</w:t>
      </w:r>
      <w:r w:rsidR="00C866B3">
        <w:rPr>
          <w:rFonts w:cstheme="minorHAnsi"/>
        </w:rPr>
        <w:t xml:space="preserve"> </w:t>
      </w:r>
      <w:r w:rsidR="003E08DB">
        <w:rPr>
          <w:rFonts w:cstheme="minorHAnsi"/>
        </w:rPr>
        <w:t xml:space="preserve">however </w:t>
      </w:r>
      <w:r w:rsidR="00C866B3">
        <w:rPr>
          <w:rFonts w:cstheme="minorHAnsi"/>
        </w:rPr>
        <w:t xml:space="preserve">the influence of </w:t>
      </w:r>
      <w:r w:rsidR="003E08DB">
        <w:rPr>
          <w:rFonts w:cstheme="minorHAnsi"/>
        </w:rPr>
        <w:t xml:space="preserve">health seeking behaviours and </w:t>
      </w:r>
      <w:r w:rsidR="00C866B3">
        <w:rPr>
          <w:rFonts w:cstheme="minorHAnsi"/>
        </w:rPr>
        <w:t xml:space="preserve">testing practices </w:t>
      </w:r>
      <w:r w:rsidR="003E08DB">
        <w:rPr>
          <w:rFonts w:cstheme="minorHAnsi"/>
        </w:rPr>
        <w:t>is unable to be quantified</w:t>
      </w:r>
      <w:r w:rsidR="00271390">
        <w:rPr>
          <w:rFonts w:cstheme="minorHAnsi"/>
        </w:rPr>
        <w:t xml:space="preserve"> and so notification data outside the context of the other National Influenza Surveillance Scheme surveillance systems must be interpreted with caution</w:t>
      </w:r>
      <w:r w:rsidR="003E08DB">
        <w:rPr>
          <w:rFonts w:cstheme="minorHAnsi"/>
        </w:rPr>
        <w:t xml:space="preserve">. </w:t>
      </w:r>
    </w:p>
    <w:p w:rsidR="00411AE3" w:rsidRDefault="009272F2" w:rsidP="004D14FB">
      <w:pPr>
        <w:pStyle w:val="ListBullet"/>
        <w:tabs>
          <w:tab w:val="clear" w:pos="720"/>
        </w:tabs>
        <w:spacing w:after="100"/>
        <w:ind w:left="0" w:firstLine="0"/>
        <w:rPr>
          <w:rFonts w:cstheme="minorHAnsi"/>
        </w:rPr>
      </w:pPr>
      <w:bookmarkStart w:id="2" w:name="_Ref454114805"/>
      <w:r>
        <w:rPr>
          <w:rFonts w:cstheme="minorHAnsi"/>
        </w:rPr>
        <w:t xml:space="preserve">For the year-to-date (YTD) to </w:t>
      </w:r>
      <w:r w:rsidR="00336E21" w:rsidRPr="00D51899">
        <w:rPr>
          <w:rFonts w:cstheme="minorHAnsi"/>
        </w:rPr>
        <w:t>26 May</w:t>
      </w:r>
      <w:r>
        <w:rPr>
          <w:rFonts w:cstheme="minorHAnsi"/>
        </w:rPr>
        <w:t>,</w:t>
      </w:r>
      <w:r w:rsidR="00336E21" w:rsidRPr="00D51899">
        <w:rPr>
          <w:rFonts w:cstheme="minorHAnsi"/>
        </w:rPr>
        <w:t xml:space="preserve"> a total of 12,772</w:t>
      </w:r>
      <w:r w:rsidR="004D14FB" w:rsidRPr="00D51899">
        <w:rPr>
          <w:rFonts w:cstheme="minorHAnsi"/>
        </w:rPr>
        <w:t xml:space="preserve"> notifications of laboratory confirmed influenza were reported to the NNDSS</w:t>
      </w:r>
      <w:r w:rsidR="00336E21" w:rsidRPr="00D51899">
        <w:rPr>
          <w:rFonts w:cstheme="minorHAnsi"/>
        </w:rPr>
        <w:t>: 4,306 in Queensland (Qld); 3,668 in NSW; 1,795</w:t>
      </w:r>
      <w:r w:rsidR="004D14FB" w:rsidRPr="00D51899">
        <w:rPr>
          <w:rFonts w:cstheme="minorHAnsi"/>
        </w:rPr>
        <w:t xml:space="preserve"> in Victoria (VIC); </w:t>
      </w:r>
      <w:r w:rsidR="00336E21" w:rsidRPr="00D51899">
        <w:rPr>
          <w:rFonts w:cstheme="minorHAnsi"/>
        </w:rPr>
        <w:t xml:space="preserve">1,557 in South Australia (SA); 637 </w:t>
      </w:r>
      <w:r w:rsidR="004D14FB" w:rsidRPr="00D51899">
        <w:rPr>
          <w:rFonts w:cstheme="minorHAnsi"/>
        </w:rPr>
        <w:t xml:space="preserve">in Western Australia (WA); </w:t>
      </w:r>
      <w:r w:rsidR="00336E21" w:rsidRPr="00D51899">
        <w:rPr>
          <w:rFonts w:cstheme="minorHAnsi"/>
        </w:rPr>
        <w:t>531</w:t>
      </w:r>
      <w:r w:rsidR="004D14FB" w:rsidRPr="00D51899">
        <w:rPr>
          <w:rFonts w:cstheme="minorHAnsi"/>
        </w:rPr>
        <w:t xml:space="preserve"> in </w:t>
      </w:r>
      <w:r w:rsidR="00336E21" w:rsidRPr="00D51899">
        <w:rPr>
          <w:rFonts w:cstheme="minorHAnsi"/>
        </w:rPr>
        <w:t>the Northern Territory (NT); 169 in Tasmania (Tas) and 109</w:t>
      </w:r>
      <w:r w:rsidR="004D14FB" w:rsidRPr="00D51899">
        <w:rPr>
          <w:rFonts w:cstheme="minorHAnsi"/>
        </w:rPr>
        <w:t xml:space="preserve"> in the Australian Capital Territory</w:t>
      </w:r>
      <w:r w:rsidR="00336E21" w:rsidRPr="00D51899">
        <w:rPr>
          <w:rFonts w:cstheme="minorHAnsi"/>
        </w:rPr>
        <w:t xml:space="preserve"> (ACT)</w:t>
      </w:r>
      <w:r w:rsidR="004D14FB" w:rsidRPr="00D51899">
        <w:rPr>
          <w:rFonts w:cstheme="minorHAnsi"/>
        </w:rPr>
        <w:t>.</w:t>
      </w:r>
    </w:p>
    <w:p w:rsidR="004D14FB" w:rsidRPr="00D51899" w:rsidRDefault="004D14FB" w:rsidP="004D14FB">
      <w:pPr>
        <w:pStyle w:val="ListBullet"/>
        <w:tabs>
          <w:tab w:val="clear" w:pos="720"/>
        </w:tabs>
        <w:spacing w:after="100"/>
        <w:ind w:left="0" w:firstLine="0"/>
        <w:rPr>
          <w:rFonts w:cstheme="minorHAnsi"/>
        </w:rPr>
      </w:pPr>
      <w:r w:rsidRPr="00D51899">
        <w:rPr>
          <w:rFonts w:cstheme="minorHAnsi"/>
        </w:rPr>
        <w:t>Notification</w:t>
      </w:r>
      <w:r w:rsidR="00271390">
        <w:rPr>
          <w:rFonts w:cstheme="minorHAnsi"/>
        </w:rPr>
        <w:t>s</w:t>
      </w:r>
      <w:r w:rsidRPr="00D51899">
        <w:rPr>
          <w:rFonts w:cstheme="minorHAnsi"/>
        </w:rPr>
        <w:t xml:space="preserve"> in individual jurisdictions have largely </w:t>
      </w:r>
      <w:r w:rsidR="00D51899" w:rsidRPr="00D51899">
        <w:rPr>
          <w:rFonts w:cstheme="minorHAnsi"/>
        </w:rPr>
        <w:t>increased in recent weeks, with the exception of the NT</w:t>
      </w:r>
      <w:r w:rsidR="00D85001">
        <w:rPr>
          <w:rFonts w:cstheme="minorHAnsi"/>
        </w:rPr>
        <w:t xml:space="preserve"> and WA</w:t>
      </w:r>
      <w:r w:rsidR="00D51899" w:rsidRPr="00D51899">
        <w:rPr>
          <w:rFonts w:cstheme="minorHAnsi"/>
        </w:rPr>
        <w:t xml:space="preserve">, </w:t>
      </w:r>
      <w:r w:rsidR="00271390">
        <w:rPr>
          <w:rFonts w:cstheme="minorHAnsi"/>
        </w:rPr>
        <w:t>where notifications</w:t>
      </w:r>
      <w:r w:rsidR="00271390" w:rsidRPr="00D51899">
        <w:rPr>
          <w:rFonts w:cstheme="minorHAnsi"/>
        </w:rPr>
        <w:t xml:space="preserve"> </w:t>
      </w:r>
      <w:r w:rsidR="00D51899" w:rsidRPr="00D51899">
        <w:rPr>
          <w:rFonts w:cstheme="minorHAnsi"/>
        </w:rPr>
        <w:t>remained relatively stable</w:t>
      </w:r>
      <w:r w:rsidRPr="00D51899">
        <w:rPr>
          <w:rFonts w:cstheme="minorHAnsi"/>
        </w:rPr>
        <w:t xml:space="preserve"> </w:t>
      </w:r>
      <w:r w:rsidR="00D85001">
        <w:rPr>
          <w:rFonts w:cstheme="minorHAnsi"/>
        </w:rPr>
        <w:t>in recent weeks</w:t>
      </w:r>
      <w:r w:rsidR="00271390">
        <w:rPr>
          <w:rFonts w:cstheme="minorHAnsi"/>
        </w:rPr>
        <w:t xml:space="preserve"> </w:t>
      </w:r>
      <w:r w:rsidRPr="00D51899">
        <w:rPr>
          <w:rFonts w:cstheme="minorHAnsi"/>
        </w:rPr>
        <w:t>(</w:t>
      </w:r>
      <w:r w:rsidR="00271390">
        <w:rPr>
          <w:rFonts w:cstheme="minorHAnsi"/>
        </w:rPr>
        <w:fldChar w:fldCharType="begin"/>
      </w:r>
      <w:r w:rsidR="00271390">
        <w:rPr>
          <w:rFonts w:cstheme="minorHAnsi"/>
        </w:rPr>
        <w:instrText xml:space="preserve"> REF _Ref484695180 \h </w:instrText>
      </w:r>
      <w:r w:rsidR="00271390">
        <w:rPr>
          <w:rFonts w:cstheme="minorHAnsi"/>
        </w:rPr>
      </w:r>
      <w:r w:rsidR="00271390">
        <w:rPr>
          <w:rFonts w:cstheme="minorHAnsi"/>
        </w:rPr>
        <w:fldChar w:fldCharType="separate"/>
      </w:r>
      <w:r w:rsidR="00736EE1">
        <w:t xml:space="preserve">Figure </w:t>
      </w:r>
      <w:r w:rsidR="00736EE1">
        <w:rPr>
          <w:noProof/>
        </w:rPr>
        <w:t>2</w:t>
      </w:r>
      <w:r w:rsidR="00271390">
        <w:rPr>
          <w:rFonts w:cstheme="minorHAnsi"/>
        </w:rPr>
        <w:fldChar w:fldCharType="end"/>
      </w:r>
      <w:r w:rsidRPr="00D51899">
        <w:rPr>
          <w:rFonts w:cstheme="minorHAnsi"/>
        </w:rPr>
        <w:t xml:space="preserve">). </w:t>
      </w:r>
    </w:p>
    <w:p w:rsidR="00B663D2" w:rsidRDefault="009272F2" w:rsidP="00B663D2">
      <w:pPr>
        <w:pStyle w:val="ListBullet"/>
        <w:tabs>
          <w:tab w:val="clear" w:pos="720"/>
        </w:tabs>
        <w:spacing w:after="100"/>
        <w:ind w:left="0" w:firstLine="0"/>
        <w:rPr>
          <w:rFonts w:cstheme="minorHAnsi"/>
        </w:rPr>
      </w:pPr>
      <w:r>
        <w:rPr>
          <w:rFonts w:cstheme="minorHAnsi"/>
        </w:rPr>
        <w:t>For the YTD</w:t>
      </w:r>
      <w:r w:rsidR="008E3476">
        <w:rPr>
          <w:rFonts w:cstheme="minorHAnsi"/>
        </w:rPr>
        <w:t xml:space="preserve"> to 26 May</w:t>
      </w:r>
      <w:r>
        <w:rPr>
          <w:rFonts w:cstheme="minorHAnsi"/>
        </w:rPr>
        <w:t xml:space="preserve">, </w:t>
      </w:r>
      <w:r w:rsidR="00D51899" w:rsidRPr="00D51899">
        <w:rPr>
          <w:rFonts w:cstheme="minorHAnsi"/>
        </w:rPr>
        <w:t>82</w:t>
      </w:r>
      <w:r w:rsidR="004D14FB" w:rsidRPr="00D51899">
        <w:rPr>
          <w:rFonts w:cstheme="minorHAnsi"/>
        </w:rPr>
        <w:t>% of notifications of laboratory confirmed influenza t</w:t>
      </w:r>
      <w:r w:rsidR="00D51899" w:rsidRPr="00D51899">
        <w:rPr>
          <w:rFonts w:cstheme="minorHAnsi"/>
        </w:rPr>
        <w:t xml:space="preserve">o the NNDSS were influenza A (70% A(unsubtyped), </w:t>
      </w:r>
      <w:r w:rsidRPr="00D51899">
        <w:rPr>
          <w:rFonts w:cstheme="minorHAnsi"/>
        </w:rPr>
        <w:t>10% influenza A(H3N2)</w:t>
      </w:r>
      <w:r>
        <w:rPr>
          <w:rFonts w:cstheme="minorHAnsi"/>
        </w:rPr>
        <w:t xml:space="preserve"> and </w:t>
      </w:r>
      <w:r w:rsidR="00D51899" w:rsidRPr="00D51899">
        <w:rPr>
          <w:rFonts w:cstheme="minorHAnsi"/>
        </w:rPr>
        <w:t>2</w:t>
      </w:r>
      <w:r w:rsidR="004D14FB" w:rsidRPr="00D51899">
        <w:rPr>
          <w:rFonts w:cstheme="minorHAnsi"/>
        </w:rPr>
        <w:t>% influenza A(H1N1)pdm09</w:t>
      </w:r>
      <w:r>
        <w:rPr>
          <w:rFonts w:cstheme="minorHAnsi"/>
        </w:rPr>
        <w:t>)</w:t>
      </w:r>
      <w:r w:rsidR="00D51899" w:rsidRPr="00D51899">
        <w:rPr>
          <w:rFonts w:cstheme="minorHAnsi"/>
        </w:rPr>
        <w:t>, 18</w:t>
      </w:r>
      <w:r w:rsidR="004D14FB" w:rsidRPr="00D51899">
        <w:rPr>
          <w:rFonts w:cstheme="minorHAnsi"/>
        </w:rPr>
        <w:t xml:space="preserve">% were influenza B and less than 1% were influenza A&amp;B co-infections or </w:t>
      </w:r>
      <w:proofErr w:type="spellStart"/>
      <w:r w:rsidR="004D14FB" w:rsidRPr="00D51899">
        <w:rPr>
          <w:rFonts w:cstheme="minorHAnsi"/>
        </w:rPr>
        <w:t>untyped</w:t>
      </w:r>
      <w:proofErr w:type="spellEnd"/>
      <w:r w:rsidR="004D14FB" w:rsidRPr="00D51899">
        <w:rPr>
          <w:rFonts w:cstheme="minorHAnsi"/>
        </w:rPr>
        <w:t xml:space="preserve"> (</w:t>
      </w:r>
      <w:r w:rsidR="001B5E8A">
        <w:rPr>
          <w:rFonts w:cstheme="minorHAnsi"/>
        </w:rPr>
        <w:fldChar w:fldCharType="begin"/>
      </w:r>
      <w:r w:rsidR="001B5E8A">
        <w:rPr>
          <w:rFonts w:cstheme="minorHAnsi"/>
        </w:rPr>
        <w:instrText xml:space="preserve"> REF _Ref484695277 \h </w:instrText>
      </w:r>
      <w:r w:rsidR="001B5E8A">
        <w:rPr>
          <w:rFonts w:cstheme="minorHAnsi"/>
        </w:rPr>
      </w:r>
      <w:r w:rsidR="001B5E8A">
        <w:rPr>
          <w:rFonts w:cstheme="minorHAnsi"/>
        </w:rPr>
        <w:fldChar w:fldCharType="separate"/>
      </w:r>
      <w:r w:rsidR="00736EE1">
        <w:t xml:space="preserve">Figure </w:t>
      </w:r>
      <w:r w:rsidR="00736EE1">
        <w:rPr>
          <w:noProof/>
        </w:rPr>
        <w:t>3</w:t>
      </w:r>
      <w:r w:rsidR="001B5E8A">
        <w:rPr>
          <w:rFonts w:cstheme="minorHAnsi"/>
        </w:rPr>
        <w:fldChar w:fldCharType="end"/>
      </w:r>
      <w:r w:rsidR="004D14FB" w:rsidRPr="00D51899">
        <w:rPr>
          <w:rFonts w:cstheme="minorHAnsi"/>
        </w:rPr>
        <w:t xml:space="preserve">). </w:t>
      </w:r>
      <w:r w:rsidR="00B663D2">
        <w:rPr>
          <w:rFonts w:cstheme="minorHAnsi"/>
        </w:rPr>
        <w:t xml:space="preserve">The overall proportion of influenza A reported by jurisdictions so far this year has been generally consistent with the national proportion, ranging from 78% in NSW to 87% in Qld. However the ratio of influenza </w:t>
      </w:r>
      <w:proofErr w:type="gramStart"/>
      <w:r w:rsidR="00B663D2">
        <w:rPr>
          <w:rFonts w:cstheme="minorHAnsi"/>
        </w:rPr>
        <w:t>A(</w:t>
      </w:r>
      <w:proofErr w:type="gramEnd"/>
      <w:r w:rsidR="00B663D2">
        <w:rPr>
          <w:rFonts w:cstheme="minorHAnsi"/>
        </w:rPr>
        <w:t>H1N1)pdm09 to influenza A(H3N2) has varied substantially</w:t>
      </w:r>
      <w:r w:rsidR="008E3476">
        <w:rPr>
          <w:rFonts w:cstheme="minorHAnsi"/>
        </w:rPr>
        <w:t xml:space="preserve"> across jurisdictions</w:t>
      </w:r>
      <w:r w:rsidR="00B663D2">
        <w:rPr>
          <w:rFonts w:cstheme="minorHAnsi"/>
        </w:rPr>
        <w:t xml:space="preserve">. Nationally, for every 1 notification of influenza </w:t>
      </w:r>
      <w:proofErr w:type="gramStart"/>
      <w:r w:rsidR="00B663D2">
        <w:rPr>
          <w:rFonts w:cstheme="minorHAnsi"/>
        </w:rPr>
        <w:t>A(</w:t>
      </w:r>
      <w:proofErr w:type="gramEnd"/>
      <w:r w:rsidR="00B663D2">
        <w:rPr>
          <w:rFonts w:cstheme="minorHAnsi"/>
        </w:rPr>
        <w:t>H1N1)pdm09 reported to the NNDSS</w:t>
      </w:r>
      <w:r w:rsidR="001B5E8A">
        <w:rPr>
          <w:rFonts w:cstheme="minorHAnsi"/>
        </w:rPr>
        <w:t xml:space="preserve"> so far this year</w:t>
      </w:r>
      <w:r w:rsidR="00B663D2">
        <w:rPr>
          <w:rFonts w:cstheme="minorHAnsi"/>
        </w:rPr>
        <w:t>, 5.1 influenza A(H3N2)</w:t>
      </w:r>
      <w:r w:rsidR="001B5E8A">
        <w:rPr>
          <w:rFonts w:cstheme="minorHAnsi"/>
        </w:rPr>
        <w:t xml:space="preserve"> notifications</w:t>
      </w:r>
      <w:r w:rsidR="00B663D2">
        <w:rPr>
          <w:rFonts w:cstheme="minorHAnsi"/>
        </w:rPr>
        <w:t xml:space="preserve"> were reported</w:t>
      </w:r>
      <w:r w:rsidR="00A75843">
        <w:rPr>
          <w:rFonts w:cstheme="minorHAnsi"/>
        </w:rPr>
        <w:t>. This ranged from a ratio of 1:0.2 in Vic to 1:1</w:t>
      </w:r>
      <w:r w:rsidR="00014C6B">
        <w:rPr>
          <w:rFonts w:cstheme="minorHAnsi"/>
        </w:rPr>
        <w:t>8.5 in NT</w:t>
      </w:r>
      <w:r w:rsidR="00A75843">
        <w:rPr>
          <w:rFonts w:cstheme="minorHAnsi"/>
        </w:rPr>
        <w:t>.</w:t>
      </w:r>
    </w:p>
    <w:p w:rsidR="00B663D2" w:rsidRDefault="001B5E8A" w:rsidP="004D14FB">
      <w:pPr>
        <w:pStyle w:val="ListBullet"/>
        <w:tabs>
          <w:tab w:val="clear" w:pos="720"/>
        </w:tabs>
        <w:spacing w:after="100"/>
        <w:ind w:left="0" w:firstLine="0"/>
        <w:rPr>
          <w:rFonts w:cstheme="minorHAnsi"/>
        </w:rPr>
      </w:pPr>
      <w:r>
        <w:rPr>
          <w:rFonts w:cstheme="minorHAnsi"/>
        </w:rPr>
        <w:t>In the last fortnight, 70</w:t>
      </w:r>
      <w:r w:rsidRPr="00D51899">
        <w:rPr>
          <w:rFonts w:cstheme="minorHAnsi"/>
        </w:rPr>
        <w:t>% of notifications of laboratory confirmed influenza to the NNDSS were influenza A (</w:t>
      </w:r>
      <w:r>
        <w:rPr>
          <w:rFonts w:cstheme="minorHAnsi"/>
        </w:rPr>
        <w:t>61</w:t>
      </w:r>
      <w:r w:rsidRPr="00D51899">
        <w:rPr>
          <w:rFonts w:cstheme="minorHAnsi"/>
        </w:rPr>
        <w:t xml:space="preserve">% </w:t>
      </w:r>
      <w:proofErr w:type="gramStart"/>
      <w:r w:rsidRPr="00D51899">
        <w:rPr>
          <w:rFonts w:cstheme="minorHAnsi"/>
        </w:rPr>
        <w:t>A(</w:t>
      </w:r>
      <w:proofErr w:type="gramEnd"/>
      <w:r w:rsidRPr="00D51899">
        <w:rPr>
          <w:rFonts w:cstheme="minorHAnsi"/>
        </w:rPr>
        <w:t xml:space="preserve">unsubtyped), </w:t>
      </w:r>
      <w:r>
        <w:rPr>
          <w:rFonts w:cstheme="minorHAnsi"/>
        </w:rPr>
        <w:t>5% influenza A</w:t>
      </w:r>
      <w:r w:rsidRPr="00D51899">
        <w:rPr>
          <w:rFonts w:cstheme="minorHAnsi"/>
        </w:rPr>
        <w:t>(H3N2)</w:t>
      </w:r>
      <w:r>
        <w:rPr>
          <w:rFonts w:cstheme="minorHAnsi"/>
        </w:rPr>
        <w:t xml:space="preserve"> and 4</w:t>
      </w:r>
      <w:r w:rsidRPr="00D51899">
        <w:rPr>
          <w:rFonts w:cstheme="minorHAnsi"/>
        </w:rPr>
        <w:t>% influenza A(H1N1)pdm09</w:t>
      </w:r>
      <w:r>
        <w:rPr>
          <w:rFonts w:cstheme="minorHAnsi"/>
        </w:rPr>
        <w:t>)</w:t>
      </w:r>
      <w:r w:rsidRPr="00D51899">
        <w:rPr>
          <w:rFonts w:cstheme="minorHAnsi"/>
        </w:rPr>
        <w:t xml:space="preserve">, </w:t>
      </w:r>
      <w:r>
        <w:rPr>
          <w:rFonts w:cstheme="minorHAnsi"/>
        </w:rPr>
        <w:t>30</w:t>
      </w:r>
      <w:r w:rsidRPr="00D51899">
        <w:rPr>
          <w:rFonts w:cstheme="minorHAnsi"/>
        </w:rPr>
        <w:t>% were influenza B and less than 1% were influenza A&amp;B co-infections</w:t>
      </w:r>
      <w:r>
        <w:rPr>
          <w:rFonts w:cstheme="minorHAnsi"/>
        </w:rPr>
        <w:t xml:space="preserve">. </w:t>
      </w:r>
      <w:r w:rsidR="00D51899" w:rsidRPr="00D51899">
        <w:rPr>
          <w:rFonts w:cstheme="minorHAnsi"/>
        </w:rPr>
        <w:t xml:space="preserve">The </w:t>
      </w:r>
      <w:r w:rsidR="009272F2">
        <w:rPr>
          <w:rFonts w:cstheme="minorHAnsi"/>
        </w:rPr>
        <w:t>number</w:t>
      </w:r>
      <w:r w:rsidR="00D51899" w:rsidRPr="00D51899">
        <w:rPr>
          <w:rFonts w:cstheme="minorHAnsi"/>
        </w:rPr>
        <w:t xml:space="preserve"> </w:t>
      </w:r>
      <w:r w:rsidR="00B663D2">
        <w:rPr>
          <w:rFonts w:cstheme="minorHAnsi"/>
        </w:rPr>
        <w:t xml:space="preserve">and proportion </w:t>
      </w:r>
      <w:r w:rsidR="00D51899" w:rsidRPr="00D51899">
        <w:rPr>
          <w:rFonts w:cstheme="minorHAnsi"/>
        </w:rPr>
        <w:t>of notifications for</w:t>
      </w:r>
      <w:r w:rsidR="009272F2">
        <w:rPr>
          <w:rFonts w:cstheme="minorHAnsi"/>
        </w:rPr>
        <w:t xml:space="preserve"> infection with influenza B has</w:t>
      </w:r>
      <w:r w:rsidR="00D51899" w:rsidRPr="00D51899">
        <w:rPr>
          <w:rFonts w:cstheme="minorHAnsi"/>
        </w:rPr>
        <w:t xml:space="preserve"> been increasing since the first week of May</w:t>
      </w:r>
      <w:r w:rsidR="00B663D2">
        <w:rPr>
          <w:rFonts w:cstheme="minorHAnsi"/>
        </w:rPr>
        <w:t xml:space="preserve"> (</w:t>
      </w:r>
      <w:r>
        <w:rPr>
          <w:rFonts w:cstheme="minorHAnsi"/>
        </w:rPr>
        <w:fldChar w:fldCharType="begin"/>
      </w:r>
      <w:r>
        <w:rPr>
          <w:rFonts w:cstheme="minorHAnsi"/>
        </w:rPr>
        <w:instrText xml:space="preserve"> REF _Ref484695431 \h </w:instrText>
      </w:r>
      <w:r>
        <w:rPr>
          <w:rFonts w:cstheme="minorHAnsi"/>
        </w:rPr>
      </w:r>
      <w:r>
        <w:rPr>
          <w:rFonts w:cstheme="minorHAnsi"/>
        </w:rPr>
        <w:fldChar w:fldCharType="separate"/>
      </w:r>
      <w:r w:rsidR="00736EE1">
        <w:t xml:space="preserve">Figure </w:t>
      </w:r>
      <w:r w:rsidR="00736EE1">
        <w:rPr>
          <w:noProof/>
        </w:rPr>
        <w:t>4</w:t>
      </w:r>
      <w:r>
        <w:rPr>
          <w:rFonts w:cstheme="minorHAnsi"/>
        </w:rPr>
        <w:fldChar w:fldCharType="end"/>
      </w:r>
      <w:r w:rsidR="00B663D2">
        <w:rPr>
          <w:rFonts w:cstheme="minorHAnsi"/>
        </w:rPr>
        <w:t>)</w:t>
      </w:r>
      <w:r w:rsidR="00D51899" w:rsidRPr="00D51899">
        <w:rPr>
          <w:rFonts w:cstheme="minorHAnsi"/>
        </w:rPr>
        <w:t xml:space="preserve">. </w:t>
      </w:r>
      <w:r w:rsidR="00B663D2">
        <w:rPr>
          <w:rFonts w:cstheme="minorHAnsi"/>
        </w:rPr>
        <w:t>This increasing trend of influenza B has been reported in a number of jurisdictions, most notably in NSW where 44% of notifications in the last fortnight were influenza B.</w:t>
      </w:r>
    </w:p>
    <w:p w:rsidR="00F154E0" w:rsidRPr="00890798" w:rsidRDefault="00F154E0" w:rsidP="00F154E0">
      <w:pPr>
        <w:pStyle w:val="ListBullet"/>
        <w:tabs>
          <w:tab w:val="clear" w:pos="720"/>
        </w:tabs>
        <w:spacing w:after="100"/>
        <w:ind w:left="0" w:firstLine="0"/>
      </w:pPr>
      <w:r w:rsidRPr="00890798">
        <w:lastRenderedPageBreak/>
        <w:t>Notification rates so far this year have generally increased with age (</w:t>
      </w:r>
      <w:r>
        <w:t>Figure 5</w:t>
      </w:r>
      <w:r w:rsidRPr="00890798">
        <w:t xml:space="preserve">). </w:t>
      </w:r>
      <w:r w:rsidR="008E3476">
        <w:t>YTD to 26 May</w:t>
      </w:r>
      <w:r w:rsidR="00A75843">
        <w:t xml:space="preserve">, the highest age-specific notification rate </w:t>
      </w:r>
      <w:r w:rsidR="00B210F1">
        <w:t xml:space="preserve">for </w:t>
      </w:r>
      <w:r w:rsidR="008E3476">
        <w:t xml:space="preserve">all </w:t>
      </w:r>
      <w:r w:rsidR="00B210F1">
        <w:t xml:space="preserve">influenza </w:t>
      </w:r>
      <w:r w:rsidR="008E3476">
        <w:t xml:space="preserve">notifications </w:t>
      </w:r>
      <w:r w:rsidR="00A75843">
        <w:t>was in</w:t>
      </w:r>
      <w:r w:rsidR="00B210F1">
        <w:t xml:space="preserve"> the elderly aged</w:t>
      </w:r>
      <w:r w:rsidR="00A75843">
        <w:t xml:space="preserve"> 85</w:t>
      </w:r>
      <w:r w:rsidR="00B210F1">
        <w:t xml:space="preserve"> </w:t>
      </w:r>
      <w:r w:rsidR="00A75843">
        <w:t>year</w:t>
      </w:r>
      <w:r w:rsidR="00B210F1">
        <w:t>s and older (</w:t>
      </w:r>
      <w:r w:rsidR="001537ED">
        <w:t>151.6</w:t>
      </w:r>
      <w:r w:rsidR="00B210F1">
        <w:t xml:space="preserve"> notifications per 100,000 </w:t>
      </w:r>
      <w:proofErr w:type="gramStart"/>
      <w:r w:rsidR="00B210F1">
        <w:t>population</w:t>
      </w:r>
      <w:proofErr w:type="gramEnd"/>
      <w:r w:rsidR="00B210F1">
        <w:t xml:space="preserve">). Influenza </w:t>
      </w:r>
      <w:proofErr w:type="gramStart"/>
      <w:r w:rsidR="00B210F1">
        <w:t>A(</w:t>
      </w:r>
      <w:proofErr w:type="gramEnd"/>
      <w:r w:rsidR="00B210F1">
        <w:t>H1N1)pdm09 was highest in children aged less than 5 years (2.7 notifications per 100,000 population), influenza A(H3N2) was highest in the elderly aged 85 years and older (23.8 per 100,000 population) and influenza B was highest in children aged 5 to 9 years (15 notifications per 100,000 population).</w:t>
      </w:r>
      <w:r w:rsidR="007F7386">
        <w:t xml:space="preserve"> </w:t>
      </w:r>
      <w:r w:rsidR="006E6BF2">
        <w:t>Increases in notifications in recent weeks have been across all age groups</w:t>
      </w:r>
      <w:r w:rsidR="007F7386">
        <w:t xml:space="preserve">, most prominently in the 5 to 17 years age group </w:t>
      </w:r>
      <w:r w:rsidRPr="00890798">
        <w:t>(</w:t>
      </w:r>
      <w:r w:rsidR="007F7386">
        <w:fldChar w:fldCharType="begin"/>
      </w:r>
      <w:r w:rsidR="007F7386">
        <w:instrText xml:space="preserve"> REF _Ref484695717 \h </w:instrText>
      </w:r>
      <w:r w:rsidR="007F7386">
        <w:fldChar w:fldCharType="separate"/>
      </w:r>
      <w:r w:rsidR="00736EE1">
        <w:t xml:space="preserve">Figure </w:t>
      </w:r>
      <w:r w:rsidR="00736EE1">
        <w:rPr>
          <w:noProof/>
        </w:rPr>
        <w:t>6</w:t>
      </w:r>
      <w:r w:rsidR="007F7386">
        <w:fldChar w:fldCharType="end"/>
      </w:r>
      <w:r w:rsidRPr="00890798">
        <w:t>).</w:t>
      </w:r>
    </w:p>
    <w:p w:rsidR="00B832F0" w:rsidRPr="002E19BB" w:rsidRDefault="003E08DB" w:rsidP="00537A32">
      <w:pPr>
        <w:pStyle w:val="Caption"/>
      </w:pPr>
      <w:bookmarkStart w:id="3" w:name="_Ref484694615"/>
      <w:proofErr w:type="gramStart"/>
      <w:r>
        <w:t xml:space="preserve">Figure </w:t>
      </w:r>
      <w:fldSimple w:instr=" SEQ Figure \* ARABIC ">
        <w:r w:rsidR="00C92578">
          <w:rPr>
            <w:noProof/>
          </w:rPr>
          <w:t>1</w:t>
        </w:r>
      </w:fldSimple>
      <w:bookmarkEnd w:id="3"/>
      <w:bookmarkEnd w:id="2"/>
      <w:r w:rsidR="00B832F0" w:rsidRPr="002E19BB">
        <w:t>.</w:t>
      </w:r>
      <w:proofErr w:type="gramEnd"/>
      <w:r w:rsidR="00B832F0" w:rsidRPr="002E19BB">
        <w:t xml:space="preserve"> Notifications of laboratory confirmed influenza, Australia, 1 January </w:t>
      </w:r>
      <w:r w:rsidR="002E19BB" w:rsidRPr="002E19BB">
        <w:t>2013</w:t>
      </w:r>
      <w:r w:rsidR="00B832F0" w:rsidRPr="002E19BB">
        <w:t xml:space="preserve"> to </w:t>
      </w:r>
      <w:r w:rsidR="002E19BB" w:rsidRPr="002E19BB">
        <w:t>26 May</w:t>
      </w:r>
      <w:r w:rsidR="00B832F0" w:rsidRPr="002E19BB">
        <w:t xml:space="preserve"> </w:t>
      </w:r>
      <w:r w:rsidR="002E19BB" w:rsidRPr="002E19BB">
        <w:t>2017</w:t>
      </w:r>
      <w:r w:rsidR="00B832F0" w:rsidRPr="002E19BB">
        <w:t>, by month and week of diagnosis.</w:t>
      </w:r>
    </w:p>
    <w:p w:rsidR="00B832F0" w:rsidRPr="00B832F0" w:rsidRDefault="002E19BB" w:rsidP="00B832F0">
      <w:pPr>
        <w:jc w:val="center"/>
        <w:rPr>
          <w:rFonts w:cs="Arial"/>
          <w:sz w:val="16"/>
          <w:szCs w:val="16"/>
          <w:highlight w:val="yellow"/>
        </w:rPr>
      </w:pPr>
      <w:r>
        <w:rPr>
          <w:rFonts w:cs="Arial"/>
          <w:noProof/>
          <w:sz w:val="16"/>
          <w:szCs w:val="16"/>
        </w:rPr>
        <w:drawing>
          <wp:inline distT="0" distB="0" distL="0" distR="0" wp14:anchorId="3BC6921B" wp14:editId="4BDFF677">
            <wp:extent cx="4770408" cy="3112609"/>
            <wp:effectExtent l="0" t="0" r="0" b="0"/>
            <wp:docPr id="15" name="Picture 15" descr="Please refer above for description and interpretation." title="Figure 1. Notifications of laboratory confirmed influenza, Australia, 1 January 2013 to 26 May 2017, by month and week of diagno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70408" cy="3112609"/>
                    </a:xfrm>
                    <a:prstGeom prst="rect">
                      <a:avLst/>
                    </a:prstGeom>
                    <a:noFill/>
                  </pic:spPr>
                </pic:pic>
              </a:graphicData>
            </a:graphic>
          </wp:inline>
        </w:drawing>
      </w:r>
    </w:p>
    <w:p w:rsidR="00B832F0" w:rsidRPr="009272F2" w:rsidRDefault="00B832F0" w:rsidP="00B832F0">
      <w:pPr>
        <w:jc w:val="right"/>
        <w:rPr>
          <w:rFonts w:cs="Arial"/>
          <w:sz w:val="20"/>
          <w:szCs w:val="16"/>
        </w:rPr>
      </w:pPr>
      <w:r w:rsidRPr="009272F2">
        <w:rPr>
          <w:rFonts w:cs="Arial"/>
          <w:sz w:val="20"/>
          <w:szCs w:val="16"/>
        </w:rPr>
        <w:t>Source: NNDSS</w:t>
      </w:r>
    </w:p>
    <w:p w:rsidR="00B832F0" w:rsidRPr="002E19BB" w:rsidRDefault="00271390" w:rsidP="00537A32">
      <w:pPr>
        <w:pStyle w:val="Caption"/>
      </w:pPr>
      <w:bookmarkStart w:id="4" w:name="_Ref484695180"/>
      <w:bookmarkStart w:id="5" w:name="_Ref454115314"/>
      <w:proofErr w:type="gramStart"/>
      <w:r>
        <w:t xml:space="preserve">Figure </w:t>
      </w:r>
      <w:fldSimple w:instr=" SEQ Figure \* ARABIC ">
        <w:r w:rsidR="00C92578">
          <w:rPr>
            <w:noProof/>
          </w:rPr>
          <w:t>2</w:t>
        </w:r>
      </w:fldSimple>
      <w:bookmarkEnd w:id="4"/>
      <w:bookmarkEnd w:id="5"/>
      <w:r w:rsidR="00B832F0" w:rsidRPr="002E19BB">
        <w:t>.</w:t>
      </w:r>
      <w:proofErr w:type="gramEnd"/>
      <w:r w:rsidR="00B832F0" w:rsidRPr="002E19BB">
        <w:t xml:space="preserve"> Notifications of laboratory confirmed influenza, </w:t>
      </w:r>
      <w:r w:rsidR="002E19BB" w:rsidRPr="002E19BB">
        <w:t>1</w:t>
      </w:r>
      <w:r w:rsidR="00B832F0" w:rsidRPr="002E19BB">
        <w:t xml:space="preserve"> January to </w:t>
      </w:r>
      <w:r w:rsidR="002E19BB" w:rsidRPr="002E19BB">
        <w:t>26 May 2017</w:t>
      </w:r>
      <w:r w:rsidR="00B832F0" w:rsidRPr="002E19BB">
        <w:t>, by state or territory and week.</w:t>
      </w:r>
    </w:p>
    <w:p w:rsidR="00B832F0" w:rsidRPr="002E19BB" w:rsidRDefault="002E19BB" w:rsidP="00B832F0">
      <w:pPr>
        <w:ind w:left="-426"/>
        <w:jc w:val="center"/>
        <w:rPr>
          <w:rFonts w:cstheme="minorHAnsi"/>
          <w:sz w:val="16"/>
          <w:szCs w:val="16"/>
        </w:rPr>
      </w:pPr>
      <w:r w:rsidRPr="002E19BB">
        <w:rPr>
          <w:rFonts w:cstheme="minorHAnsi"/>
          <w:noProof/>
          <w:sz w:val="16"/>
          <w:szCs w:val="16"/>
        </w:rPr>
        <w:drawing>
          <wp:inline distT="0" distB="0" distL="0" distR="0" wp14:anchorId="6D95C825" wp14:editId="262C2AE1">
            <wp:extent cx="6438466" cy="3864332"/>
            <wp:effectExtent l="0" t="0" r="635" b="3175"/>
            <wp:docPr id="16" name="Picture 16" descr="Please refer above for description and interpretation." title="Figure 2. Notifications of laboratory confirmed influenza, 1 January to 26 May 2017, by state or territory and we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439904" cy="3865195"/>
                    </a:xfrm>
                    <a:prstGeom prst="rect">
                      <a:avLst/>
                    </a:prstGeom>
                    <a:noFill/>
                  </pic:spPr>
                </pic:pic>
              </a:graphicData>
            </a:graphic>
          </wp:inline>
        </w:drawing>
      </w:r>
    </w:p>
    <w:p w:rsidR="00B832F0" w:rsidRPr="002E19BB" w:rsidRDefault="00B832F0" w:rsidP="00B832F0">
      <w:pPr>
        <w:pStyle w:val="FootnoteText"/>
      </w:pPr>
      <w:r w:rsidRPr="002E19BB">
        <w:t>Source: NNDSS</w:t>
      </w:r>
    </w:p>
    <w:p w:rsidR="008E3476" w:rsidRPr="00A007DB" w:rsidRDefault="008E3476" w:rsidP="00B43A9B">
      <w:bookmarkStart w:id="6" w:name="_Ref454115635"/>
    </w:p>
    <w:p w:rsidR="00A75843" w:rsidRPr="002E19BB" w:rsidRDefault="001B5E8A" w:rsidP="00537A32">
      <w:pPr>
        <w:pStyle w:val="Caption"/>
      </w:pPr>
      <w:bookmarkStart w:id="7" w:name="_Ref484695277"/>
      <w:proofErr w:type="gramStart"/>
      <w:r>
        <w:lastRenderedPageBreak/>
        <w:t xml:space="preserve">Figure </w:t>
      </w:r>
      <w:fldSimple w:instr=" SEQ Figure \* ARABIC ">
        <w:r w:rsidR="00C92578">
          <w:rPr>
            <w:noProof/>
          </w:rPr>
          <w:t>3</w:t>
        </w:r>
      </w:fldSimple>
      <w:bookmarkEnd w:id="7"/>
      <w:r>
        <w:t>.</w:t>
      </w:r>
      <w:proofErr w:type="gramEnd"/>
      <w:r>
        <w:t xml:space="preserve"> </w:t>
      </w:r>
      <w:r w:rsidR="00A75843" w:rsidRPr="002E19BB">
        <w:t>Per cent of notifications of laboratory confirmed influenza, Australia, 1 January to 26 May 2017</w:t>
      </w:r>
      <w:r w:rsidR="00A75843">
        <w:t>,</w:t>
      </w:r>
      <w:r w:rsidR="00A75843" w:rsidRPr="002E19BB">
        <w:t xml:space="preserve"> by subtype and state or territory.</w:t>
      </w:r>
    </w:p>
    <w:p w:rsidR="00A75843" w:rsidRDefault="00A75843" w:rsidP="00A75843">
      <w:pPr>
        <w:jc w:val="center"/>
      </w:pPr>
      <w:r w:rsidRPr="002E19BB">
        <w:rPr>
          <w:noProof/>
        </w:rPr>
        <w:drawing>
          <wp:inline distT="0" distB="0" distL="0" distR="0" wp14:anchorId="0775C1C0" wp14:editId="4B968537">
            <wp:extent cx="5382883" cy="3514662"/>
            <wp:effectExtent l="0" t="0" r="8890" b="0"/>
            <wp:docPr id="2" name="Picture 2" descr="Please refer above for description and interpretation." title="Figure 3. Per cent of notifications of laboratory confirmed influenza, Australia, 1 January to 26 May 2017, by subtype and state or terri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89683" cy="3519102"/>
                    </a:xfrm>
                    <a:prstGeom prst="rect">
                      <a:avLst/>
                    </a:prstGeom>
                    <a:noFill/>
                  </pic:spPr>
                </pic:pic>
              </a:graphicData>
            </a:graphic>
          </wp:inline>
        </w:drawing>
      </w:r>
    </w:p>
    <w:p w:rsidR="008E3476" w:rsidRPr="002E19BB" w:rsidRDefault="008E3476" w:rsidP="008E3476">
      <w:pPr>
        <w:pStyle w:val="FootnoteText"/>
      </w:pPr>
      <w:r w:rsidRPr="002E19BB">
        <w:t>Source: NNDSS</w:t>
      </w:r>
    </w:p>
    <w:p w:rsidR="008E3476" w:rsidRPr="002E19BB" w:rsidRDefault="008E3476" w:rsidP="00A75843">
      <w:pPr>
        <w:jc w:val="center"/>
      </w:pPr>
    </w:p>
    <w:p w:rsidR="00B832F0" w:rsidRPr="002E19BB" w:rsidRDefault="001B5E8A" w:rsidP="00537A32">
      <w:pPr>
        <w:pStyle w:val="Caption"/>
      </w:pPr>
      <w:bookmarkStart w:id="8" w:name="_Ref484695431"/>
      <w:proofErr w:type="gramStart"/>
      <w:r>
        <w:t xml:space="preserve">Figure </w:t>
      </w:r>
      <w:fldSimple w:instr=" SEQ Figure \* ARABIC ">
        <w:r w:rsidR="00C92578">
          <w:rPr>
            <w:noProof/>
          </w:rPr>
          <w:t>4</w:t>
        </w:r>
      </w:fldSimple>
      <w:bookmarkEnd w:id="8"/>
      <w:bookmarkEnd w:id="6"/>
      <w:r w:rsidR="00B832F0" w:rsidRPr="002E19BB">
        <w:t>.</w:t>
      </w:r>
      <w:proofErr w:type="gramEnd"/>
      <w:r w:rsidR="00B832F0" w:rsidRPr="002E19BB">
        <w:t xml:space="preserve"> </w:t>
      </w:r>
      <w:r w:rsidR="00B663D2">
        <w:t>Per cent</w:t>
      </w:r>
      <w:r w:rsidR="00B663D2" w:rsidRPr="002E19BB">
        <w:t xml:space="preserve"> </w:t>
      </w:r>
      <w:r w:rsidR="00B832F0" w:rsidRPr="002E19BB">
        <w:t xml:space="preserve">of laboratory confirmed influenza, Australia, </w:t>
      </w:r>
      <w:r w:rsidR="002E19BB" w:rsidRPr="002E19BB">
        <w:t>1</w:t>
      </w:r>
      <w:r w:rsidR="00B832F0" w:rsidRPr="002E19BB">
        <w:t xml:space="preserve"> January to </w:t>
      </w:r>
      <w:r w:rsidR="002E19BB" w:rsidRPr="002E19BB">
        <w:t>26 May 2017</w:t>
      </w:r>
      <w:r w:rsidR="00B832F0" w:rsidRPr="002E19BB">
        <w:t>, by subtype and week.</w:t>
      </w:r>
    </w:p>
    <w:p w:rsidR="00B832F0" w:rsidRPr="002E19BB" w:rsidRDefault="00B663D2" w:rsidP="00B832F0">
      <w:pPr>
        <w:jc w:val="center"/>
        <w:rPr>
          <w:rFonts w:cs="Arial"/>
          <w:sz w:val="16"/>
          <w:szCs w:val="16"/>
        </w:rPr>
      </w:pPr>
      <w:r>
        <w:rPr>
          <w:rFonts w:cs="Arial"/>
          <w:noProof/>
          <w:sz w:val="16"/>
          <w:szCs w:val="16"/>
        </w:rPr>
        <w:drawing>
          <wp:inline distT="0" distB="0" distL="0" distR="0" wp14:anchorId="3DEFCF14" wp14:editId="33E80A3C">
            <wp:extent cx="6150634" cy="4030597"/>
            <wp:effectExtent l="0" t="0" r="0" b="8255"/>
            <wp:docPr id="1" name="Picture 1" descr="Please refer above for description and interpretation." title="Figure 4. Per cent of laboratory confirmed influenza, Australia, 1 January to 26 May 2017, by subtype and we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52589" cy="4031878"/>
                    </a:xfrm>
                    <a:prstGeom prst="rect">
                      <a:avLst/>
                    </a:prstGeom>
                    <a:noFill/>
                  </pic:spPr>
                </pic:pic>
              </a:graphicData>
            </a:graphic>
          </wp:inline>
        </w:drawing>
      </w:r>
    </w:p>
    <w:p w:rsidR="00B832F0" w:rsidRPr="00B832F0" w:rsidRDefault="00B832F0" w:rsidP="00B832F0">
      <w:pPr>
        <w:pStyle w:val="Caption"/>
        <w:rPr>
          <w:highlight w:val="yellow"/>
        </w:rPr>
      </w:pPr>
    </w:p>
    <w:p w:rsidR="00B832F0" w:rsidRPr="002E19BB" w:rsidRDefault="00B832F0" w:rsidP="002E19BB">
      <w:pPr>
        <w:pStyle w:val="FootnoteText"/>
      </w:pPr>
      <w:r w:rsidRPr="002E19BB">
        <w:t>Source: NNDSS</w:t>
      </w:r>
    </w:p>
    <w:p w:rsidR="00B832F0" w:rsidRPr="002E19BB" w:rsidRDefault="007F7386" w:rsidP="00537A32">
      <w:pPr>
        <w:pStyle w:val="Caption"/>
      </w:pPr>
      <w:bookmarkStart w:id="9" w:name="_Ref454116581"/>
      <w:bookmarkStart w:id="10" w:name="_Ref459980389"/>
      <w:proofErr w:type="gramStart"/>
      <w:r>
        <w:lastRenderedPageBreak/>
        <w:t xml:space="preserve">Figure </w:t>
      </w:r>
      <w:fldSimple w:instr=" SEQ Figure \* ARABIC ">
        <w:r w:rsidR="00C92578">
          <w:rPr>
            <w:noProof/>
          </w:rPr>
          <w:t>5</w:t>
        </w:r>
      </w:fldSimple>
      <w:bookmarkEnd w:id="9"/>
      <w:r w:rsidR="00B832F0" w:rsidRPr="002E19BB">
        <w:t>.</w:t>
      </w:r>
      <w:proofErr w:type="gramEnd"/>
      <w:r w:rsidR="00B832F0" w:rsidRPr="002E19BB">
        <w:t xml:space="preserve"> Rate of notifications of laboratory confirmed influenza, Australia, 1 January to 2</w:t>
      </w:r>
      <w:r w:rsidR="002E19BB">
        <w:t>6 May 2017,</w:t>
      </w:r>
      <w:r w:rsidR="00B832F0" w:rsidRPr="002E19BB">
        <w:t xml:space="preserve"> by age group and subtype.</w:t>
      </w:r>
    </w:p>
    <w:p w:rsidR="00B832F0" w:rsidRPr="002E19BB" w:rsidRDefault="002E19BB" w:rsidP="00B832F0">
      <w:pPr>
        <w:jc w:val="center"/>
      </w:pPr>
      <w:r w:rsidRPr="002E19BB">
        <w:rPr>
          <w:noProof/>
        </w:rPr>
        <w:drawing>
          <wp:inline distT="0" distB="0" distL="0" distR="0" wp14:anchorId="479AACE6" wp14:editId="13E7DF3B">
            <wp:extent cx="5568284" cy="3648974"/>
            <wp:effectExtent l="0" t="0" r="0" b="8890"/>
            <wp:docPr id="19" name="Picture 19" descr="Please refer above for description and interpretation." title="Figure 5. Rate of notifications of laboratory confirmed influenza, Australia, 1 January to 26 May 2017, by age group and sub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70982" cy="3650742"/>
                    </a:xfrm>
                    <a:prstGeom prst="rect">
                      <a:avLst/>
                    </a:prstGeom>
                    <a:noFill/>
                  </pic:spPr>
                </pic:pic>
              </a:graphicData>
            </a:graphic>
          </wp:inline>
        </w:drawing>
      </w:r>
    </w:p>
    <w:p w:rsidR="00B832F0" w:rsidRPr="002E19BB" w:rsidRDefault="00B832F0" w:rsidP="00B832F0">
      <w:pPr>
        <w:pStyle w:val="FootnoteText"/>
      </w:pPr>
      <w:r w:rsidRPr="002E19BB">
        <w:t>Source: NNDSS</w:t>
      </w:r>
    </w:p>
    <w:p w:rsidR="00B832F0" w:rsidRPr="002E19BB" w:rsidRDefault="007F7386" w:rsidP="00537A32">
      <w:pPr>
        <w:pStyle w:val="Caption"/>
      </w:pPr>
      <w:bookmarkStart w:id="11" w:name="_Ref484695717"/>
      <w:bookmarkStart w:id="12" w:name="_Ref466040853"/>
      <w:proofErr w:type="gramStart"/>
      <w:r>
        <w:t xml:space="preserve">Figure </w:t>
      </w:r>
      <w:fldSimple w:instr=" SEQ Figure \* ARABIC ">
        <w:r w:rsidR="00C92578">
          <w:rPr>
            <w:noProof/>
          </w:rPr>
          <w:t>6</w:t>
        </w:r>
      </w:fldSimple>
      <w:bookmarkEnd w:id="11"/>
      <w:bookmarkEnd w:id="10"/>
      <w:bookmarkEnd w:id="12"/>
      <w:r w:rsidR="00B832F0" w:rsidRPr="002E19BB">
        <w:t>.</w:t>
      </w:r>
      <w:proofErr w:type="gramEnd"/>
      <w:r w:rsidR="00B832F0" w:rsidRPr="002E19BB">
        <w:t xml:space="preserve"> Notifications of laboratory confirmed influenza by week of diagnosis and cumul</w:t>
      </w:r>
      <w:r w:rsidR="002E19BB" w:rsidRPr="002E19BB">
        <w:t>ative year</w:t>
      </w:r>
      <w:r w:rsidR="008E3476">
        <w:t>-</w:t>
      </w:r>
      <w:r w:rsidR="002E19BB" w:rsidRPr="002E19BB">
        <w:t>to</w:t>
      </w:r>
      <w:r w:rsidR="008E3476">
        <w:t>-</w:t>
      </w:r>
      <w:r w:rsidR="002E19BB" w:rsidRPr="002E19BB">
        <w:t>date, Australia, 1</w:t>
      </w:r>
      <w:r w:rsidR="00B832F0" w:rsidRPr="002E19BB">
        <w:t xml:space="preserve"> January to </w:t>
      </w:r>
      <w:r w:rsidR="002E19BB" w:rsidRPr="002E19BB">
        <w:t>26 May 2017</w:t>
      </w:r>
      <w:r w:rsidR="00B832F0" w:rsidRPr="002E19BB">
        <w:t>, by age group and subtype.</w:t>
      </w:r>
    </w:p>
    <w:p w:rsidR="00B832F0" w:rsidRPr="00B832F0" w:rsidRDefault="002E19BB" w:rsidP="00B832F0">
      <w:pPr>
        <w:pStyle w:val="FootnoteText"/>
        <w:jc w:val="left"/>
        <w:rPr>
          <w:highlight w:val="yellow"/>
        </w:rPr>
      </w:pPr>
      <w:r>
        <w:rPr>
          <w:noProof/>
        </w:rPr>
        <w:drawing>
          <wp:inline distT="0" distB="0" distL="0" distR="0" wp14:anchorId="08D068B3" wp14:editId="3E4D5FD0">
            <wp:extent cx="6307731" cy="8143336"/>
            <wp:effectExtent l="0" t="0" r="0" b="0"/>
            <wp:docPr id="20" name="Picture 20" descr="Please refer above for description and interpretation." title="Figure 6. Notifications of laboratory confirmed influenza by week of diagnosis and cumulative year-to-date, Australia, 1 January to 26 May 2017, by age group and sub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310312" cy="8146669"/>
                    </a:xfrm>
                    <a:prstGeom prst="rect">
                      <a:avLst/>
                    </a:prstGeom>
                    <a:noFill/>
                  </pic:spPr>
                </pic:pic>
              </a:graphicData>
            </a:graphic>
          </wp:inline>
        </w:drawing>
      </w:r>
    </w:p>
    <w:p w:rsidR="00B832F0" w:rsidRPr="006B4F4B" w:rsidRDefault="00B832F0" w:rsidP="00B832F0">
      <w:pPr>
        <w:pStyle w:val="FootnoteText"/>
      </w:pPr>
      <w:r w:rsidRPr="006B4F4B">
        <w:t>Source: NNDSS</w:t>
      </w:r>
    </w:p>
    <w:p w:rsidR="00B832F0" w:rsidRPr="00B832F0" w:rsidRDefault="00B832F0" w:rsidP="00B832F0">
      <w:pPr>
        <w:jc w:val="center"/>
        <w:rPr>
          <w:highlight w:val="yellow"/>
        </w:rPr>
      </w:pPr>
    </w:p>
    <w:p w:rsidR="00B832F0" w:rsidRPr="00B832F0" w:rsidRDefault="00B832F0" w:rsidP="00B832F0">
      <w:pPr>
        <w:pStyle w:val="FootnoteText"/>
        <w:rPr>
          <w:highlight w:val="yellow"/>
        </w:rPr>
      </w:pPr>
    </w:p>
    <w:p w:rsidR="00B832F0" w:rsidRPr="00B832F0" w:rsidRDefault="00B832F0" w:rsidP="00B832F0">
      <w:pPr>
        <w:rPr>
          <w:rFonts w:cs="Arial"/>
          <w:b/>
          <w:sz w:val="28"/>
          <w:szCs w:val="28"/>
          <w:highlight w:val="yellow"/>
          <w:lang w:eastAsia="en-US"/>
        </w:rPr>
      </w:pPr>
      <w:r w:rsidRPr="00B832F0">
        <w:rPr>
          <w:highlight w:val="yellow"/>
        </w:rPr>
        <w:br w:type="page"/>
      </w:r>
    </w:p>
    <w:p w:rsidR="00AC78E2" w:rsidRPr="001C0786" w:rsidRDefault="009272F2" w:rsidP="00AC78E2">
      <w:pPr>
        <w:pStyle w:val="Heading2"/>
      </w:pPr>
      <w:r>
        <w:t>2</w:t>
      </w:r>
      <w:r w:rsidR="00AC78E2" w:rsidRPr="001C0786">
        <w:t>. Influenza-like Illness Activity</w:t>
      </w:r>
    </w:p>
    <w:p w:rsidR="00AC78E2" w:rsidRPr="001C0786" w:rsidRDefault="00AC78E2" w:rsidP="00AC78E2">
      <w:pPr>
        <w:rPr>
          <w:rFonts w:cstheme="minorHAnsi"/>
          <w:sz w:val="2"/>
          <w:lang w:eastAsia="en-US"/>
        </w:rPr>
      </w:pPr>
    </w:p>
    <w:p w:rsidR="00AC78E2" w:rsidRPr="001C0786" w:rsidRDefault="00AC78E2" w:rsidP="00AC78E2">
      <w:pPr>
        <w:pStyle w:val="Heading3"/>
      </w:pPr>
      <w:r w:rsidRPr="001C0786">
        <w:t>Community Level Surveillance</w:t>
      </w:r>
    </w:p>
    <w:p w:rsidR="00AC78E2" w:rsidRPr="001C0786" w:rsidRDefault="004D14FB" w:rsidP="00AC78E2">
      <w:pPr>
        <w:rPr>
          <w:lang w:eastAsia="en-US"/>
        </w:rPr>
      </w:pPr>
      <w:r w:rsidRPr="001C0786">
        <w:rPr>
          <w:rFonts w:cstheme="minorHAnsi"/>
        </w:rPr>
        <w:t>FluTracking, a national online system for collecting data on ILI in the community, indicated that rates of ILI among participants so far this year have been on the lower range of recent seasons (</w:t>
      </w:r>
      <w:r w:rsidR="00C92578">
        <w:rPr>
          <w:rFonts w:cstheme="minorHAnsi"/>
        </w:rPr>
        <w:fldChar w:fldCharType="begin"/>
      </w:r>
      <w:r w:rsidR="00C92578">
        <w:rPr>
          <w:rFonts w:cstheme="minorHAnsi"/>
        </w:rPr>
        <w:instrText xml:space="preserve"> REF _Ref485287382 \h </w:instrText>
      </w:r>
      <w:r w:rsidR="00C92578">
        <w:rPr>
          <w:rFonts w:cstheme="minorHAnsi"/>
        </w:rPr>
      </w:r>
      <w:r w:rsidR="00C92578">
        <w:rPr>
          <w:rFonts w:cstheme="minorHAnsi"/>
        </w:rPr>
        <w:fldChar w:fldCharType="separate"/>
      </w:r>
      <w:r w:rsidR="00C92578">
        <w:t xml:space="preserve">Figure </w:t>
      </w:r>
      <w:r w:rsidR="00C92578">
        <w:rPr>
          <w:noProof/>
        </w:rPr>
        <w:t>7</w:t>
      </w:r>
      <w:r w:rsidR="00C92578">
        <w:rPr>
          <w:rFonts w:cstheme="minorHAnsi"/>
        </w:rPr>
        <w:fldChar w:fldCharType="end"/>
      </w:r>
      <w:r w:rsidRPr="001C0786">
        <w:rPr>
          <w:rFonts w:cstheme="minorHAnsi"/>
        </w:rPr>
        <w:t>). The proportion of participants reporting fever and cough</w:t>
      </w:r>
      <w:r w:rsidR="001C0786" w:rsidRPr="001C0786">
        <w:rPr>
          <w:rFonts w:cstheme="minorHAnsi"/>
        </w:rPr>
        <w:t xml:space="preserve"> was </w:t>
      </w:r>
      <w:r w:rsidR="009272F2">
        <w:rPr>
          <w:rFonts w:cstheme="minorHAnsi"/>
        </w:rPr>
        <w:t>recorded at 1.8% in week 17, decreasing</w:t>
      </w:r>
      <w:r w:rsidR="00D51899" w:rsidRPr="001C0786">
        <w:rPr>
          <w:rFonts w:cstheme="minorHAnsi"/>
        </w:rPr>
        <w:t xml:space="preserve"> from week 20 (2</w:t>
      </w:r>
      <w:r w:rsidR="00033D08">
        <w:rPr>
          <w:rFonts w:cstheme="minorHAnsi"/>
        </w:rPr>
        <w:t>.0</w:t>
      </w:r>
      <w:r w:rsidR="00D51899" w:rsidRPr="001C0786">
        <w:rPr>
          <w:rFonts w:cstheme="minorHAnsi"/>
        </w:rPr>
        <w:t>%) to week 21 (1.7</w:t>
      </w:r>
      <w:r w:rsidRPr="001C0786">
        <w:rPr>
          <w:rFonts w:cstheme="minorHAnsi"/>
        </w:rPr>
        <w:t>%). The proportion of participants reporting fever, cough and</w:t>
      </w:r>
      <w:r w:rsidR="001C0786" w:rsidRPr="001C0786">
        <w:rPr>
          <w:rFonts w:cstheme="minorHAnsi"/>
        </w:rPr>
        <w:t xml:space="preserve"> absence from normal duties has steadily increased from 1</w:t>
      </w:r>
      <w:r w:rsidR="00033D08">
        <w:rPr>
          <w:rFonts w:cstheme="minorHAnsi"/>
        </w:rPr>
        <w:t>.0</w:t>
      </w:r>
      <w:r w:rsidR="001C0786" w:rsidRPr="001C0786">
        <w:rPr>
          <w:rFonts w:cstheme="minorHAnsi"/>
        </w:rPr>
        <w:t>% in week 17 to 1.2% in week 21. So far this year 57</w:t>
      </w:r>
      <w:r w:rsidRPr="001C0786">
        <w:rPr>
          <w:rFonts w:cstheme="minorHAnsi"/>
        </w:rPr>
        <w:t>% of all participants</w:t>
      </w:r>
      <w:r w:rsidR="001C0786" w:rsidRPr="001C0786">
        <w:rPr>
          <w:rFonts w:cstheme="minorHAnsi"/>
        </w:rPr>
        <w:t xml:space="preserve"> and 75</w:t>
      </w:r>
      <w:r w:rsidRPr="001C0786">
        <w:rPr>
          <w:rFonts w:cstheme="minorHAnsi"/>
        </w:rPr>
        <w:t xml:space="preserve">% of participants who identify as working face-to-face with patients reported receiving the seasonal influenza </w:t>
      </w:r>
      <w:r w:rsidR="00AC78E2" w:rsidRPr="001C0786">
        <w:rPr>
          <w:lang w:eastAsia="en-US"/>
        </w:rPr>
        <w:t>vaccine.</w:t>
      </w:r>
      <w:r w:rsidR="00AC78E2" w:rsidRPr="001C0786">
        <w:rPr>
          <w:rStyle w:val="EndnoteReference"/>
          <w:vertAlign w:val="superscript"/>
        </w:rPr>
        <w:endnoteReference w:id="2"/>
      </w:r>
    </w:p>
    <w:p w:rsidR="00AC78E2" w:rsidRPr="00325A39" w:rsidRDefault="00C92578" w:rsidP="00C92578">
      <w:pPr>
        <w:pStyle w:val="Caption"/>
      </w:pPr>
      <w:bookmarkStart w:id="13" w:name="_Ref485287382"/>
      <w:proofErr w:type="gramStart"/>
      <w:r>
        <w:t xml:space="preserve">Figure </w:t>
      </w:r>
      <w:r w:rsidR="00D27B8C">
        <w:fldChar w:fldCharType="begin"/>
      </w:r>
      <w:r w:rsidR="00D27B8C">
        <w:instrText xml:space="preserve"> SEQ Figure \* ARABIC </w:instrText>
      </w:r>
      <w:r w:rsidR="00D27B8C">
        <w:fldChar w:fldCharType="separate"/>
      </w:r>
      <w:r>
        <w:rPr>
          <w:noProof/>
        </w:rPr>
        <w:t>7</w:t>
      </w:r>
      <w:r w:rsidR="00D27B8C">
        <w:rPr>
          <w:noProof/>
        </w:rPr>
        <w:fldChar w:fldCharType="end"/>
      </w:r>
      <w:bookmarkEnd w:id="13"/>
      <w:r w:rsidR="00AC78E2" w:rsidRPr="00325A39">
        <w:t>.</w:t>
      </w:r>
      <w:proofErr w:type="gramEnd"/>
      <w:r w:rsidR="00AC78E2" w:rsidRPr="00325A39">
        <w:t xml:space="preserve"> </w:t>
      </w:r>
      <w:proofErr w:type="gramStart"/>
      <w:r w:rsidR="00AC78E2" w:rsidRPr="00325A39">
        <w:t>Proportion of fever and cough among FluTracking participants, Australi</w:t>
      </w:r>
      <w:r w:rsidR="00325A39" w:rsidRPr="00325A39">
        <w:t>a, between May and October, 2013</w:t>
      </w:r>
      <w:r w:rsidR="00AC78E2" w:rsidRPr="00325A39">
        <w:t xml:space="preserve"> to 201</w:t>
      </w:r>
      <w:r w:rsidR="00325A39" w:rsidRPr="00325A39">
        <w:t>7</w:t>
      </w:r>
      <w:r w:rsidR="00AC78E2" w:rsidRPr="00325A39">
        <w:t>, by month and week.</w:t>
      </w:r>
      <w:proofErr w:type="gramEnd"/>
    </w:p>
    <w:p w:rsidR="00AC78E2" w:rsidRPr="00325A39" w:rsidRDefault="00325A39" w:rsidP="00AC78E2">
      <w:pPr>
        <w:jc w:val="center"/>
        <w:rPr>
          <w:noProof/>
        </w:rPr>
      </w:pPr>
      <w:r w:rsidRPr="00325A39">
        <w:rPr>
          <w:noProof/>
        </w:rPr>
        <w:drawing>
          <wp:inline distT="0" distB="0" distL="0" distR="0" wp14:anchorId="43332E39" wp14:editId="1D810678">
            <wp:extent cx="5785308" cy="3778370"/>
            <wp:effectExtent l="0" t="0" r="6350" b="0"/>
            <wp:docPr id="21" name="Picture 21" descr="Please refer above for description and interpretation." title="Figure 7. Proportion of fever and cough among FluTracking participants, Australia, between May and October, 2013 to 2017, by month and we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92463" cy="3783043"/>
                    </a:xfrm>
                    <a:prstGeom prst="rect">
                      <a:avLst/>
                    </a:prstGeom>
                    <a:noFill/>
                  </pic:spPr>
                </pic:pic>
              </a:graphicData>
            </a:graphic>
          </wp:inline>
        </w:drawing>
      </w:r>
    </w:p>
    <w:p w:rsidR="00AC78E2" w:rsidRPr="00325A39" w:rsidRDefault="00AC78E2" w:rsidP="00AC78E2">
      <w:pPr>
        <w:jc w:val="right"/>
        <w:rPr>
          <w:rFonts w:cstheme="minorHAnsi"/>
          <w:sz w:val="16"/>
          <w:szCs w:val="16"/>
          <w:vertAlign w:val="superscript"/>
        </w:rPr>
      </w:pPr>
      <w:r w:rsidRPr="00325A39">
        <w:t>Source: FluTracking</w:t>
      </w:r>
    </w:p>
    <w:p w:rsidR="00AC78E2" w:rsidRPr="00A32DC0" w:rsidRDefault="00AC78E2" w:rsidP="00AC78E2">
      <w:pPr>
        <w:pStyle w:val="Heading3"/>
        <w:tabs>
          <w:tab w:val="left" w:pos="4933"/>
        </w:tabs>
      </w:pPr>
      <w:r w:rsidRPr="00A32DC0">
        <w:t>Sentinel General Practice Surveillance</w:t>
      </w:r>
      <w:r w:rsidRPr="00A32DC0">
        <w:tab/>
      </w:r>
    </w:p>
    <w:p w:rsidR="001C0786" w:rsidRDefault="001C0786" w:rsidP="001C0786">
      <w:pPr>
        <w:pStyle w:val="ListBullet"/>
        <w:tabs>
          <w:tab w:val="clear" w:pos="720"/>
        </w:tabs>
        <w:spacing w:after="100"/>
        <w:ind w:left="0" w:firstLine="0"/>
        <w:rPr>
          <w:rFonts w:cstheme="minorHAnsi"/>
        </w:rPr>
      </w:pPr>
      <w:r w:rsidRPr="00A32DC0">
        <w:rPr>
          <w:rFonts w:cstheme="minorHAnsi"/>
        </w:rPr>
        <w:t xml:space="preserve">The </w:t>
      </w:r>
      <w:r w:rsidR="00033D08">
        <w:rPr>
          <w:rFonts w:cstheme="minorHAnsi"/>
        </w:rPr>
        <w:t>cumulative</w:t>
      </w:r>
      <w:r w:rsidR="00033D08" w:rsidRPr="00A32DC0">
        <w:rPr>
          <w:rFonts w:cstheme="minorHAnsi"/>
        </w:rPr>
        <w:t xml:space="preserve"> </w:t>
      </w:r>
      <w:r w:rsidRPr="00A32DC0">
        <w:rPr>
          <w:rFonts w:cstheme="minorHAnsi"/>
        </w:rPr>
        <w:t>sentinel general practitioner (GP) influenza-like illness (ILI) consultation rate for the months January to March this year</w:t>
      </w:r>
      <w:r w:rsidR="00A32DC0" w:rsidRPr="00A32DC0">
        <w:rPr>
          <w:rFonts w:cstheme="minorHAnsi"/>
        </w:rPr>
        <w:t xml:space="preserve"> was 2.</w:t>
      </w:r>
      <w:r w:rsidR="00537A32">
        <w:rPr>
          <w:rFonts w:cstheme="minorHAnsi"/>
        </w:rPr>
        <w:t>3</w:t>
      </w:r>
      <w:r w:rsidRPr="00A32DC0">
        <w:rPr>
          <w:rFonts w:cstheme="minorHAnsi"/>
        </w:rPr>
        <w:t xml:space="preserve"> per 1,000 consultations. This is higher than the </w:t>
      </w:r>
      <w:r w:rsidR="00033D08">
        <w:rPr>
          <w:rFonts w:cstheme="minorHAnsi"/>
        </w:rPr>
        <w:t>cumulative</w:t>
      </w:r>
      <w:r w:rsidR="00033D08" w:rsidRPr="00A32DC0">
        <w:rPr>
          <w:rFonts w:cstheme="minorHAnsi"/>
        </w:rPr>
        <w:t xml:space="preserve"> </w:t>
      </w:r>
      <w:r w:rsidRPr="00A32DC0">
        <w:rPr>
          <w:rFonts w:cstheme="minorHAnsi"/>
        </w:rPr>
        <w:t xml:space="preserve">rate </w:t>
      </w:r>
      <w:r w:rsidRPr="008E6A4D">
        <w:rPr>
          <w:rFonts w:cstheme="minorHAnsi"/>
        </w:rPr>
        <w:t>reported for the same period in 2016 (1.</w:t>
      </w:r>
      <w:r w:rsidR="00537A32">
        <w:rPr>
          <w:rFonts w:cstheme="minorHAnsi"/>
        </w:rPr>
        <w:t>6</w:t>
      </w:r>
      <w:r w:rsidR="00537A32" w:rsidRPr="008E6A4D">
        <w:rPr>
          <w:rFonts w:cstheme="minorHAnsi"/>
        </w:rPr>
        <w:t xml:space="preserve"> </w:t>
      </w:r>
      <w:r w:rsidRPr="008E6A4D">
        <w:rPr>
          <w:rFonts w:cstheme="minorHAnsi"/>
        </w:rPr>
        <w:t>per 1,000 consultations</w:t>
      </w:r>
      <w:r w:rsidR="00537A32">
        <w:rPr>
          <w:rFonts w:cstheme="minorHAnsi"/>
        </w:rPr>
        <w:t xml:space="preserve">) but </w:t>
      </w:r>
      <w:r w:rsidR="00106FCC">
        <w:rPr>
          <w:rFonts w:cstheme="minorHAnsi"/>
        </w:rPr>
        <w:t>within the</w:t>
      </w:r>
      <w:r w:rsidR="00537A32">
        <w:rPr>
          <w:rFonts w:cstheme="minorHAnsi"/>
        </w:rPr>
        <w:t xml:space="preserve"> range of recent seasons (</w:t>
      </w:r>
      <w:r w:rsidR="00537A32">
        <w:rPr>
          <w:rFonts w:cstheme="minorHAnsi"/>
        </w:rPr>
        <w:fldChar w:fldCharType="begin"/>
      </w:r>
      <w:r w:rsidR="00537A32">
        <w:rPr>
          <w:rFonts w:cstheme="minorHAnsi"/>
        </w:rPr>
        <w:instrText xml:space="preserve"> REF _Ref484696723 \h </w:instrText>
      </w:r>
      <w:r w:rsidR="00537A32">
        <w:rPr>
          <w:rFonts w:cstheme="minorHAnsi"/>
        </w:rPr>
      </w:r>
      <w:r w:rsidR="00537A32">
        <w:rPr>
          <w:rFonts w:cstheme="minorHAnsi"/>
        </w:rPr>
        <w:fldChar w:fldCharType="separate"/>
      </w:r>
      <w:r w:rsidR="00C92578">
        <w:t xml:space="preserve">Figure </w:t>
      </w:r>
      <w:r w:rsidR="00C92578">
        <w:rPr>
          <w:noProof/>
        </w:rPr>
        <w:t>8</w:t>
      </w:r>
      <w:r w:rsidR="00537A32">
        <w:rPr>
          <w:rFonts w:cstheme="minorHAnsi"/>
        </w:rPr>
        <w:fldChar w:fldCharType="end"/>
      </w:r>
      <w:r w:rsidR="00537A32">
        <w:rPr>
          <w:rFonts w:cstheme="minorHAnsi"/>
        </w:rPr>
        <w:t>)</w:t>
      </w:r>
      <w:r w:rsidRPr="008E6A4D">
        <w:rPr>
          <w:rFonts w:cstheme="minorHAnsi"/>
        </w:rPr>
        <w:t xml:space="preserve">. </w:t>
      </w:r>
    </w:p>
    <w:p w:rsidR="00537A32" w:rsidRDefault="00AF528F" w:rsidP="00537A32">
      <w:pPr>
        <w:pStyle w:val="ListBullet"/>
        <w:tabs>
          <w:tab w:val="clear" w:pos="720"/>
        </w:tabs>
        <w:spacing w:after="100"/>
        <w:ind w:left="0" w:firstLine="0"/>
        <w:rPr>
          <w:rFonts w:cstheme="minorHAnsi"/>
        </w:rPr>
      </w:pPr>
      <w:r w:rsidRPr="00AF528F">
        <w:rPr>
          <w:rFonts w:cstheme="minorHAnsi"/>
        </w:rPr>
        <w:t xml:space="preserve">The ILI consultation rate plateaued over April and </w:t>
      </w:r>
      <w:r w:rsidR="00537A32">
        <w:rPr>
          <w:rFonts w:cstheme="minorHAnsi"/>
        </w:rPr>
        <w:t xml:space="preserve">while showing an increasing trend, </w:t>
      </w:r>
      <w:r w:rsidRPr="00AF528F">
        <w:rPr>
          <w:rFonts w:cstheme="minorHAnsi"/>
        </w:rPr>
        <w:t xml:space="preserve">remained </w:t>
      </w:r>
      <w:r w:rsidR="00537A32">
        <w:rPr>
          <w:rFonts w:cstheme="minorHAnsi"/>
        </w:rPr>
        <w:t xml:space="preserve">within the historical range during </w:t>
      </w:r>
      <w:r w:rsidRPr="00AF528F">
        <w:rPr>
          <w:rFonts w:cstheme="minorHAnsi"/>
        </w:rPr>
        <w:t>the weeks of May</w:t>
      </w:r>
      <w:r w:rsidR="00033D08" w:rsidRPr="00A32DC0">
        <w:rPr>
          <w:rFonts w:cstheme="minorHAnsi"/>
        </w:rPr>
        <w:t>.</w:t>
      </w:r>
    </w:p>
    <w:p w:rsidR="00106FCC" w:rsidRPr="0023712B" w:rsidRDefault="00106FCC" w:rsidP="00EA32DC">
      <w:pPr>
        <w:pStyle w:val="Caption"/>
        <w:rPr>
          <w:rFonts w:cstheme="minorHAnsi"/>
          <w:b w:val="0"/>
          <w:sz w:val="22"/>
          <w:szCs w:val="22"/>
        </w:rPr>
      </w:pPr>
      <w:r w:rsidRPr="0023712B">
        <w:rPr>
          <w:rFonts w:cstheme="minorHAnsi"/>
          <w:b w:val="0"/>
          <w:sz w:val="22"/>
          <w:szCs w:val="22"/>
        </w:rPr>
        <w:t xml:space="preserve">Of the </w:t>
      </w:r>
      <w:r w:rsidR="009272F2" w:rsidRPr="0023712B">
        <w:rPr>
          <w:rFonts w:cstheme="minorHAnsi"/>
          <w:b w:val="0"/>
          <w:sz w:val="22"/>
          <w:szCs w:val="22"/>
        </w:rPr>
        <w:t>215</w:t>
      </w:r>
      <w:r w:rsidRPr="0023712B">
        <w:rPr>
          <w:rFonts w:cstheme="minorHAnsi"/>
          <w:b w:val="0"/>
          <w:sz w:val="22"/>
          <w:szCs w:val="22"/>
        </w:rPr>
        <w:t xml:space="preserve"> specimens collected YTD from</w:t>
      </w:r>
      <w:r w:rsidR="00A32DC0" w:rsidRPr="0023712B">
        <w:rPr>
          <w:rFonts w:cstheme="minorHAnsi"/>
          <w:b w:val="0"/>
          <w:sz w:val="22"/>
          <w:szCs w:val="22"/>
        </w:rPr>
        <w:t xml:space="preserve"> ILI patients seen by a</w:t>
      </w:r>
      <w:r w:rsidRPr="0023712B">
        <w:rPr>
          <w:rFonts w:cstheme="minorHAnsi"/>
          <w:b w:val="0"/>
          <w:sz w:val="22"/>
          <w:szCs w:val="22"/>
        </w:rPr>
        <w:t xml:space="preserve"> sentinel </w:t>
      </w:r>
      <w:r w:rsidR="00A32DC0" w:rsidRPr="0023712B">
        <w:rPr>
          <w:rFonts w:cstheme="minorHAnsi"/>
          <w:b w:val="0"/>
          <w:sz w:val="22"/>
          <w:szCs w:val="22"/>
        </w:rPr>
        <w:t>practitioner</w:t>
      </w:r>
      <w:r w:rsidRPr="0023712B">
        <w:rPr>
          <w:rFonts w:cstheme="minorHAnsi"/>
          <w:b w:val="0"/>
          <w:sz w:val="22"/>
          <w:szCs w:val="22"/>
        </w:rPr>
        <w:t>, 38 (</w:t>
      </w:r>
      <w:r w:rsidR="008E6A4D" w:rsidRPr="0023712B">
        <w:rPr>
          <w:rFonts w:cstheme="minorHAnsi"/>
          <w:b w:val="0"/>
          <w:sz w:val="22"/>
          <w:szCs w:val="22"/>
        </w:rPr>
        <w:t>18</w:t>
      </w:r>
      <w:r w:rsidR="00A32DC0" w:rsidRPr="0023712B">
        <w:rPr>
          <w:rFonts w:cstheme="minorHAnsi"/>
          <w:b w:val="0"/>
          <w:sz w:val="22"/>
          <w:szCs w:val="22"/>
        </w:rPr>
        <w:t>%</w:t>
      </w:r>
      <w:r w:rsidRPr="0023712B">
        <w:rPr>
          <w:rFonts w:cstheme="minorHAnsi"/>
          <w:b w:val="0"/>
          <w:sz w:val="22"/>
          <w:szCs w:val="22"/>
        </w:rPr>
        <w:t>)</w:t>
      </w:r>
      <w:r w:rsidR="00A32DC0" w:rsidRPr="0023712B">
        <w:rPr>
          <w:rFonts w:cstheme="minorHAnsi"/>
          <w:b w:val="0"/>
          <w:sz w:val="22"/>
          <w:szCs w:val="22"/>
        </w:rPr>
        <w:t xml:space="preserve"> were positive for influenza</w:t>
      </w:r>
      <w:r w:rsidRPr="0023712B">
        <w:rPr>
          <w:rFonts w:cstheme="minorHAnsi"/>
          <w:b w:val="0"/>
          <w:sz w:val="22"/>
          <w:szCs w:val="22"/>
        </w:rPr>
        <w:t xml:space="preserve">, with influenza </w:t>
      </w:r>
      <w:proofErr w:type="gramStart"/>
      <w:r w:rsidRPr="0023712B">
        <w:rPr>
          <w:rFonts w:cstheme="minorHAnsi"/>
          <w:b w:val="0"/>
          <w:sz w:val="22"/>
          <w:szCs w:val="22"/>
        </w:rPr>
        <w:t>A(</w:t>
      </w:r>
      <w:proofErr w:type="gramEnd"/>
      <w:r w:rsidRPr="0023712B">
        <w:rPr>
          <w:rFonts w:cstheme="minorHAnsi"/>
          <w:b w:val="0"/>
          <w:sz w:val="22"/>
          <w:szCs w:val="22"/>
        </w:rPr>
        <w:t>H3N2) most commonly detected</w:t>
      </w:r>
      <w:r w:rsidR="00EA32DC" w:rsidRPr="00EA32DC">
        <w:rPr>
          <w:rFonts w:cstheme="minorHAnsi"/>
          <w:b w:val="0"/>
          <w:sz w:val="22"/>
          <w:szCs w:val="22"/>
        </w:rPr>
        <w:t xml:space="preserve"> (</w:t>
      </w:r>
      <w:r w:rsidR="00EA32DC" w:rsidRPr="00EA32DC">
        <w:rPr>
          <w:rFonts w:cstheme="minorHAnsi"/>
          <w:b w:val="0"/>
          <w:sz w:val="22"/>
          <w:szCs w:val="22"/>
        </w:rPr>
        <w:fldChar w:fldCharType="begin"/>
      </w:r>
      <w:r w:rsidR="00EA32DC" w:rsidRPr="00EA32DC">
        <w:rPr>
          <w:rFonts w:cstheme="minorHAnsi"/>
          <w:b w:val="0"/>
          <w:sz w:val="22"/>
          <w:szCs w:val="22"/>
        </w:rPr>
        <w:instrText xml:space="preserve"> REF _Ref485124085 \h  \* MERGEFORMAT </w:instrText>
      </w:r>
      <w:r w:rsidR="00EA32DC" w:rsidRPr="00EA32DC">
        <w:rPr>
          <w:rFonts w:cstheme="minorHAnsi"/>
          <w:b w:val="0"/>
          <w:sz w:val="22"/>
          <w:szCs w:val="22"/>
        </w:rPr>
      </w:r>
      <w:r w:rsidR="00EA32DC" w:rsidRPr="00EA32DC">
        <w:rPr>
          <w:rFonts w:cstheme="minorHAnsi"/>
          <w:b w:val="0"/>
          <w:sz w:val="22"/>
          <w:szCs w:val="22"/>
        </w:rPr>
        <w:fldChar w:fldCharType="separate"/>
      </w:r>
      <w:r w:rsidR="00C92578" w:rsidRPr="00C92578">
        <w:rPr>
          <w:b w:val="0"/>
          <w:sz w:val="22"/>
          <w:szCs w:val="22"/>
        </w:rPr>
        <w:t xml:space="preserve">Figure </w:t>
      </w:r>
      <w:r w:rsidR="00C92578" w:rsidRPr="00C92578">
        <w:rPr>
          <w:b w:val="0"/>
          <w:noProof/>
          <w:sz w:val="22"/>
          <w:szCs w:val="22"/>
        </w:rPr>
        <w:t>9</w:t>
      </w:r>
      <w:r w:rsidR="00EA32DC" w:rsidRPr="00EA32DC">
        <w:rPr>
          <w:rFonts w:cstheme="minorHAnsi"/>
          <w:b w:val="0"/>
          <w:sz w:val="22"/>
          <w:szCs w:val="22"/>
        </w:rPr>
        <w:fldChar w:fldCharType="end"/>
      </w:r>
      <w:r w:rsidR="00EA32DC" w:rsidRPr="00EA32DC">
        <w:rPr>
          <w:rFonts w:cstheme="minorHAnsi"/>
          <w:b w:val="0"/>
          <w:sz w:val="22"/>
          <w:szCs w:val="22"/>
        </w:rPr>
        <w:t>).</w:t>
      </w:r>
      <w:r w:rsidR="00EA32DC">
        <w:rPr>
          <w:rFonts w:cstheme="minorHAnsi"/>
          <w:b w:val="0"/>
          <w:sz w:val="22"/>
          <w:szCs w:val="22"/>
        </w:rPr>
        <w:t xml:space="preserve"> </w:t>
      </w:r>
      <w:r w:rsidR="00A32DC0" w:rsidRPr="0023712B">
        <w:rPr>
          <w:rFonts w:cstheme="minorHAnsi"/>
          <w:b w:val="0"/>
          <w:sz w:val="22"/>
          <w:szCs w:val="22"/>
        </w:rPr>
        <w:t xml:space="preserve">Rhinovirus was the most common non-influenza virus detected </w:t>
      </w:r>
      <w:r w:rsidR="008E6A4D" w:rsidRPr="0023712B">
        <w:rPr>
          <w:rFonts w:cstheme="minorHAnsi"/>
          <w:b w:val="0"/>
          <w:sz w:val="22"/>
          <w:szCs w:val="22"/>
        </w:rPr>
        <w:t xml:space="preserve">in the YTD, with </w:t>
      </w:r>
      <w:r w:rsidR="009272F2" w:rsidRPr="0023712B">
        <w:rPr>
          <w:rFonts w:cstheme="minorHAnsi"/>
          <w:b w:val="0"/>
          <w:sz w:val="22"/>
          <w:szCs w:val="22"/>
        </w:rPr>
        <w:t xml:space="preserve">21% of </w:t>
      </w:r>
      <w:proofErr w:type="gramStart"/>
      <w:r w:rsidR="009272F2" w:rsidRPr="0023712B">
        <w:rPr>
          <w:rFonts w:cstheme="minorHAnsi"/>
          <w:b w:val="0"/>
          <w:sz w:val="22"/>
          <w:szCs w:val="22"/>
        </w:rPr>
        <w:t>patients</w:t>
      </w:r>
      <w:proofErr w:type="gramEnd"/>
      <w:r w:rsidRPr="0023712B">
        <w:rPr>
          <w:rFonts w:cstheme="minorHAnsi"/>
          <w:b w:val="0"/>
          <w:sz w:val="22"/>
          <w:szCs w:val="22"/>
        </w:rPr>
        <w:t xml:space="preserve"> swabbed</w:t>
      </w:r>
      <w:r w:rsidR="009272F2" w:rsidRPr="0023712B">
        <w:rPr>
          <w:rFonts w:cstheme="minorHAnsi"/>
          <w:b w:val="0"/>
          <w:sz w:val="22"/>
          <w:szCs w:val="22"/>
        </w:rPr>
        <w:t xml:space="preserve"> testing</w:t>
      </w:r>
      <w:r w:rsidR="008E6A4D" w:rsidRPr="0023712B">
        <w:rPr>
          <w:rFonts w:cstheme="minorHAnsi"/>
          <w:b w:val="0"/>
          <w:sz w:val="22"/>
          <w:szCs w:val="22"/>
        </w:rPr>
        <w:t xml:space="preserve"> positive.</w:t>
      </w:r>
    </w:p>
    <w:p w:rsidR="00A32DC0" w:rsidRPr="00D23489" w:rsidRDefault="00106FCC" w:rsidP="00537A32">
      <w:pPr>
        <w:pStyle w:val="ListBullet"/>
        <w:tabs>
          <w:tab w:val="clear" w:pos="720"/>
        </w:tabs>
        <w:spacing w:after="100"/>
        <w:ind w:left="0" w:firstLine="0"/>
        <w:rPr>
          <w:rFonts w:cstheme="minorHAnsi"/>
        </w:rPr>
      </w:pPr>
      <w:r>
        <w:rPr>
          <w:rFonts w:cstheme="minorHAnsi"/>
        </w:rPr>
        <w:t>In the last fortnight, of the 29 specimens collected from ILI patients, only</w:t>
      </w:r>
      <w:r w:rsidR="008E6A4D">
        <w:rPr>
          <w:rFonts w:cstheme="minorHAnsi"/>
        </w:rPr>
        <w:t xml:space="preserve"> </w:t>
      </w:r>
      <w:r w:rsidR="00F4544D">
        <w:rPr>
          <w:rFonts w:cstheme="minorHAnsi"/>
        </w:rPr>
        <w:t>1 (3%) was positive for influenza. The most common non-influenza viruses detected in the last fortnight were RSV and rhinovirus, with 17% and 14%, respectively, of patients swabbed testing positive.</w:t>
      </w:r>
    </w:p>
    <w:p w:rsidR="00AC78E2" w:rsidRPr="00AC78E2" w:rsidRDefault="00537A32" w:rsidP="00537A32">
      <w:pPr>
        <w:pStyle w:val="Caption"/>
      </w:pPr>
      <w:bookmarkStart w:id="14" w:name="_Ref484696723"/>
      <w:proofErr w:type="gramStart"/>
      <w:r>
        <w:t xml:space="preserve">Figure </w:t>
      </w:r>
      <w:fldSimple w:instr=" SEQ Figure \* ARABIC ">
        <w:r w:rsidR="00C92578">
          <w:rPr>
            <w:noProof/>
          </w:rPr>
          <w:t>8</w:t>
        </w:r>
      </w:fldSimple>
      <w:bookmarkEnd w:id="14"/>
      <w:r w:rsidR="00AC78E2" w:rsidRPr="00AC78E2">
        <w:t>.</w:t>
      </w:r>
      <w:proofErr w:type="gramEnd"/>
      <w:r w:rsidR="00AC78E2" w:rsidRPr="00AC78E2">
        <w:t xml:space="preserve"> Unweighted rate of ILI reported from sentinel GP surveillance systems, Australia, 1 January 2013 to </w:t>
      </w:r>
      <w:r w:rsidR="00AC78E2" w:rsidRPr="00AC78E2">
        <w:br/>
      </w:r>
      <w:r w:rsidR="008E3476">
        <w:t>28</w:t>
      </w:r>
      <w:r w:rsidR="008E3476" w:rsidRPr="00AC78E2">
        <w:t xml:space="preserve"> </w:t>
      </w:r>
      <w:r w:rsidR="00AC78E2" w:rsidRPr="00AC78E2">
        <w:t>May 2017, by month and week.</w:t>
      </w:r>
    </w:p>
    <w:p w:rsidR="00AC78E2" w:rsidRPr="00AC78E2" w:rsidRDefault="00AE1BED" w:rsidP="00AC78E2">
      <w:pPr>
        <w:jc w:val="center"/>
        <w:rPr>
          <w:bCs/>
          <w:sz w:val="20"/>
          <w:highlight w:val="yellow"/>
        </w:rPr>
      </w:pPr>
      <w:r>
        <w:rPr>
          <w:bCs/>
          <w:noProof/>
          <w:sz w:val="20"/>
        </w:rPr>
        <w:drawing>
          <wp:inline distT="0" distB="0" distL="0" distR="0" wp14:anchorId="4EAD3598" wp14:editId="65EDE5E1">
            <wp:extent cx="6080915" cy="3734814"/>
            <wp:effectExtent l="0" t="0" r="0" b="0"/>
            <wp:docPr id="23" name="Picture 23" descr="Please refer above for description and interpretation." title="Figure 8. Unweighted rate of ILI reported from sentinel GP surveillance systems, Australia, 1 January 2013 t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080211" cy="3734381"/>
                    </a:xfrm>
                    <a:prstGeom prst="rect">
                      <a:avLst/>
                    </a:prstGeom>
                    <a:noFill/>
                  </pic:spPr>
                </pic:pic>
              </a:graphicData>
            </a:graphic>
          </wp:inline>
        </w:drawing>
      </w:r>
    </w:p>
    <w:p w:rsidR="00AC78E2" w:rsidRPr="00BA4FF5" w:rsidRDefault="009272F2" w:rsidP="00AC78E2">
      <w:pPr>
        <w:pStyle w:val="FootnoteText"/>
      </w:pPr>
      <w:r>
        <w:t>Source</w:t>
      </w:r>
      <w:r w:rsidR="00AC78E2" w:rsidRPr="00BA4FF5">
        <w:t xml:space="preserve">: ASPREN and VicSPIN </w:t>
      </w:r>
    </w:p>
    <w:p w:rsidR="002076A3" w:rsidRDefault="002076A3" w:rsidP="00106FCC">
      <w:pPr>
        <w:pStyle w:val="Caption"/>
      </w:pPr>
      <w:bookmarkStart w:id="15" w:name="_Ref484698952"/>
      <w:bookmarkStart w:id="16" w:name="_Ref466034980"/>
    </w:p>
    <w:p w:rsidR="00AC78E2" w:rsidRPr="00BA4FF5" w:rsidRDefault="00106FCC" w:rsidP="00106FCC">
      <w:pPr>
        <w:pStyle w:val="Caption"/>
      </w:pPr>
      <w:bookmarkStart w:id="17" w:name="_Ref485124085"/>
      <w:proofErr w:type="gramStart"/>
      <w:r>
        <w:t xml:space="preserve">Figure </w:t>
      </w:r>
      <w:fldSimple w:instr=" SEQ Figure \* ARABIC ">
        <w:r w:rsidR="00C92578">
          <w:rPr>
            <w:noProof/>
          </w:rPr>
          <w:t>9</w:t>
        </w:r>
      </w:fldSimple>
      <w:bookmarkEnd w:id="15"/>
      <w:bookmarkEnd w:id="16"/>
      <w:bookmarkEnd w:id="17"/>
      <w:r w:rsidR="00AC78E2" w:rsidRPr="00BA4FF5">
        <w:t>.</w:t>
      </w:r>
      <w:proofErr w:type="gramEnd"/>
      <w:r w:rsidR="00AC78E2" w:rsidRPr="00BA4FF5">
        <w:t xml:space="preserve"> </w:t>
      </w:r>
      <w:proofErr w:type="gramStart"/>
      <w:r w:rsidR="00AC78E2" w:rsidRPr="00BA4FF5">
        <w:t xml:space="preserve">Proportion of respiratory viral tests positive for influenza in ASPREN ILI patients and ASPREN ILI consultation rate, Australia, </w:t>
      </w:r>
      <w:r w:rsidR="00E254FF" w:rsidRPr="00BA4FF5">
        <w:t>1</w:t>
      </w:r>
      <w:r w:rsidR="00AC78E2" w:rsidRPr="00BA4FF5">
        <w:t xml:space="preserve"> January to </w:t>
      </w:r>
      <w:r w:rsidR="008E3476">
        <w:t>28</w:t>
      </w:r>
      <w:r w:rsidR="008E3476" w:rsidRPr="00BA4FF5">
        <w:t xml:space="preserve"> </w:t>
      </w:r>
      <w:r w:rsidR="00E254FF" w:rsidRPr="00BA4FF5">
        <w:t>May</w:t>
      </w:r>
      <w:r w:rsidR="00AC78E2" w:rsidRPr="00BA4FF5">
        <w:t xml:space="preserve"> </w:t>
      </w:r>
      <w:r w:rsidR="00E254FF" w:rsidRPr="00BA4FF5">
        <w:t>2017</w:t>
      </w:r>
      <w:r w:rsidR="00AC78E2" w:rsidRPr="00BA4FF5">
        <w:t>, by month and week.</w:t>
      </w:r>
      <w:proofErr w:type="gramEnd"/>
    </w:p>
    <w:p w:rsidR="00AC78E2" w:rsidRPr="00AC78E2" w:rsidRDefault="00106FCC" w:rsidP="00AC78E2">
      <w:pPr>
        <w:jc w:val="center"/>
        <w:rPr>
          <w:bCs/>
          <w:sz w:val="20"/>
          <w:highlight w:val="yellow"/>
        </w:rPr>
      </w:pPr>
      <w:r>
        <w:rPr>
          <w:bCs/>
          <w:noProof/>
          <w:sz w:val="20"/>
        </w:rPr>
        <w:drawing>
          <wp:inline distT="0" distB="0" distL="0" distR="0" wp14:anchorId="64B5942E" wp14:editId="250292A9">
            <wp:extent cx="6133382" cy="4001927"/>
            <wp:effectExtent l="0" t="0" r="1270" b="0"/>
            <wp:docPr id="4" name="Picture 4" descr="Please refer above for description and interpretation." title="Figure 9. Proportion of respiratory viral tests positive for influenza in ASPREN ILI patients and ASPREN ILI consultation rate, Australia, 1 January to 28 May 2017, by month and we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50417" cy="4013042"/>
                    </a:xfrm>
                    <a:prstGeom prst="rect">
                      <a:avLst/>
                    </a:prstGeom>
                    <a:noFill/>
                  </pic:spPr>
                </pic:pic>
              </a:graphicData>
            </a:graphic>
          </wp:inline>
        </w:drawing>
      </w:r>
    </w:p>
    <w:p w:rsidR="00AC78E2" w:rsidRPr="00BA4FF5" w:rsidRDefault="009272F2" w:rsidP="00AC78E2">
      <w:pPr>
        <w:pStyle w:val="FootnoteText"/>
      </w:pPr>
      <w:r>
        <w:t>Source</w:t>
      </w:r>
      <w:r w:rsidR="00AC78E2" w:rsidRPr="00BA4FF5">
        <w:t>: ASPREN</w:t>
      </w:r>
    </w:p>
    <w:p w:rsidR="00F4544D" w:rsidRDefault="00F4544D">
      <w:pPr>
        <w:rPr>
          <w:rFonts w:cs="Arial"/>
          <w:b/>
          <w:sz w:val="28"/>
          <w:szCs w:val="28"/>
          <w:lang w:eastAsia="en-US"/>
        </w:rPr>
      </w:pPr>
      <w:r>
        <w:br w:type="page"/>
      </w:r>
    </w:p>
    <w:p w:rsidR="00AC78E2" w:rsidRPr="00BB198D" w:rsidRDefault="009272F2" w:rsidP="00AC78E2">
      <w:pPr>
        <w:pStyle w:val="Heading2"/>
      </w:pPr>
      <w:r>
        <w:t>3</w:t>
      </w:r>
      <w:r w:rsidR="00AC78E2" w:rsidRPr="00BB198D">
        <w:t>. Hospitalisations</w:t>
      </w:r>
    </w:p>
    <w:p w:rsidR="00AC78E2" w:rsidRPr="00BB198D" w:rsidRDefault="00AC78E2" w:rsidP="00AC78E2">
      <w:pPr>
        <w:rPr>
          <w:rFonts w:cstheme="minorHAnsi"/>
          <w:sz w:val="2"/>
          <w:lang w:eastAsia="en-US"/>
        </w:rPr>
      </w:pPr>
    </w:p>
    <w:p w:rsidR="00AC78E2" w:rsidRPr="00BB198D" w:rsidRDefault="00AC78E2" w:rsidP="00AC78E2">
      <w:pPr>
        <w:pStyle w:val="Heading3"/>
      </w:pPr>
      <w:r w:rsidRPr="00BB198D">
        <w:t>Sentinel Hospital Surveillance</w:t>
      </w:r>
    </w:p>
    <w:p w:rsidR="00AC78E2" w:rsidRPr="00BB198D" w:rsidRDefault="00AC78E2" w:rsidP="00AC78E2">
      <w:pPr>
        <w:pStyle w:val="ListBullet"/>
        <w:tabs>
          <w:tab w:val="clear" w:pos="720"/>
        </w:tabs>
        <w:spacing w:after="100"/>
        <w:ind w:left="0" w:firstLine="0"/>
        <w:rPr>
          <w:rFonts w:cstheme="minorHAnsi"/>
        </w:rPr>
      </w:pPr>
      <w:r w:rsidRPr="00BB198D">
        <w:rPr>
          <w:rFonts w:cstheme="minorHAnsi"/>
        </w:rPr>
        <w:t>Since seasonal surveillance commenced through the Influenza Complications Alert Network (FluCAN) sentinel h</w:t>
      </w:r>
      <w:r w:rsidR="00BB198D" w:rsidRPr="00BB198D">
        <w:rPr>
          <w:rFonts w:cstheme="minorHAnsi"/>
        </w:rPr>
        <w:t>ospital surveillance system on 3</w:t>
      </w:r>
      <w:r w:rsidR="009272F2">
        <w:rPr>
          <w:rFonts w:cstheme="minorHAnsi"/>
        </w:rPr>
        <w:t xml:space="preserve"> April 2017</w:t>
      </w:r>
      <w:r w:rsidRPr="00BB198D">
        <w:rPr>
          <w:rFonts w:cstheme="minorHAnsi"/>
        </w:rPr>
        <w:t xml:space="preserve">, a total of </w:t>
      </w:r>
      <w:r w:rsidR="00170AB0">
        <w:rPr>
          <w:rFonts w:cstheme="minorHAnsi"/>
        </w:rPr>
        <w:t>99</w:t>
      </w:r>
      <w:r w:rsidR="00170AB0" w:rsidRPr="00BB198D">
        <w:rPr>
          <w:rFonts w:cstheme="minorHAnsi"/>
        </w:rPr>
        <w:t xml:space="preserve"> </w:t>
      </w:r>
      <w:r w:rsidRPr="00BB198D">
        <w:rPr>
          <w:rFonts w:cstheme="minorHAnsi"/>
        </w:rPr>
        <w:t>people have been admitted with confirmed influenza</w:t>
      </w:r>
      <w:r w:rsidR="009272F2">
        <w:rPr>
          <w:rFonts w:cstheme="minorHAnsi"/>
        </w:rPr>
        <w:t xml:space="preserve"> (</w:t>
      </w:r>
      <w:r w:rsidR="00170AB0">
        <w:rPr>
          <w:rFonts w:cstheme="minorHAnsi"/>
        </w:rPr>
        <w:fldChar w:fldCharType="begin"/>
      </w:r>
      <w:r w:rsidR="00170AB0">
        <w:rPr>
          <w:rFonts w:cstheme="minorHAnsi"/>
        </w:rPr>
        <w:instrText xml:space="preserve"> REF _Ref484703291 \h </w:instrText>
      </w:r>
      <w:r w:rsidR="00170AB0">
        <w:rPr>
          <w:rFonts w:cstheme="minorHAnsi"/>
        </w:rPr>
      </w:r>
      <w:r w:rsidR="00170AB0">
        <w:rPr>
          <w:rFonts w:cstheme="minorHAnsi"/>
        </w:rPr>
        <w:fldChar w:fldCharType="separate"/>
      </w:r>
      <w:r w:rsidR="00C92578">
        <w:t xml:space="preserve">Figure </w:t>
      </w:r>
      <w:r w:rsidR="00C92578">
        <w:rPr>
          <w:noProof/>
        </w:rPr>
        <w:t>10</w:t>
      </w:r>
      <w:r w:rsidR="00170AB0">
        <w:rPr>
          <w:rFonts w:cstheme="minorHAnsi"/>
        </w:rPr>
        <w:fldChar w:fldCharType="end"/>
      </w:r>
      <w:r w:rsidR="009272F2">
        <w:rPr>
          <w:rFonts w:cstheme="minorHAnsi"/>
        </w:rPr>
        <w:t>)</w:t>
      </w:r>
      <w:r w:rsidRPr="00BB198D">
        <w:rPr>
          <w:rFonts w:cstheme="minorHAnsi"/>
        </w:rPr>
        <w:t xml:space="preserve">. </w:t>
      </w:r>
      <w:r w:rsidR="00BB198D" w:rsidRPr="00BB198D">
        <w:rPr>
          <w:rFonts w:cstheme="minorHAnsi"/>
        </w:rPr>
        <w:t>Of all</w:t>
      </w:r>
      <w:r w:rsidRPr="00BB198D">
        <w:rPr>
          <w:rFonts w:cstheme="minorHAnsi"/>
        </w:rPr>
        <w:t xml:space="preserve"> admissions, </w:t>
      </w:r>
      <w:r w:rsidR="00170AB0">
        <w:rPr>
          <w:rFonts w:cstheme="minorHAnsi"/>
        </w:rPr>
        <w:t>21</w:t>
      </w:r>
      <w:r w:rsidR="00170AB0" w:rsidRPr="00BB198D">
        <w:rPr>
          <w:rFonts w:cstheme="minorHAnsi"/>
        </w:rPr>
        <w:t xml:space="preserve"> </w:t>
      </w:r>
      <w:r w:rsidRPr="00BB198D">
        <w:rPr>
          <w:rFonts w:cstheme="minorHAnsi"/>
        </w:rPr>
        <w:t>(</w:t>
      </w:r>
      <w:r w:rsidR="00BB198D" w:rsidRPr="00BB198D">
        <w:rPr>
          <w:rFonts w:cstheme="minorHAnsi"/>
        </w:rPr>
        <w:t>21</w:t>
      </w:r>
      <w:r w:rsidRPr="00BB198D">
        <w:rPr>
          <w:rFonts w:cstheme="minorHAnsi"/>
        </w:rPr>
        <w:t>%) were children aged less than 1</w:t>
      </w:r>
      <w:r w:rsidR="00BB198D" w:rsidRPr="00BB198D">
        <w:rPr>
          <w:rFonts w:cstheme="minorHAnsi"/>
        </w:rPr>
        <w:t>6</w:t>
      </w:r>
      <w:r w:rsidRPr="00BB198D">
        <w:rPr>
          <w:rFonts w:cstheme="minorHAnsi"/>
        </w:rPr>
        <w:t xml:space="preserve"> years and </w:t>
      </w:r>
      <w:r w:rsidR="00170AB0">
        <w:rPr>
          <w:rFonts w:cstheme="minorHAnsi"/>
        </w:rPr>
        <w:t>46</w:t>
      </w:r>
      <w:r w:rsidR="00170AB0" w:rsidRPr="00BB198D">
        <w:rPr>
          <w:rFonts w:cstheme="minorHAnsi"/>
        </w:rPr>
        <w:t xml:space="preserve"> </w:t>
      </w:r>
      <w:r w:rsidRPr="00BB198D">
        <w:rPr>
          <w:rFonts w:cstheme="minorHAnsi"/>
        </w:rPr>
        <w:t>(</w:t>
      </w:r>
      <w:r w:rsidR="00170AB0">
        <w:rPr>
          <w:rFonts w:cstheme="minorHAnsi"/>
        </w:rPr>
        <w:t>46</w:t>
      </w:r>
      <w:r w:rsidRPr="00BB198D">
        <w:rPr>
          <w:rFonts w:cstheme="minorHAnsi"/>
        </w:rPr>
        <w:t xml:space="preserve">%) were adults aged 65 years or older. </w:t>
      </w:r>
    </w:p>
    <w:p w:rsidR="00AC78E2" w:rsidRPr="00BB198D" w:rsidRDefault="00AC78E2" w:rsidP="00AC78E2">
      <w:pPr>
        <w:pStyle w:val="ListBullet"/>
        <w:tabs>
          <w:tab w:val="clear" w:pos="720"/>
        </w:tabs>
        <w:spacing w:after="100"/>
        <w:ind w:left="0" w:firstLine="0"/>
        <w:rPr>
          <w:rFonts w:cstheme="minorHAnsi"/>
        </w:rPr>
      </w:pPr>
      <w:r w:rsidRPr="00BB198D">
        <w:rPr>
          <w:rFonts w:cstheme="minorHAnsi"/>
        </w:rPr>
        <w:t xml:space="preserve">Approximately </w:t>
      </w:r>
      <w:r w:rsidR="00170AB0">
        <w:rPr>
          <w:rFonts w:cstheme="minorHAnsi"/>
        </w:rPr>
        <w:t>5</w:t>
      </w:r>
      <w:r w:rsidRPr="00BB198D">
        <w:rPr>
          <w:rFonts w:cstheme="minorHAnsi"/>
          <w:color w:val="000000" w:themeColor="text1"/>
        </w:rPr>
        <w:t xml:space="preserve">% </w:t>
      </w:r>
      <w:r w:rsidRPr="00BB198D">
        <w:rPr>
          <w:rFonts w:cstheme="minorHAnsi"/>
        </w:rPr>
        <w:t xml:space="preserve">of influenza patients have been admitted directly to the Intensive Care Unit (ICU); </w:t>
      </w:r>
      <w:r w:rsidR="00BB198D" w:rsidRPr="00BB198D">
        <w:rPr>
          <w:rFonts w:cstheme="minorHAnsi"/>
        </w:rPr>
        <w:t>all due to infection with influenza A</w:t>
      </w:r>
      <w:r w:rsidR="009272F2">
        <w:rPr>
          <w:rFonts w:cstheme="minorHAnsi"/>
        </w:rPr>
        <w:t xml:space="preserve"> (</w:t>
      </w:r>
      <w:r w:rsidR="00170AB0">
        <w:rPr>
          <w:rFonts w:cstheme="minorHAnsi"/>
        </w:rPr>
        <w:fldChar w:fldCharType="begin"/>
      </w:r>
      <w:r w:rsidR="00170AB0">
        <w:rPr>
          <w:rFonts w:cstheme="minorHAnsi"/>
        </w:rPr>
        <w:instrText xml:space="preserve"> REF _Ref484703304 \h </w:instrText>
      </w:r>
      <w:r w:rsidR="00170AB0">
        <w:rPr>
          <w:rFonts w:cstheme="minorHAnsi"/>
        </w:rPr>
      </w:r>
      <w:r w:rsidR="00170AB0">
        <w:rPr>
          <w:rFonts w:cstheme="minorHAnsi"/>
        </w:rPr>
        <w:fldChar w:fldCharType="separate"/>
      </w:r>
      <w:r w:rsidR="00C92578">
        <w:t xml:space="preserve">Figure </w:t>
      </w:r>
      <w:r w:rsidR="00C92578">
        <w:rPr>
          <w:noProof/>
        </w:rPr>
        <w:t>11</w:t>
      </w:r>
      <w:r w:rsidR="00170AB0">
        <w:rPr>
          <w:rFonts w:cstheme="minorHAnsi"/>
        </w:rPr>
        <w:fldChar w:fldCharType="end"/>
      </w:r>
      <w:r w:rsidR="009272F2">
        <w:rPr>
          <w:rFonts w:cstheme="minorHAnsi"/>
        </w:rPr>
        <w:t>)</w:t>
      </w:r>
      <w:r w:rsidR="00BB198D" w:rsidRPr="00BB198D">
        <w:rPr>
          <w:rFonts w:cstheme="minorHAnsi"/>
        </w:rPr>
        <w:t>.</w:t>
      </w:r>
      <w:r w:rsidRPr="00BB198D">
        <w:rPr>
          <w:rFonts w:cstheme="minorHAnsi"/>
        </w:rPr>
        <w:t xml:space="preserve"> </w:t>
      </w:r>
      <w:r w:rsidR="00BB198D" w:rsidRPr="00BB198D">
        <w:rPr>
          <w:rFonts w:cstheme="minorHAnsi"/>
        </w:rPr>
        <w:t xml:space="preserve">Infection with influenza B accounted for </w:t>
      </w:r>
      <w:r w:rsidR="00170AB0" w:rsidRPr="00BB198D">
        <w:rPr>
          <w:rFonts w:cstheme="minorHAnsi"/>
        </w:rPr>
        <w:t>2</w:t>
      </w:r>
      <w:r w:rsidR="00170AB0">
        <w:rPr>
          <w:rFonts w:cstheme="minorHAnsi"/>
        </w:rPr>
        <w:t>4</w:t>
      </w:r>
      <w:r w:rsidR="00BB198D" w:rsidRPr="00BB198D">
        <w:rPr>
          <w:rFonts w:cstheme="minorHAnsi"/>
        </w:rPr>
        <w:t xml:space="preserve">% of all total admissions, </w:t>
      </w:r>
      <w:r w:rsidR="00BB198D" w:rsidRPr="00A007DB">
        <w:rPr>
          <w:rFonts w:cstheme="minorHAnsi"/>
        </w:rPr>
        <w:t xml:space="preserve">which is consistent with </w:t>
      </w:r>
      <w:r w:rsidR="009272F2" w:rsidRPr="00B67BDD">
        <w:rPr>
          <w:rFonts w:cstheme="minorHAnsi"/>
        </w:rPr>
        <w:t xml:space="preserve">the proportion of </w:t>
      </w:r>
      <w:r w:rsidR="00BB198D" w:rsidRPr="00B67BDD">
        <w:rPr>
          <w:rFonts w:cstheme="minorHAnsi"/>
        </w:rPr>
        <w:t xml:space="preserve">notifications for influenza B seen </w:t>
      </w:r>
      <w:r w:rsidR="00B67BDD">
        <w:rPr>
          <w:rFonts w:cstheme="minorHAnsi"/>
        </w:rPr>
        <w:t>notifications to the NNDSS over the same period</w:t>
      </w:r>
      <w:r w:rsidR="00BB198D" w:rsidRPr="00A007DB">
        <w:rPr>
          <w:rFonts w:cstheme="minorHAnsi"/>
        </w:rPr>
        <w:t>.</w:t>
      </w:r>
      <w:r w:rsidR="00BB198D" w:rsidRPr="00BB198D">
        <w:rPr>
          <w:rFonts w:cstheme="minorHAnsi"/>
        </w:rPr>
        <w:t xml:space="preserve"> </w:t>
      </w:r>
    </w:p>
    <w:p w:rsidR="00AC78E2" w:rsidRPr="00BB198D" w:rsidRDefault="00AC78E2" w:rsidP="00AC78E2">
      <w:pPr>
        <w:pStyle w:val="ListBullet"/>
        <w:tabs>
          <w:tab w:val="clear" w:pos="720"/>
        </w:tabs>
        <w:spacing w:after="100"/>
        <w:ind w:left="0" w:firstLine="0"/>
        <w:rPr>
          <w:rFonts w:cstheme="minorHAnsi"/>
        </w:rPr>
      </w:pPr>
      <w:r w:rsidRPr="00BB198D">
        <w:rPr>
          <w:rFonts w:cstheme="minorHAnsi"/>
        </w:rPr>
        <w:t xml:space="preserve">Overall, </w:t>
      </w:r>
      <w:r w:rsidR="00170AB0" w:rsidRPr="00BB198D">
        <w:rPr>
          <w:rFonts w:cstheme="minorHAnsi"/>
        </w:rPr>
        <w:t>7</w:t>
      </w:r>
      <w:r w:rsidR="00170AB0">
        <w:rPr>
          <w:rFonts w:cstheme="minorHAnsi"/>
        </w:rPr>
        <w:t>6</w:t>
      </w:r>
      <w:r w:rsidR="00BB198D" w:rsidRPr="00BB198D">
        <w:rPr>
          <w:rFonts w:cstheme="minorHAnsi"/>
        </w:rPr>
        <w:t>%</w:t>
      </w:r>
      <w:r w:rsidRPr="00BB198D">
        <w:rPr>
          <w:rFonts w:cstheme="minorHAnsi"/>
        </w:rPr>
        <w:t xml:space="preserve"> of patients were reported with significant risk factors, with the presence of risk factors increasing with age.</w:t>
      </w:r>
    </w:p>
    <w:p w:rsidR="00AC78E2" w:rsidRPr="004C3947" w:rsidRDefault="00170AB0" w:rsidP="00170AB0">
      <w:pPr>
        <w:pStyle w:val="Caption"/>
        <w:rPr>
          <w:b w:val="0"/>
          <w:bCs w:val="0"/>
        </w:rPr>
      </w:pPr>
      <w:bookmarkStart w:id="18" w:name="_Ref484703291"/>
      <w:bookmarkStart w:id="19" w:name="_Ref466280705"/>
      <w:proofErr w:type="gramStart"/>
      <w:r>
        <w:t xml:space="preserve">Figure </w:t>
      </w:r>
      <w:fldSimple w:instr=" SEQ Figure \* ARABIC ">
        <w:r w:rsidR="00C92578">
          <w:rPr>
            <w:noProof/>
          </w:rPr>
          <w:t>10</w:t>
        </w:r>
      </w:fldSimple>
      <w:bookmarkEnd w:id="18"/>
      <w:bookmarkEnd w:id="19"/>
      <w:r w:rsidR="00AC78E2" w:rsidRPr="004C3947">
        <w:t>.</w:t>
      </w:r>
      <w:proofErr w:type="gramEnd"/>
      <w:r w:rsidR="00AC78E2" w:rsidRPr="004C3947">
        <w:t xml:space="preserve"> Number of influenza hospital</w:t>
      </w:r>
      <w:r w:rsidR="00A32DC0" w:rsidRPr="004C3947">
        <w:t xml:space="preserve">isations at sentinel hospitals, </w:t>
      </w:r>
      <w:r w:rsidR="004C3947" w:rsidRPr="004C3947">
        <w:t>between March and October</w:t>
      </w:r>
      <w:r w:rsidR="00AC78E2" w:rsidRPr="004C3947">
        <w:t>,</w:t>
      </w:r>
      <w:r w:rsidR="004C3947" w:rsidRPr="004C3947">
        <w:t xml:space="preserve"> 2013 to 2017</w:t>
      </w:r>
      <w:r w:rsidR="00AC78E2" w:rsidRPr="004C3947">
        <w:t xml:space="preserve"> by month and </w:t>
      </w:r>
      <w:proofErr w:type="gramStart"/>
      <w:r w:rsidR="00AC78E2" w:rsidRPr="004C3947">
        <w:t>week</w:t>
      </w:r>
      <w:r w:rsidR="00A32DC0" w:rsidRPr="004C3947">
        <w:t xml:space="preserve"> </w:t>
      </w:r>
      <w:r w:rsidR="00BF6EC4">
        <w:t>.</w:t>
      </w:r>
      <w:proofErr w:type="gramEnd"/>
    </w:p>
    <w:p w:rsidR="00AC78E2" w:rsidRPr="00AC78E2" w:rsidRDefault="00170AB0" w:rsidP="00AC78E2">
      <w:pPr>
        <w:jc w:val="center"/>
        <w:rPr>
          <w:rFonts w:cstheme="minorHAnsi"/>
          <w:highlight w:val="yellow"/>
        </w:rPr>
      </w:pPr>
      <w:r>
        <w:rPr>
          <w:rFonts w:cstheme="minorHAnsi"/>
          <w:noProof/>
        </w:rPr>
        <w:drawing>
          <wp:inline distT="0" distB="0" distL="0" distR="0" wp14:anchorId="318B9AE0" wp14:editId="53C158F1">
            <wp:extent cx="6047117" cy="3949794"/>
            <wp:effectExtent l="0" t="0" r="0" b="0"/>
            <wp:docPr id="5" name="Picture 5" descr="Please refer above for description and interpretation." title="Figure 10. Number of influenza hospitalisations at sentinel hospitals, between March and October, 2013 to 2017 by month and week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50049" cy="3951709"/>
                    </a:xfrm>
                    <a:prstGeom prst="rect">
                      <a:avLst/>
                    </a:prstGeom>
                    <a:noFill/>
                  </pic:spPr>
                </pic:pic>
              </a:graphicData>
            </a:graphic>
          </wp:inline>
        </w:drawing>
      </w:r>
    </w:p>
    <w:p w:rsidR="00AC78E2" w:rsidRDefault="00AC78E2" w:rsidP="00AC78E2">
      <w:pPr>
        <w:pStyle w:val="FootnoteText"/>
      </w:pPr>
      <w:r w:rsidRPr="006B4F4B">
        <w:t>Source: FluCAN</w:t>
      </w:r>
    </w:p>
    <w:p w:rsidR="004C3947" w:rsidRPr="009272F2" w:rsidRDefault="00170AB0" w:rsidP="00170AB0">
      <w:pPr>
        <w:pStyle w:val="Caption"/>
        <w:rPr>
          <w:b w:val="0"/>
          <w:bCs w:val="0"/>
        </w:rPr>
      </w:pPr>
      <w:bookmarkStart w:id="20" w:name="_Ref484703304"/>
      <w:proofErr w:type="gramStart"/>
      <w:r>
        <w:t xml:space="preserve">Figure </w:t>
      </w:r>
      <w:fldSimple w:instr=" SEQ Figure \* ARABIC ">
        <w:r w:rsidR="00C92578">
          <w:rPr>
            <w:noProof/>
          </w:rPr>
          <w:t>11</w:t>
        </w:r>
      </w:fldSimple>
      <w:bookmarkEnd w:id="20"/>
      <w:r w:rsidR="004C3947" w:rsidRPr="004C3947">
        <w:t>.</w:t>
      </w:r>
      <w:proofErr w:type="gramEnd"/>
      <w:r w:rsidR="004C3947" w:rsidRPr="004C3947">
        <w:t xml:space="preserve"> Number of influenza hospitalisations at sentinel hospitals</w:t>
      </w:r>
      <w:r w:rsidR="004C3947">
        <w:t xml:space="preserve"> by subtype and ICU admission</w:t>
      </w:r>
      <w:r w:rsidR="004C3947" w:rsidRPr="004C3947">
        <w:t xml:space="preserve">, </w:t>
      </w:r>
      <w:r w:rsidR="004C3947">
        <w:t>3 April to 26 May 2017,</w:t>
      </w:r>
      <w:r w:rsidR="004C3947" w:rsidRPr="004C3947">
        <w:t xml:space="preserve"> by month and </w:t>
      </w:r>
      <w:proofErr w:type="gramStart"/>
      <w:r w:rsidR="004C3947" w:rsidRPr="004C3947">
        <w:t xml:space="preserve">week </w:t>
      </w:r>
      <w:r w:rsidR="00BF6EC4">
        <w:t>.</w:t>
      </w:r>
      <w:proofErr w:type="gramEnd"/>
    </w:p>
    <w:p w:rsidR="004C3947" w:rsidRDefault="00170AB0" w:rsidP="00B43A9B">
      <w:pPr>
        <w:pStyle w:val="FootnoteText"/>
        <w:jc w:val="center"/>
      </w:pPr>
      <w:r>
        <w:rPr>
          <w:noProof/>
        </w:rPr>
        <w:drawing>
          <wp:inline distT="0" distB="0" distL="0" distR="0" wp14:anchorId="7E858308" wp14:editId="6300CAA2">
            <wp:extent cx="4688483" cy="3062377"/>
            <wp:effectExtent l="0" t="0" r="0" b="5080"/>
            <wp:docPr id="6" name="Picture 6" descr="Please refer above for description and interpretation." title="Figure 11. Number of influenza hospitalisations at sentinel hospitals by subtype and ICU admission, 3 April to 26 May 2017, by month and week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701806" cy="3071079"/>
                    </a:xfrm>
                    <a:prstGeom prst="rect">
                      <a:avLst/>
                    </a:prstGeom>
                    <a:noFill/>
                  </pic:spPr>
                </pic:pic>
              </a:graphicData>
            </a:graphic>
          </wp:inline>
        </w:drawing>
      </w:r>
    </w:p>
    <w:p w:rsidR="004C3947" w:rsidRDefault="004C3947" w:rsidP="004C3947">
      <w:pPr>
        <w:pStyle w:val="FootnoteText"/>
      </w:pPr>
      <w:r w:rsidRPr="006B4F4B">
        <w:t xml:space="preserve">Source: FluCAN </w:t>
      </w:r>
    </w:p>
    <w:p w:rsidR="00E254FF" w:rsidRPr="006A75AE" w:rsidRDefault="009272F2" w:rsidP="00E254FF">
      <w:pPr>
        <w:pStyle w:val="Heading2"/>
      </w:pPr>
      <w:r>
        <w:t>4</w:t>
      </w:r>
      <w:r w:rsidR="00E254FF" w:rsidRPr="006A75AE">
        <w:t>. Deaths Associated with Influenza and Pneumonia</w:t>
      </w:r>
    </w:p>
    <w:p w:rsidR="00E254FF" w:rsidRPr="006A75AE" w:rsidRDefault="00E254FF" w:rsidP="00E254FF">
      <w:pPr>
        <w:rPr>
          <w:rFonts w:cstheme="minorHAnsi"/>
          <w:sz w:val="2"/>
          <w:lang w:eastAsia="en-US"/>
        </w:rPr>
      </w:pPr>
    </w:p>
    <w:p w:rsidR="00E254FF" w:rsidRPr="006A75AE" w:rsidRDefault="00E254FF" w:rsidP="00E254FF">
      <w:pPr>
        <w:pStyle w:val="Heading3"/>
      </w:pPr>
      <w:r w:rsidRPr="006A75AE">
        <w:t xml:space="preserve">Nationally Notified Influenza Associated Deaths </w:t>
      </w:r>
    </w:p>
    <w:p w:rsidR="00E254FF" w:rsidRPr="006A75AE" w:rsidRDefault="00E254FF" w:rsidP="00E254FF">
      <w:pPr>
        <w:rPr>
          <w:rFonts w:cstheme="minorHAnsi"/>
          <w:szCs w:val="22"/>
        </w:rPr>
      </w:pPr>
      <w:r w:rsidRPr="006A75AE">
        <w:rPr>
          <w:rFonts w:cstheme="minorHAnsi"/>
          <w:szCs w:val="22"/>
          <w:lang w:eastAsia="en-US"/>
        </w:rPr>
        <w:t>So far in 201</w:t>
      </w:r>
      <w:r w:rsidR="00504FC4" w:rsidRPr="006A75AE">
        <w:rPr>
          <w:rFonts w:cstheme="minorHAnsi"/>
          <w:szCs w:val="22"/>
          <w:lang w:eastAsia="en-US"/>
        </w:rPr>
        <w:t>7</w:t>
      </w:r>
      <w:r w:rsidRPr="006A75AE">
        <w:rPr>
          <w:rFonts w:cstheme="minorHAnsi"/>
          <w:szCs w:val="22"/>
          <w:lang w:eastAsia="en-US"/>
        </w:rPr>
        <w:t xml:space="preserve">, </w:t>
      </w:r>
      <w:r w:rsidR="00504FC4" w:rsidRPr="006A75AE">
        <w:rPr>
          <w:rFonts w:cstheme="minorHAnsi"/>
          <w:szCs w:val="22"/>
          <w:lang w:eastAsia="en-US"/>
        </w:rPr>
        <w:t>19</w:t>
      </w:r>
      <w:r w:rsidRPr="006A75AE">
        <w:rPr>
          <w:rFonts w:cstheme="minorHAnsi"/>
          <w:szCs w:val="22"/>
          <w:lang w:eastAsia="en-US"/>
        </w:rPr>
        <w:t xml:space="preserve"> influenza associated deaths have been notified to the NNDSS. The majority of deaths were </w:t>
      </w:r>
      <w:r w:rsidR="00504FC4" w:rsidRPr="006A75AE">
        <w:rPr>
          <w:rFonts w:cstheme="minorHAnsi"/>
          <w:szCs w:val="22"/>
          <w:lang w:eastAsia="en-US"/>
        </w:rPr>
        <w:t>due to influenza A (68</w:t>
      </w:r>
      <w:r w:rsidRPr="006A75AE">
        <w:rPr>
          <w:rFonts w:cstheme="minorHAnsi"/>
          <w:szCs w:val="22"/>
          <w:lang w:eastAsia="en-US"/>
        </w:rPr>
        <w:t xml:space="preserve">%, n = </w:t>
      </w:r>
      <w:r w:rsidR="00504FC4" w:rsidRPr="006A75AE">
        <w:rPr>
          <w:rFonts w:cstheme="minorHAnsi"/>
          <w:szCs w:val="22"/>
          <w:lang w:eastAsia="en-US"/>
        </w:rPr>
        <w:t>13</w:t>
      </w:r>
      <w:r w:rsidRPr="006A75AE">
        <w:rPr>
          <w:rFonts w:cstheme="minorHAnsi"/>
          <w:szCs w:val="22"/>
          <w:lang w:eastAsia="en-US"/>
        </w:rPr>
        <w:t xml:space="preserve">). The median age of deaths notified was </w:t>
      </w:r>
      <w:r w:rsidR="006A75AE" w:rsidRPr="006A75AE">
        <w:rPr>
          <w:rFonts w:cstheme="minorHAnsi"/>
          <w:szCs w:val="22"/>
          <w:lang w:eastAsia="en-US"/>
        </w:rPr>
        <w:t>78</w:t>
      </w:r>
      <w:r w:rsidRPr="006A75AE">
        <w:rPr>
          <w:rFonts w:cstheme="minorHAnsi"/>
          <w:szCs w:val="22"/>
          <w:lang w:eastAsia="en-US"/>
        </w:rPr>
        <w:t xml:space="preserve"> years (range </w:t>
      </w:r>
      <w:r w:rsidR="006A75AE" w:rsidRPr="006A75AE">
        <w:rPr>
          <w:rFonts w:cstheme="minorHAnsi"/>
          <w:szCs w:val="22"/>
          <w:lang w:eastAsia="en-US"/>
        </w:rPr>
        <w:t>5</w:t>
      </w:r>
      <w:r w:rsidRPr="006A75AE">
        <w:rPr>
          <w:rFonts w:cstheme="minorHAnsi"/>
          <w:szCs w:val="22"/>
          <w:lang w:eastAsia="en-US"/>
        </w:rPr>
        <w:t>0 to 9</w:t>
      </w:r>
      <w:r w:rsidR="006A75AE" w:rsidRPr="006A75AE">
        <w:rPr>
          <w:rFonts w:cstheme="minorHAnsi"/>
          <w:szCs w:val="22"/>
          <w:lang w:eastAsia="en-US"/>
        </w:rPr>
        <w:t>7</w:t>
      </w:r>
      <w:r w:rsidRPr="006A75AE">
        <w:rPr>
          <w:rFonts w:cstheme="minorHAnsi"/>
          <w:szCs w:val="22"/>
          <w:lang w:eastAsia="en-US"/>
        </w:rPr>
        <w:t xml:space="preserve"> years)</w:t>
      </w:r>
      <w:r w:rsidRPr="006A75AE">
        <w:rPr>
          <w:rFonts w:cstheme="minorHAnsi"/>
          <w:szCs w:val="22"/>
        </w:rPr>
        <w:t>. The number of influenza associated deaths reported to the NNDSS is reliant on the follow up of cases to determine the outcome of their infection and most likely does not represent the true mortality associated with this disease.</w:t>
      </w:r>
    </w:p>
    <w:p w:rsidR="00E254FF" w:rsidRPr="00F154E0" w:rsidRDefault="00E254FF" w:rsidP="00E254FF">
      <w:pPr>
        <w:pStyle w:val="Heading3"/>
      </w:pPr>
      <w:r w:rsidRPr="00F154E0">
        <w:t>New South Wales Influenza and Pneumonia Death Registrations</w:t>
      </w:r>
    </w:p>
    <w:p w:rsidR="00E254FF" w:rsidRPr="00F154E0" w:rsidRDefault="00E254FF" w:rsidP="00E254FF">
      <w:pPr>
        <w:rPr>
          <w:lang w:eastAsia="en-US"/>
        </w:rPr>
      </w:pPr>
      <w:r w:rsidRPr="00F154E0">
        <w:rPr>
          <w:lang w:eastAsia="en-US"/>
        </w:rPr>
        <w:t xml:space="preserve">Death registration data from NSW for the week ending </w:t>
      </w:r>
      <w:r w:rsidR="004C3947" w:rsidRPr="00F154E0">
        <w:rPr>
          <w:lang w:eastAsia="en-US"/>
        </w:rPr>
        <w:t>14 April 2017</w:t>
      </w:r>
      <w:r w:rsidRPr="00F154E0">
        <w:rPr>
          <w:lang w:eastAsia="en-US"/>
        </w:rPr>
        <w:t xml:space="preserve"> show that there were </w:t>
      </w:r>
      <w:r w:rsidR="004C3947" w:rsidRPr="00F154E0">
        <w:rPr>
          <w:lang w:eastAsia="en-US"/>
        </w:rPr>
        <w:t>0.75</w:t>
      </w:r>
      <w:r w:rsidRPr="00F154E0">
        <w:rPr>
          <w:lang w:eastAsia="en-US"/>
        </w:rPr>
        <w:t xml:space="preserve"> “pneumonia and influenza” deaths per 100,000 NSW </w:t>
      </w:r>
      <w:proofErr w:type="gramStart"/>
      <w:r w:rsidRPr="00F154E0">
        <w:rPr>
          <w:lang w:eastAsia="en-US"/>
        </w:rPr>
        <w:t>population</w:t>
      </w:r>
      <w:proofErr w:type="gramEnd"/>
      <w:r w:rsidRPr="00F154E0">
        <w:rPr>
          <w:lang w:eastAsia="en-US"/>
        </w:rPr>
        <w:t>, which was below the epidemic threshold of 1.</w:t>
      </w:r>
      <w:r w:rsidR="004C3947" w:rsidRPr="00F154E0">
        <w:rPr>
          <w:lang w:eastAsia="en-US"/>
        </w:rPr>
        <w:t>43</w:t>
      </w:r>
      <w:r w:rsidRPr="00F154E0">
        <w:rPr>
          <w:lang w:eastAsia="en-US"/>
        </w:rPr>
        <w:t xml:space="preserve"> per 100,000 NSW population (</w:t>
      </w:r>
      <w:r w:rsidR="00C92578">
        <w:rPr>
          <w:lang w:eastAsia="en-US"/>
        </w:rPr>
        <w:fldChar w:fldCharType="begin"/>
      </w:r>
      <w:r w:rsidR="00C92578">
        <w:rPr>
          <w:lang w:eastAsia="en-US"/>
        </w:rPr>
        <w:instrText xml:space="preserve"> REF _Ref484703304 \h </w:instrText>
      </w:r>
      <w:r w:rsidR="00C92578">
        <w:rPr>
          <w:lang w:eastAsia="en-US"/>
        </w:rPr>
      </w:r>
      <w:r w:rsidR="00C92578">
        <w:rPr>
          <w:lang w:eastAsia="en-US"/>
        </w:rPr>
        <w:fldChar w:fldCharType="separate"/>
      </w:r>
      <w:r w:rsidR="00C92578">
        <w:t xml:space="preserve">Figure </w:t>
      </w:r>
      <w:r w:rsidR="00C92578">
        <w:rPr>
          <w:noProof/>
        </w:rPr>
        <w:t>11</w:t>
      </w:r>
      <w:r w:rsidR="00C92578">
        <w:rPr>
          <w:lang w:eastAsia="en-US"/>
        </w:rPr>
        <w:fldChar w:fldCharType="end"/>
      </w:r>
      <w:r w:rsidRPr="00F154E0">
        <w:rPr>
          <w:lang w:eastAsia="en-US"/>
        </w:rPr>
        <w:t>).</w:t>
      </w:r>
      <w:r w:rsidRPr="00F154E0">
        <w:rPr>
          <w:rStyle w:val="EndnoteReference"/>
          <w:vertAlign w:val="superscript"/>
        </w:rPr>
        <w:endnoteReference w:id="3"/>
      </w:r>
    </w:p>
    <w:p w:rsidR="00E254FF" w:rsidRPr="00F154E0" w:rsidRDefault="00E254FF" w:rsidP="00E254FF">
      <w:pPr>
        <w:pStyle w:val="Caption"/>
      </w:pPr>
      <w:bookmarkStart w:id="21" w:name="_Ref466298200"/>
      <w:proofErr w:type="gramStart"/>
      <w:r w:rsidRPr="00F154E0">
        <w:t xml:space="preserve">Figure </w:t>
      </w:r>
      <w:bookmarkEnd w:id="21"/>
      <w:r w:rsidR="009272F2">
        <w:t>1</w:t>
      </w:r>
      <w:r w:rsidR="00F154E0">
        <w:t>1</w:t>
      </w:r>
      <w:r w:rsidRPr="00F154E0">
        <w:t>.</w:t>
      </w:r>
      <w:proofErr w:type="gramEnd"/>
      <w:r w:rsidRPr="00F154E0">
        <w:t xml:space="preserve"> Rate of deaths classified as influenza and pneumonia from the NSW Registered Death Certificates, </w:t>
      </w:r>
      <w:r w:rsidR="004C3947" w:rsidRPr="00F154E0">
        <w:t>2012</w:t>
      </w:r>
      <w:r w:rsidRPr="00F154E0">
        <w:t xml:space="preserve"> to </w:t>
      </w:r>
      <w:r w:rsidRPr="00F154E0">
        <w:br/>
      </w:r>
      <w:r w:rsidR="00F154E0" w:rsidRPr="00F154E0">
        <w:t>14 April 2017</w:t>
      </w:r>
      <w:r w:rsidRPr="00F154E0">
        <w:t>.</w:t>
      </w:r>
    </w:p>
    <w:p w:rsidR="00E254FF" w:rsidRPr="00F154E0" w:rsidRDefault="00F154E0" w:rsidP="00E254FF">
      <w:pPr>
        <w:jc w:val="center"/>
        <w:rPr>
          <w:rFonts w:cstheme="minorHAnsi"/>
          <w:szCs w:val="22"/>
        </w:rPr>
      </w:pPr>
      <w:r w:rsidRPr="00F154E0">
        <w:rPr>
          <w:noProof/>
        </w:rPr>
        <w:drawing>
          <wp:inline distT="0" distB="0" distL="0" distR="0" wp14:anchorId="01BB54F7" wp14:editId="0AB73DE8">
            <wp:extent cx="5135692" cy="3019246"/>
            <wp:effectExtent l="0" t="0" r="8255" b="0"/>
            <wp:docPr id="27" name="Picture 27" descr="Please refer above for description and interpretation." title="Figure 11. Rate of deaths classified as influenza and pneumonia from the NSW Registered Death Certificates, 2012 to 14 April 2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162388" cy="3034940"/>
                    </a:xfrm>
                    <a:prstGeom prst="rect">
                      <a:avLst/>
                    </a:prstGeom>
                    <a:noFill/>
                    <a:ln>
                      <a:noFill/>
                    </a:ln>
                  </pic:spPr>
                </pic:pic>
              </a:graphicData>
            </a:graphic>
          </wp:inline>
        </w:drawing>
      </w:r>
    </w:p>
    <w:p w:rsidR="00E254FF" w:rsidRPr="00F154E0" w:rsidRDefault="00E254FF" w:rsidP="00E254FF">
      <w:pPr>
        <w:pStyle w:val="FootnoteText"/>
      </w:pPr>
      <w:r w:rsidRPr="00F154E0">
        <w:t>Source: NSW Registry of Births, Deaths and Marriages</w:t>
      </w:r>
    </w:p>
    <w:p w:rsidR="00E254FF" w:rsidRPr="00A54FA9" w:rsidRDefault="009272F2" w:rsidP="00E254FF">
      <w:pPr>
        <w:pStyle w:val="Heading2"/>
      </w:pPr>
      <w:r>
        <w:t>5</w:t>
      </w:r>
      <w:r w:rsidR="00E254FF" w:rsidRPr="00A54FA9">
        <w:t>. Virological Surveillance</w:t>
      </w:r>
    </w:p>
    <w:p w:rsidR="00E254FF" w:rsidRPr="00A54FA9" w:rsidRDefault="00E254FF" w:rsidP="00E254FF">
      <w:pPr>
        <w:rPr>
          <w:rFonts w:cstheme="minorHAnsi"/>
          <w:sz w:val="2"/>
          <w:lang w:eastAsia="en-US"/>
        </w:rPr>
      </w:pPr>
    </w:p>
    <w:p w:rsidR="00E254FF" w:rsidRPr="00A54FA9" w:rsidRDefault="00E254FF" w:rsidP="00E254FF">
      <w:pPr>
        <w:pStyle w:val="Heading3"/>
      </w:pPr>
      <w:r w:rsidRPr="00A54FA9">
        <w:t xml:space="preserve">Australian Influenza Vaccines Composition </w:t>
      </w:r>
      <w:r w:rsidR="00B67BDD" w:rsidRPr="00A54FA9">
        <w:t>201</w:t>
      </w:r>
      <w:r w:rsidR="00B67BDD">
        <w:t>7</w:t>
      </w:r>
    </w:p>
    <w:p w:rsidR="00E254FF" w:rsidRPr="00A54FA9" w:rsidRDefault="00E254FF" w:rsidP="00E254FF">
      <w:r w:rsidRPr="00A54FA9">
        <w:t>The influenza virus strains included in the 2016 seasonal influenza vaccines in Australia are:</w:t>
      </w:r>
    </w:p>
    <w:p w:rsidR="00E254FF" w:rsidRPr="00A54FA9" w:rsidRDefault="00E254FF" w:rsidP="00E254FF">
      <w:pPr>
        <w:pStyle w:val="ListParagraph"/>
        <w:numPr>
          <w:ilvl w:val="0"/>
          <w:numId w:val="41"/>
        </w:numPr>
      </w:pPr>
      <w:r w:rsidRPr="00A54FA9">
        <w:t>A/</w:t>
      </w:r>
      <w:r w:rsidR="00A54FA9" w:rsidRPr="00A54FA9">
        <w:t>Michigan</w:t>
      </w:r>
      <w:r w:rsidRPr="00A54FA9">
        <w:t>/</w:t>
      </w:r>
      <w:r w:rsidR="00A54FA9" w:rsidRPr="00A54FA9">
        <w:t>45/2015</w:t>
      </w:r>
      <w:r w:rsidRPr="00A54FA9">
        <w:t>, (H1N1)pdm09-like virus;</w:t>
      </w:r>
    </w:p>
    <w:p w:rsidR="00E254FF" w:rsidRPr="00A54FA9" w:rsidRDefault="00E254FF" w:rsidP="00E254FF">
      <w:pPr>
        <w:pStyle w:val="ListParagraph"/>
        <w:numPr>
          <w:ilvl w:val="0"/>
          <w:numId w:val="41"/>
        </w:numPr>
      </w:pPr>
      <w:r w:rsidRPr="00A54FA9">
        <w:t xml:space="preserve">A/Hong Kong/4801/2014, (H3N2)-like virus; </w:t>
      </w:r>
    </w:p>
    <w:p w:rsidR="00E254FF" w:rsidRPr="00A54FA9" w:rsidRDefault="00E254FF" w:rsidP="00E254FF">
      <w:pPr>
        <w:pStyle w:val="ListParagraph"/>
        <w:numPr>
          <w:ilvl w:val="0"/>
          <w:numId w:val="41"/>
        </w:numPr>
      </w:pPr>
      <w:r w:rsidRPr="00A54FA9">
        <w:t>B/Brisbane/60/2008-like virus, Victoria lineage;</w:t>
      </w:r>
    </w:p>
    <w:p w:rsidR="00E254FF" w:rsidRPr="00A54FA9" w:rsidRDefault="00E254FF" w:rsidP="00E254FF">
      <w:pPr>
        <w:pStyle w:val="ListParagraph"/>
        <w:numPr>
          <w:ilvl w:val="0"/>
          <w:numId w:val="41"/>
        </w:numPr>
      </w:pPr>
      <w:r w:rsidRPr="00A54FA9">
        <w:t>B/Phuket/3073/2013-like virus, Yamagata lineage</w:t>
      </w:r>
      <w:r w:rsidR="00A54FA9" w:rsidRPr="00A54FA9">
        <w:t>.</w:t>
      </w:r>
    </w:p>
    <w:p w:rsidR="00E254FF" w:rsidRPr="00E254FF" w:rsidRDefault="00E254FF" w:rsidP="00E254FF">
      <w:pPr>
        <w:pStyle w:val="Heading3"/>
      </w:pPr>
      <w:r w:rsidRPr="00E254FF">
        <w:t xml:space="preserve">Typing and Antigenic Characterisation </w:t>
      </w:r>
    </w:p>
    <w:p w:rsidR="00E254FF" w:rsidRPr="00E254FF" w:rsidRDefault="00AE1C11" w:rsidP="00E254FF">
      <w:pPr>
        <w:spacing w:before="120"/>
        <w:ind w:right="28"/>
        <w:rPr>
          <w:rFonts w:cstheme="minorHAnsi"/>
          <w:szCs w:val="22"/>
        </w:rPr>
      </w:pPr>
      <w:bookmarkStart w:id="22" w:name="_Ref454200463"/>
      <w:r>
        <w:rPr>
          <w:rFonts w:cstheme="minorHAnsi"/>
          <w:szCs w:val="22"/>
        </w:rPr>
        <w:t xml:space="preserve">From 1 January </w:t>
      </w:r>
      <w:r w:rsidR="00E254FF" w:rsidRPr="00E254FF">
        <w:rPr>
          <w:rFonts w:cstheme="minorHAnsi"/>
          <w:szCs w:val="22"/>
        </w:rPr>
        <w:t>to 16 May</w:t>
      </w:r>
      <w:r w:rsidR="009272F2">
        <w:rPr>
          <w:rFonts w:cstheme="minorHAnsi"/>
          <w:szCs w:val="22"/>
        </w:rPr>
        <w:t>,</w:t>
      </w:r>
      <w:r w:rsidR="00E254FF" w:rsidRPr="00E254FF">
        <w:rPr>
          <w:rFonts w:cstheme="minorHAnsi"/>
          <w:szCs w:val="22"/>
        </w:rPr>
        <w:t xml:space="preserve"> the World Health Organization Collaborating Centre for Reference and Research on Influenza (WHOCC) has characterised </w:t>
      </w:r>
      <w:r w:rsidR="00E254FF">
        <w:rPr>
          <w:rFonts w:cstheme="minorHAnsi"/>
          <w:szCs w:val="22"/>
        </w:rPr>
        <w:t>18</w:t>
      </w:r>
      <w:r w:rsidR="00E254FF" w:rsidRPr="00E254FF">
        <w:rPr>
          <w:rFonts w:cstheme="minorHAnsi"/>
          <w:szCs w:val="22"/>
        </w:rPr>
        <w:t>8 influenza viruses (</w:t>
      </w:r>
      <w:r w:rsidR="00E254FF" w:rsidRPr="00E254FF">
        <w:rPr>
          <w:rFonts w:cstheme="minorHAnsi"/>
          <w:szCs w:val="22"/>
        </w:rPr>
        <w:fldChar w:fldCharType="begin"/>
      </w:r>
      <w:r w:rsidR="00E254FF" w:rsidRPr="00E254FF">
        <w:rPr>
          <w:rFonts w:cstheme="minorHAnsi"/>
          <w:szCs w:val="22"/>
        </w:rPr>
        <w:instrText xml:space="preserve"> REF _Ref454203802 \h  \* MERGEFORMAT </w:instrText>
      </w:r>
      <w:r w:rsidR="00E254FF" w:rsidRPr="00E254FF">
        <w:rPr>
          <w:rFonts w:cstheme="minorHAnsi"/>
          <w:szCs w:val="22"/>
        </w:rPr>
      </w:r>
      <w:r w:rsidR="00E254FF" w:rsidRPr="00E254FF">
        <w:rPr>
          <w:rFonts w:cstheme="minorHAnsi"/>
          <w:szCs w:val="22"/>
        </w:rPr>
        <w:fldChar w:fldCharType="separate"/>
      </w:r>
      <w:r w:rsidR="00736EE1" w:rsidRPr="00E254FF">
        <w:t xml:space="preserve">Table </w:t>
      </w:r>
      <w:r w:rsidR="00736EE1">
        <w:rPr>
          <w:noProof/>
        </w:rPr>
        <w:t>1</w:t>
      </w:r>
      <w:r w:rsidR="00E254FF" w:rsidRPr="00E254FF">
        <w:rPr>
          <w:rFonts w:cstheme="minorHAnsi"/>
          <w:szCs w:val="22"/>
        </w:rPr>
        <w:fldChar w:fldCharType="end"/>
      </w:r>
      <w:r w:rsidR="00E254FF" w:rsidRPr="00E254FF">
        <w:rPr>
          <w:rFonts w:cstheme="minorHAnsi"/>
          <w:szCs w:val="22"/>
        </w:rPr>
        <w:t xml:space="preserve">). When further characterised for similarity to the vaccine components, isolates appeared to be well matched. All the influenza B isolates were characterised as similar to the vaccine components. A small number of influenza </w:t>
      </w:r>
      <w:proofErr w:type="gramStart"/>
      <w:r w:rsidR="00E254FF" w:rsidRPr="00E254FF">
        <w:rPr>
          <w:rFonts w:cstheme="minorHAnsi"/>
          <w:szCs w:val="22"/>
        </w:rPr>
        <w:t>A(</w:t>
      </w:r>
      <w:proofErr w:type="gramEnd"/>
      <w:r w:rsidR="00E254FF" w:rsidRPr="00E254FF">
        <w:rPr>
          <w:rFonts w:cstheme="minorHAnsi"/>
          <w:szCs w:val="22"/>
        </w:rPr>
        <w:t>H1N1)pdm09 isolates (n=</w:t>
      </w:r>
      <w:r w:rsidR="00E254FF">
        <w:rPr>
          <w:rFonts w:cstheme="minorHAnsi"/>
          <w:szCs w:val="22"/>
        </w:rPr>
        <w:t>1</w:t>
      </w:r>
      <w:r w:rsidR="00E254FF" w:rsidRPr="00E254FF">
        <w:rPr>
          <w:rFonts w:cstheme="minorHAnsi"/>
          <w:szCs w:val="22"/>
        </w:rPr>
        <w:t>) and influenza A(H3N2) isolates (n=11) have been characterised as low reactors.</w:t>
      </w:r>
      <w:r w:rsidR="00E254FF">
        <w:rPr>
          <w:rFonts w:cstheme="minorHAnsi"/>
          <w:szCs w:val="22"/>
        </w:rPr>
        <w:t xml:space="preserve"> </w:t>
      </w:r>
      <w:r>
        <w:rPr>
          <w:rFonts w:cstheme="minorHAnsi"/>
          <w:szCs w:val="22"/>
        </w:rPr>
        <w:t>From 1 January</w:t>
      </w:r>
      <w:r w:rsidR="00342723">
        <w:rPr>
          <w:rFonts w:cstheme="minorHAnsi"/>
          <w:szCs w:val="22"/>
        </w:rPr>
        <w:t xml:space="preserve"> to 16 May</w:t>
      </w:r>
      <w:r w:rsidR="00E254FF">
        <w:rPr>
          <w:rFonts w:cstheme="minorHAnsi"/>
          <w:szCs w:val="22"/>
        </w:rPr>
        <w:t xml:space="preserve">, 71 influenza </w:t>
      </w:r>
      <w:proofErr w:type="gramStart"/>
      <w:r w:rsidR="00E254FF">
        <w:rPr>
          <w:rFonts w:cstheme="minorHAnsi"/>
          <w:szCs w:val="22"/>
        </w:rPr>
        <w:t>A</w:t>
      </w:r>
      <w:r w:rsidR="00A54FA9">
        <w:rPr>
          <w:rFonts w:cstheme="minorHAnsi"/>
          <w:szCs w:val="22"/>
        </w:rPr>
        <w:t>(</w:t>
      </w:r>
      <w:proofErr w:type="gramEnd"/>
      <w:r w:rsidR="00A54FA9">
        <w:rPr>
          <w:rFonts w:cstheme="minorHAnsi"/>
          <w:szCs w:val="22"/>
        </w:rPr>
        <w:t>H3) isolates were unab</w:t>
      </w:r>
      <w:r w:rsidR="009272F2">
        <w:rPr>
          <w:rFonts w:cstheme="minorHAnsi"/>
          <w:szCs w:val="22"/>
        </w:rPr>
        <w:t>le to be characterised in the HI</w:t>
      </w:r>
      <w:r w:rsidR="00A54FA9">
        <w:rPr>
          <w:rFonts w:cstheme="minorHAnsi"/>
          <w:szCs w:val="22"/>
        </w:rPr>
        <w:t xml:space="preserve"> assay due to insufficient titre. </w:t>
      </w:r>
    </w:p>
    <w:p w:rsidR="00E254FF" w:rsidRPr="00E254FF" w:rsidRDefault="00E254FF" w:rsidP="00E254FF">
      <w:pPr>
        <w:pStyle w:val="Caption"/>
      </w:pPr>
      <w:bookmarkStart w:id="23" w:name="_Ref454203802"/>
      <w:proofErr w:type="gramStart"/>
      <w:r w:rsidRPr="00E254FF">
        <w:t xml:space="preserve">Table </w:t>
      </w:r>
      <w:r w:rsidR="00D27B8C">
        <w:fldChar w:fldCharType="begin"/>
      </w:r>
      <w:r w:rsidR="00D27B8C">
        <w:instrText xml:space="preserve"> SEQ Table \* ARABIC </w:instrText>
      </w:r>
      <w:r w:rsidR="00D27B8C">
        <w:fldChar w:fldCharType="separate"/>
      </w:r>
      <w:r w:rsidR="00736EE1">
        <w:rPr>
          <w:noProof/>
        </w:rPr>
        <w:t>1</w:t>
      </w:r>
      <w:r w:rsidR="00D27B8C">
        <w:rPr>
          <w:noProof/>
        </w:rPr>
        <w:fldChar w:fldCharType="end"/>
      </w:r>
      <w:bookmarkEnd w:id="22"/>
      <w:bookmarkEnd w:id="23"/>
      <w:r w:rsidRPr="00E254FF">
        <w:t>.</w:t>
      </w:r>
      <w:proofErr w:type="gramEnd"/>
      <w:r w:rsidRPr="00E254FF">
        <w:tab/>
        <w:t>Australian influenza viruses typed by HI from the WHOCC, 1 January to 16 May 2017.</w:t>
      </w:r>
    </w:p>
    <w:tbl>
      <w:tblPr>
        <w:tblW w:w="4947" w:type="pct"/>
        <w:tblLook w:val="0000" w:firstRow="0" w:lastRow="0" w:firstColumn="0" w:lastColumn="0" w:noHBand="0" w:noVBand="0"/>
      </w:tblPr>
      <w:tblGrid>
        <w:gridCol w:w="2519"/>
        <w:gridCol w:w="850"/>
        <w:gridCol w:w="848"/>
        <w:gridCol w:w="851"/>
        <w:gridCol w:w="851"/>
        <w:gridCol w:w="853"/>
        <w:gridCol w:w="901"/>
        <w:gridCol w:w="825"/>
        <w:gridCol w:w="825"/>
        <w:gridCol w:w="708"/>
      </w:tblGrid>
      <w:tr w:rsidR="00E254FF" w:rsidRPr="00E254FF" w:rsidTr="00A02A3D">
        <w:trPr>
          <w:trHeight w:val="20"/>
        </w:trPr>
        <w:tc>
          <w:tcPr>
            <w:tcW w:w="1256" w:type="pct"/>
            <w:tcBorders>
              <w:top w:val="single" w:sz="12" w:space="0" w:color="auto"/>
              <w:left w:val="single" w:sz="12" w:space="0" w:color="auto"/>
              <w:bottom w:val="single" w:sz="12" w:space="0" w:color="auto"/>
              <w:right w:val="nil"/>
            </w:tcBorders>
            <w:shd w:val="clear" w:color="auto" w:fill="4F81BD" w:themeFill="accent1"/>
            <w:vAlign w:val="center"/>
          </w:tcPr>
          <w:p w:rsidR="00E254FF" w:rsidRPr="00E254FF" w:rsidRDefault="00E254FF" w:rsidP="00A02A3D">
            <w:pPr>
              <w:rPr>
                <w:b/>
                <w:color w:val="FFFFFF" w:themeColor="background1"/>
                <w:sz w:val="18"/>
                <w:szCs w:val="18"/>
              </w:rPr>
            </w:pPr>
            <w:r w:rsidRPr="00E254FF">
              <w:rPr>
                <w:b/>
                <w:color w:val="FFFFFF" w:themeColor="background1"/>
                <w:sz w:val="18"/>
                <w:szCs w:val="18"/>
              </w:rPr>
              <w:t>Type/Subtype</w:t>
            </w:r>
          </w:p>
        </w:tc>
        <w:tc>
          <w:tcPr>
            <w:tcW w:w="424" w:type="pct"/>
            <w:tcBorders>
              <w:top w:val="single" w:sz="12" w:space="0" w:color="auto"/>
              <w:left w:val="single" w:sz="4" w:space="0" w:color="auto"/>
              <w:bottom w:val="single" w:sz="12" w:space="0" w:color="auto"/>
              <w:right w:val="single" w:sz="4" w:space="0" w:color="auto"/>
            </w:tcBorders>
            <w:shd w:val="clear" w:color="auto" w:fill="4F81BD" w:themeFill="accent1"/>
            <w:vAlign w:val="center"/>
          </w:tcPr>
          <w:p w:rsidR="00E254FF" w:rsidRPr="00E254FF" w:rsidRDefault="00E254FF" w:rsidP="00A02A3D">
            <w:pPr>
              <w:jc w:val="center"/>
              <w:rPr>
                <w:b/>
                <w:color w:val="FFFFFF" w:themeColor="background1"/>
                <w:sz w:val="18"/>
                <w:szCs w:val="18"/>
              </w:rPr>
            </w:pPr>
            <w:r w:rsidRPr="00E254FF">
              <w:rPr>
                <w:b/>
                <w:color w:val="FFFFFF" w:themeColor="background1"/>
                <w:sz w:val="18"/>
                <w:szCs w:val="18"/>
              </w:rPr>
              <w:t>ACT</w:t>
            </w:r>
          </w:p>
        </w:tc>
        <w:tc>
          <w:tcPr>
            <w:tcW w:w="423" w:type="pct"/>
            <w:tcBorders>
              <w:top w:val="single" w:sz="12" w:space="0" w:color="auto"/>
              <w:left w:val="nil"/>
              <w:bottom w:val="single" w:sz="12" w:space="0" w:color="auto"/>
              <w:right w:val="single" w:sz="4" w:space="0" w:color="auto"/>
            </w:tcBorders>
            <w:shd w:val="clear" w:color="auto" w:fill="4F81BD" w:themeFill="accent1"/>
            <w:vAlign w:val="center"/>
          </w:tcPr>
          <w:p w:rsidR="00E254FF" w:rsidRPr="00E254FF" w:rsidRDefault="00E254FF" w:rsidP="00A02A3D">
            <w:pPr>
              <w:jc w:val="center"/>
              <w:rPr>
                <w:b/>
                <w:color w:val="FFFFFF" w:themeColor="background1"/>
                <w:sz w:val="18"/>
                <w:szCs w:val="18"/>
              </w:rPr>
            </w:pPr>
            <w:r w:rsidRPr="00E254FF">
              <w:rPr>
                <w:b/>
                <w:color w:val="FFFFFF" w:themeColor="background1"/>
                <w:sz w:val="18"/>
                <w:szCs w:val="18"/>
              </w:rPr>
              <w:t>NSW</w:t>
            </w:r>
          </w:p>
        </w:tc>
        <w:tc>
          <w:tcPr>
            <w:tcW w:w="424" w:type="pct"/>
            <w:tcBorders>
              <w:top w:val="single" w:sz="12" w:space="0" w:color="auto"/>
              <w:left w:val="nil"/>
              <w:bottom w:val="single" w:sz="12" w:space="0" w:color="auto"/>
              <w:right w:val="single" w:sz="4" w:space="0" w:color="auto"/>
            </w:tcBorders>
            <w:shd w:val="clear" w:color="auto" w:fill="4F81BD" w:themeFill="accent1"/>
            <w:vAlign w:val="center"/>
          </w:tcPr>
          <w:p w:rsidR="00E254FF" w:rsidRPr="00E254FF" w:rsidRDefault="00E254FF" w:rsidP="00A02A3D">
            <w:pPr>
              <w:jc w:val="center"/>
              <w:rPr>
                <w:b/>
                <w:color w:val="FFFFFF" w:themeColor="background1"/>
                <w:sz w:val="18"/>
                <w:szCs w:val="18"/>
              </w:rPr>
            </w:pPr>
            <w:r w:rsidRPr="00E254FF">
              <w:rPr>
                <w:b/>
                <w:color w:val="FFFFFF" w:themeColor="background1"/>
                <w:sz w:val="18"/>
                <w:szCs w:val="18"/>
              </w:rPr>
              <w:t>NT</w:t>
            </w:r>
          </w:p>
        </w:tc>
        <w:tc>
          <w:tcPr>
            <w:tcW w:w="424" w:type="pct"/>
            <w:tcBorders>
              <w:top w:val="single" w:sz="12" w:space="0" w:color="auto"/>
              <w:left w:val="nil"/>
              <w:bottom w:val="single" w:sz="12" w:space="0" w:color="auto"/>
              <w:right w:val="single" w:sz="4" w:space="0" w:color="auto"/>
            </w:tcBorders>
            <w:shd w:val="clear" w:color="auto" w:fill="4F81BD" w:themeFill="accent1"/>
            <w:vAlign w:val="center"/>
          </w:tcPr>
          <w:p w:rsidR="00E254FF" w:rsidRPr="00E254FF" w:rsidRDefault="00E254FF" w:rsidP="00A02A3D">
            <w:pPr>
              <w:jc w:val="center"/>
              <w:rPr>
                <w:b/>
                <w:color w:val="FFFFFF" w:themeColor="background1"/>
                <w:sz w:val="18"/>
                <w:szCs w:val="18"/>
              </w:rPr>
            </w:pPr>
            <w:r w:rsidRPr="00E254FF">
              <w:rPr>
                <w:b/>
                <w:color w:val="FFFFFF" w:themeColor="background1"/>
                <w:sz w:val="18"/>
                <w:szCs w:val="18"/>
              </w:rPr>
              <w:t>QLD</w:t>
            </w:r>
          </w:p>
        </w:tc>
        <w:tc>
          <w:tcPr>
            <w:tcW w:w="425" w:type="pct"/>
            <w:tcBorders>
              <w:top w:val="single" w:sz="12" w:space="0" w:color="auto"/>
              <w:left w:val="nil"/>
              <w:bottom w:val="single" w:sz="12" w:space="0" w:color="auto"/>
              <w:right w:val="single" w:sz="4" w:space="0" w:color="auto"/>
            </w:tcBorders>
            <w:shd w:val="clear" w:color="auto" w:fill="4F81BD" w:themeFill="accent1"/>
            <w:vAlign w:val="center"/>
          </w:tcPr>
          <w:p w:rsidR="00E254FF" w:rsidRPr="00E254FF" w:rsidRDefault="00E254FF" w:rsidP="00A02A3D">
            <w:pPr>
              <w:jc w:val="center"/>
              <w:rPr>
                <w:b/>
                <w:color w:val="FFFFFF" w:themeColor="background1"/>
                <w:sz w:val="18"/>
                <w:szCs w:val="18"/>
              </w:rPr>
            </w:pPr>
            <w:r w:rsidRPr="00E254FF">
              <w:rPr>
                <w:b/>
                <w:color w:val="FFFFFF" w:themeColor="background1"/>
                <w:sz w:val="18"/>
                <w:szCs w:val="18"/>
              </w:rPr>
              <w:t>SA</w:t>
            </w:r>
          </w:p>
        </w:tc>
        <w:tc>
          <w:tcPr>
            <w:tcW w:w="449" w:type="pct"/>
            <w:tcBorders>
              <w:top w:val="single" w:sz="12" w:space="0" w:color="auto"/>
              <w:left w:val="nil"/>
              <w:bottom w:val="single" w:sz="12" w:space="0" w:color="auto"/>
              <w:right w:val="single" w:sz="4" w:space="0" w:color="auto"/>
            </w:tcBorders>
            <w:shd w:val="clear" w:color="auto" w:fill="4F81BD" w:themeFill="accent1"/>
            <w:vAlign w:val="center"/>
          </w:tcPr>
          <w:p w:rsidR="00E254FF" w:rsidRPr="00E254FF" w:rsidRDefault="00E254FF" w:rsidP="00A02A3D">
            <w:pPr>
              <w:jc w:val="center"/>
              <w:rPr>
                <w:b/>
                <w:color w:val="FFFFFF" w:themeColor="background1"/>
                <w:sz w:val="18"/>
                <w:szCs w:val="18"/>
              </w:rPr>
            </w:pPr>
            <w:r w:rsidRPr="00E254FF">
              <w:rPr>
                <w:b/>
                <w:color w:val="FFFFFF" w:themeColor="background1"/>
                <w:sz w:val="18"/>
                <w:szCs w:val="18"/>
              </w:rPr>
              <w:t>TAS</w:t>
            </w:r>
          </w:p>
        </w:tc>
        <w:tc>
          <w:tcPr>
            <w:tcW w:w="411" w:type="pct"/>
            <w:tcBorders>
              <w:top w:val="single" w:sz="12" w:space="0" w:color="auto"/>
              <w:left w:val="nil"/>
              <w:bottom w:val="single" w:sz="12" w:space="0" w:color="auto"/>
              <w:right w:val="single" w:sz="4" w:space="0" w:color="auto"/>
            </w:tcBorders>
            <w:shd w:val="clear" w:color="auto" w:fill="4F81BD" w:themeFill="accent1"/>
            <w:vAlign w:val="center"/>
          </w:tcPr>
          <w:p w:rsidR="00E254FF" w:rsidRPr="00E254FF" w:rsidRDefault="00E254FF" w:rsidP="00A02A3D">
            <w:pPr>
              <w:jc w:val="center"/>
              <w:rPr>
                <w:b/>
                <w:color w:val="FFFFFF" w:themeColor="background1"/>
                <w:sz w:val="18"/>
                <w:szCs w:val="18"/>
              </w:rPr>
            </w:pPr>
            <w:r w:rsidRPr="00E254FF">
              <w:rPr>
                <w:b/>
                <w:color w:val="FFFFFF" w:themeColor="background1"/>
                <w:sz w:val="18"/>
                <w:szCs w:val="18"/>
              </w:rPr>
              <w:t>VIC</w:t>
            </w:r>
          </w:p>
        </w:tc>
        <w:tc>
          <w:tcPr>
            <w:tcW w:w="411" w:type="pct"/>
            <w:tcBorders>
              <w:top w:val="single" w:sz="12" w:space="0" w:color="auto"/>
              <w:left w:val="nil"/>
              <w:bottom w:val="single" w:sz="12" w:space="0" w:color="auto"/>
              <w:right w:val="single" w:sz="4" w:space="0" w:color="auto"/>
            </w:tcBorders>
            <w:shd w:val="clear" w:color="auto" w:fill="4F81BD" w:themeFill="accent1"/>
            <w:vAlign w:val="center"/>
          </w:tcPr>
          <w:p w:rsidR="00E254FF" w:rsidRPr="00E254FF" w:rsidRDefault="00E254FF" w:rsidP="00A02A3D">
            <w:pPr>
              <w:jc w:val="center"/>
              <w:rPr>
                <w:b/>
                <w:color w:val="FFFFFF" w:themeColor="background1"/>
                <w:sz w:val="18"/>
                <w:szCs w:val="18"/>
              </w:rPr>
            </w:pPr>
            <w:r w:rsidRPr="00E254FF">
              <w:rPr>
                <w:b/>
                <w:color w:val="FFFFFF" w:themeColor="background1"/>
                <w:sz w:val="18"/>
                <w:szCs w:val="18"/>
              </w:rPr>
              <w:t>WA</w:t>
            </w:r>
          </w:p>
        </w:tc>
        <w:tc>
          <w:tcPr>
            <w:tcW w:w="353" w:type="pct"/>
            <w:tcBorders>
              <w:top w:val="single" w:sz="12" w:space="0" w:color="auto"/>
              <w:left w:val="nil"/>
              <w:bottom w:val="single" w:sz="12" w:space="0" w:color="auto"/>
              <w:right w:val="single" w:sz="12" w:space="0" w:color="auto"/>
            </w:tcBorders>
            <w:shd w:val="clear" w:color="auto" w:fill="4F81BD" w:themeFill="accent1"/>
            <w:vAlign w:val="center"/>
          </w:tcPr>
          <w:p w:rsidR="00E254FF" w:rsidRPr="00E254FF" w:rsidRDefault="00E254FF" w:rsidP="00A02A3D">
            <w:pPr>
              <w:jc w:val="center"/>
              <w:rPr>
                <w:b/>
                <w:color w:val="FFFFFF" w:themeColor="background1"/>
                <w:sz w:val="18"/>
                <w:szCs w:val="18"/>
              </w:rPr>
            </w:pPr>
            <w:r w:rsidRPr="00E254FF">
              <w:rPr>
                <w:b/>
                <w:color w:val="FFFFFF" w:themeColor="background1"/>
                <w:sz w:val="18"/>
                <w:szCs w:val="18"/>
              </w:rPr>
              <w:t>TOTAL</w:t>
            </w:r>
          </w:p>
        </w:tc>
      </w:tr>
      <w:tr w:rsidR="00E254FF" w:rsidRPr="00E254FF" w:rsidTr="00A02A3D">
        <w:trPr>
          <w:trHeight w:val="20"/>
        </w:trPr>
        <w:tc>
          <w:tcPr>
            <w:tcW w:w="1256" w:type="pct"/>
            <w:tcBorders>
              <w:top w:val="single" w:sz="12" w:space="0" w:color="auto"/>
              <w:left w:val="single" w:sz="12" w:space="0" w:color="auto"/>
              <w:bottom w:val="single" w:sz="4" w:space="0" w:color="auto"/>
              <w:right w:val="nil"/>
            </w:tcBorders>
            <w:shd w:val="clear" w:color="auto" w:fill="FFFFFF"/>
            <w:vAlign w:val="center"/>
          </w:tcPr>
          <w:p w:rsidR="00E254FF" w:rsidRPr="00E254FF" w:rsidRDefault="00E254FF" w:rsidP="00A007DB">
            <w:pPr>
              <w:spacing w:after="0"/>
              <w:rPr>
                <w:b/>
                <w:sz w:val="18"/>
                <w:szCs w:val="18"/>
              </w:rPr>
            </w:pPr>
            <w:r w:rsidRPr="00E254FF">
              <w:rPr>
                <w:b/>
                <w:sz w:val="18"/>
                <w:szCs w:val="18"/>
              </w:rPr>
              <w:t>A(H1N1) pdm09</w:t>
            </w:r>
          </w:p>
        </w:tc>
        <w:tc>
          <w:tcPr>
            <w:tcW w:w="424" w:type="pct"/>
            <w:tcBorders>
              <w:top w:val="single" w:sz="12" w:space="0" w:color="auto"/>
              <w:left w:val="single" w:sz="4" w:space="0" w:color="auto"/>
              <w:bottom w:val="single" w:sz="4" w:space="0" w:color="auto"/>
              <w:right w:val="single" w:sz="4" w:space="0" w:color="auto"/>
            </w:tcBorders>
            <w:shd w:val="clear" w:color="auto" w:fill="auto"/>
            <w:vAlign w:val="bottom"/>
          </w:tcPr>
          <w:p w:rsidR="00E254FF" w:rsidRPr="00E254FF" w:rsidRDefault="00E254FF" w:rsidP="00B43A9B">
            <w:pPr>
              <w:spacing w:after="0"/>
              <w:jc w:val="right"/>
              <w:rPr>
                <w:rFonts w:ascii="Calibri" w:hAnsi="Calibri"/>
                <w:color w:val="000000"/>
                <w:szCs w:val="22"/>
              </w:rPr>
            </w:pPr>
            <w:r>
              <w:rPr>
                <w:rFonts w:ascii="Calibri" w:hAnsi="Calibri"/>
                <w:color w:val="000000"/>
                <w:szCs w:val="22"/>
              </w:rPr>
              <w:t>0</w:t>
            </w:r>
          </w:p>
        </w:tc>
        <w:tc>
          <w:tcPr>
            <w:tcW w:w="423" w:type="pct"/>
            <w:tcBorders>
              <w:top w:val="single" w:sz="12" w:space="0" w:color="auto"/>
              <w:left w:val="nil"/>
              <w:bottom w:val="single" w:sz="4" w:space="0" w:color="auto"/>
              <w:right w:val="single" w:sz="4" w:space="0" w:color="auto"/>
            </w:tcBorders>
            <w:shd w:val="clear" w:color="auto" w:fill="auto"/>
            <w:vAlign w:val="bottom"/>
          </w:tcPr>
          <w:p w:rsidR="00E254FF" w:rsidRPr="00E254FF" w:rsidRDefault="00E254FF" w:rsidP="00B43A9B">
            <w:pPr>
              <w:spacing w:after="0"/>
              <w:jc w:val="right"/>
              <w:rPr>
                <w:rFonts w:ascii="Calibri" w:hAnsi="Calibri"/>
                <w:color w:val="000000"/>
                <w:szCs w:val="22"/>
              </w:rPr>
            </w:pPr>
            <w:r>
              <w:rPr>
                <w:rFonts w:ascii="Calibri" w:hAnsi="Calibri"/>
                <w:color w:val="000000"/>
                <w:szCs w:val="22"/>
              </w:rPr>
              <w:t>7</w:t>
            </w:r>
          </w:p>
        </w:tc>
        <w:tc>
          <w:tcPr>
            <w:tcW w:w="424" w:type="pct"/>
            <w:tcBorders>
              <w:top w:val="single" w:sz="12" w:space="0" w:color="auto"/>
              <w:left w:val="nil"/>
              <w:bottom w:val="single" w:sz="4" w:space="0" w:color="auto"/>
              <w:right w:val="single" w:sz="4" w:space="0" w:color="auto"/>
            </w:tcBorders>
            <w:shd w:val="clear" w:color="auto" w:fill="auto"/>
            <w:vAlign w:val="bottom"/>
          </w:tcPr>
          <w:p w:rsidR="00E254FF" w:rsidRPr="00E254FF" w:rsidRDefault="00E254FF" w:rsidP="00B43A9B">
            <w:pPr>
              <w:spacing w:after="0"/>
              <w:jc w:val="right"/>
              <w:rPr>
                <w:rFonts w:ascii="Calibri" w:hAnsi="Calibri"/>
                <w:color w:val="000000"/>
                <w:szCs w:val="22"/>
              </w:rPr>
            </w:pPr>
            <w:r>
              <w:rPr>
                <w:rFonts w:ascii="Calibri" w:hAnsi="Calibri"/>
                <w:color w:val="000000"/>
                <w:szCs w:val="22"/>
              </w:rPr>
              <w:t>0</w:t>
            </w:r>
          </w:p>
        </w:tc>
        <w:tc>
          <w:tcPr>
            <w:tcW w:w="424" w:type="pct"/>
            <w:tcBorders>
              <w:top w:val="single" w:sz="12" w:space="0" w:color="auto"/>
              <w:left w:val="nil"/>
              <w:bottom w:val="single" w:sz="4" w:space="0" w:color="auto"/>
              <w:right w:val="single" w:sz="4" w:space="0" w:color="auto"/>
            </w:tcBorders>
            <w:shd w:val="clear" w:color="auto" w:fill="auto"/>
            <w:vAlign w:val="bottom"/>
          </w:tcPr>
          <w:p w:rsidR="00E254FF" w:rsidRPr="00E254FF" w:rsidRDefault="00E254FF" w:rsidP="00B43A9B">
            <w:pPr>
              <w:spacing w:after="0"/>
              <w:jc w:val="right"/>
              <w:rPr>
                <w:rFonts w:ascii="Calibri" w:hAnsi="Calibri"/>
                <w:color w:val="000000"/>
                <w:szCs w:val="22"/>
              </w:rPr>
            </w:pPr>
            <w:r>
              <w:rPr>
                <w:rFonts w:ascii="Calibri" w:hAnsi="Calibri"/>
                <w:color w:val="000000"/>
                <w:szCs w:val="22"/>
              </w:rPr>
              <w:t>8</w:t>
            </w:r>
          </w:p>
        </w:tc>
        <w:tc>
          <w:tcPr>
            <w:tcW w:w="425" w:type="pct"/>
            <w:tcBorders>
              <w:top w:val="single" w:sz="12" w:space="0" w:color="auto"/>
              <w:left w:val="nil"/>
              <w:bottom w:val="single" w:sz="4" w:space="0" w:color="auto"/>
              <w:right w:val="single" w:sz="4" w:space="0" w:color="auto"/>
            </w:tcBorders>
            <w:shd w:val="clear" w:color="auto" w:fill="auto"/>
            <w:vAlign w:val="bottom"/>
          </w:tcPr>
          <w:p w:rsidR="00E254FF" w:rsidRPr="00E254FF" w:rsidRDefault="00E254FF" w:rsidP="00B43A9B">
            <w:pPr>
              <w:spacing w:after="0"/>
              <w:jc w:val="right"/>
              <w:rPr>
                <w:rFonts w:ascii="Calibri" w:hAnsi="Calibri"/>
                <w:color w:val="000000"/>
                <w:szCs w:val="22"/>
              </w:rPr>
            </w:pPr>
            <w:r>
              <w:rPr>
                <w:rFonts w:ascii="Calibri" w:hAnsi="Calibri"/>
                <w:color w:val="000000"/>
                <w:szCs w:val="22"/>
              </w:rPr>
              <w:t>2</w:t>
            </w:r>
          </w:p>
        </w:tc>
        <w:tc>
          <w:tcPr>
            <w:tcW w:w="449" w:type="pct"/>
            <w:tcBorders>
              <w:top w:val="single" w:sz="12" w:space="0" w:color="auto"/>
              <w:left w:val="nil"/>
              <w:bottom w:val="single" w:sz="4" w:space="0" w:color="auto"/>
              <w:right w:val="single" w:sz="4" w:space="0" w:color="auto"/>
            </w:tcBorders>
            <w:shd w:val="clear" w:color="auto" w:fill="auto"/>
            <w:vAlign w:val="bottom"/>
          </w:tcPr>
          <w:p w:rsidR="00E254FF" w:rsidRPr="00E254FF" w:rsidRDefault="00E254FF" w:rsidP="00B43A9B">
            <w:pPr>
              <w:spacing w:after="0"/>
              <w:jc w:val="right"/>
              <w:rPr>
                <w:rFonts w:ascii="Calibri" w:hAnsi="Calibri"/>
                <w:color w:val="000000"/>
                <w:szCs w:val="22"/>
              </w:rPr>
            </w:pPr>
            <w:r>
              <w:rPr>
                <w:rFonts w:ascii="Calibri" w:hAnsi="Calibri"/>
                <w:color w:val="000000"/>
                <w:szCs w:val="22"/>
              </w:rPr>
              <w:t>1</w:t>
            </w:r>
          </w:p>
        </w:tc>
        <w:tc>
          <w:tcPr>
            <w:tcW w:w="411" w:type="pct"/>
            <w:tcBorders>
              <w:top w:val="single" w:sz="12" w:space="0" w:color="auto"/>
              <w:left w:val="nil"/>
              <w:bottom w:val="single" w:sz="4" w:space="0" w:color="auto"/>
              <w:right w:val="single" w:sz="4" w:space="0" w:color="auto"/>
            </w:tcBorders>
            <w:shd w:val="clear" w:color="auto" w:fill="auto"/>
            <w:vAlign w:val="bottom"/>
          </w:tcPr>
          <w:p w:rsidR="00E254FF" w:rsidRPr="00E254FF" w:rsidRDefault="00E254FF" w:rsidP="00B43A9B">
            <w:pPr>
              <w:spacing w:after="0"/>
              <w:jc w:val="right"/>
              <w:rPr>
                <w:rFonts w:ascii="Calibri" w:hAnsi="Calibri"/>
                <w:color w:val="000000"/>
                <w:szCs w:val="22"/>
              </w:rPr>
            </w:pPr>
            <w:r>
              <w:rPr>
                <w:rFonts w:ascii="Calibri" w:hAnsi="Calibri"/>
                <w:color w:val="000000"/>
                <w:szCs w:val="22"/>
              </w:rPr>
              <w:t>0</w:t>
            </w:r>
          </w:p>
        </w:tc>
        <w:tc>
          <w:tcPr>
            <w:tcW w:w="411" w:type="pct"/>
            <w:tcBorders>
              <w:top w:val="single" w:sz="12" w:space="0" w:color="auto"/>
              <w:left w:val="nil"/>
              <w:bottom w:val="single" w:sz="4" w:space="0" w:color="auto"/>
              <w:right w:val="single" w:sz="4" w:space="0" w:color="auto"/>
            </w:tcBorders>
            <w:shd w:val="clear" w:color="auto" w:fill="auto"/>
            <w:vAlign w:val="bottom"/>
          </w:tcPr>
          <w:p w:rsidR="00E254FF" w:rsidRPr="00E254FF" w:rsidRDefault="00E254FF" w:rsidP="00B43A9B">
            <w:pPr>
              <w:spacing w:after="0"/>
              <w:jc w:val="right"/>
              <w:rPr>
                <w:rFonts w:ascii="Calibri" w:hAnsi="Calibri"/>
                <w:color w:val="000000"/>
                <w:szCs w:val="22"/>
              </w:rPr>
            </w:pPr>
            <w:r>
              <w:rPr>
                <w:rFonts w:ascii="Calibri" w:hAnsi="Calibri"/>
                <w:color w:val="000000"/>
                <w:szCs w:val="22"/>
              </w:rPr>
              <w:t>2</w:t>
            </w:r>
          </w:p>
        </w:tc>
        <w:tc>
          <w:tcPr>
            <w:tcW w:w="353" w:type="pct"/>
            <w:tcBorders>
              <w:top w:val="single" w:sz="12" w:space="0" w:color="auto"/>
              <w:left w:val="nil"/>
              <w:bottom w:val="single" w:sz="4" w:space="0" w:color="auto"/>
              <w:right w:val="single" w:sz="12" w:space="0" w:color="auto"/>
            </w:tcBorders>
            <w:shd w:val="clear" w:color="auto" w:fill="DBE5F1" w:themeFill="accent1" w:themeFillTint="33"/>
            <w:vAlign w:val="bottom"/>
          </w:tcPr>
          <w:p w:rsidR="00E254FF" w:rsidRPr="00E254FF" w:rsidRDefault="00E254FF" w:rsidP="00B43A9B">
            <w:pPr>
              <w:spacing w:after="0"/>
              <w:jc w:val="right"/>
              <w:rPr>
                <w:rFonts w:ascii="Calibri" w:hAnsi="Calibri"/>
                <w:color w:val="000000"/>
                <w:szCs w:val="22"/>
              </w:rPr>
            </w:pPr>
            <w:r>
              <w:rPr>
                <w:rFonts w:ascii="Calibri" w:hAnsi="Calibri"/>
                <w:color w:val="000000"/>
                <w:szCs w:val="22"/>
              </w:rPr>
              <w:t>20</w:t>
            </w:r>
          </w:p>
        </w:tc>
      </w:tr>
      <w:tr w:rsidR="00E254FF" w:rsidRPr="00E254FF" w:rsidTr="00A02A3D">
        <w:trPr>
          <w:trHeight w:val="20"/>
        </w:trPr>
        <w:tc>
          <w:tcPr>
            <w:tcW w:w="1256" w:type="pct"/>
            <w:tcBorders>
              <w:top w:val="single" w:sz="4" w:space="0" w:color="auto"/>
              <w:left w:val="single" w:sz="12" w:space="0" w:color="auto"/>
              <w:bottom w:val="single" w:sz="4" w:space="0" w:color="auto"/>
              <w:right w:val="nil"/>
            </w:tcBorders>
            <w:shd w:val="clear" w:color="auto" w:fill="FFFFFF"/>
            <w:vAlign w:val="center"/>
          </w:tcPr>
          <w:p w:rsidR="00E254FF" w:rsidRPr="00E254FF" w:rsidRDefault="00E254FF" w:rsidP="00A007DB">
            <w:pPr>
              <w:spacing w:after="0"/>
              <w:rPr>
                <w:b/>
                <w:sz w:val="18"/>
                <w:szCs w:val="18"/>
              </w:rPr>
            </w:pPr>
            <w:r w:rsidRPr="00E254FF">
              <w:rPr>
                <w:b/>
                <w:sz w:val="18"/>
                <w:szCs w:val="18"/>
              </w:rPr>
              <w:t>A(H3N2)</w:t>
            </w:r>
          </w:p>
        </w:tc>
        <w:tc>
          <w:tcPr>
            <w:tcW w:w="424" w:type="pct"/>
            <w:tcBorders>
              <w:top w:val="single" w:sz="4" w:space="0" w:color="auto"/>
              <w:left w:val="single" w:sz="4" w:space="0" w:color="auto"/>
              <w:bottom w:val="single" w:sz="4" w:space="0" w:color="auto"/>
              <w:right w:val="single" w:sz="4" w:space="0" w:color="auto"/>
            </w:tcBorders>
            <w:shd w:val="clear" w:color="auto" w:fill="auto"/>
            <w:vAlign w:val="bottom"/>
          </w:tcPr>
          <w:p w:rsidR="00E254FF" w:rsidRPr="00E254FF" w:rsidRDefault="00E254FF" w:rsidP="00B43A9B">
            <w:pPr>
              <w:spacing w:after="0"/>
              <w:jc w:val="right"/>
              <w:rPr>
                <w:rFonts w:ascii="Calibri" w:hAnsi="Calibri"/>
                <w:color w:val="000000"/>
                <w:szCs w:val="22"/>
              </w:rPr>
            </w:pPr>
            <w:r>
              <w:rPr>
                <w:rFonts w:ascii="Calibri" w:hAnsi="Calibri"/>
                <w:color w:val="000000"/>
                <w:szCs w:val="22"/>
              </w:rPr>
              <w:t>1</w:t>
            </w:r>
          </w:p>
        </w:tc>
        <w:tc>
          <w:tcPr>
            <w:tcW w:w="423" w:type="pct"/>
            <w:tcBorders>
              <w:top w:val="single" w:sz="4" w:space="0" w:color="auto"/>
              <w:left w:val="nil"/>
              <w:bottom w:val="single" w:sz="4" w:space="0" w:color="auto"/>
              <w:right w:val="single" w:sz="4" w:space="0" w:color="auto"/>
            </w:tcBorders>
            <w:shd w:val="clear" w:color="auto" w:fill="auto"/>
            <w:vAlign w:val="bottom"/>
          </w:tcPr>
          <w:p w:rsidR="00E254FF" w:rsidRPr="00E254FF" w:rsidRDefault="00E254FF" w:rsidP="00B43A9B">
            <w:pPr>
              <w:spacing w:after="0"/>
              <w:jc w:val="right"/>
              <w:rPr>
                <w:rFonts w:ascii="Calibri" w:hAnsi="Calibri"/>
                <w:color w:val="000000"/>
                <w:szCs w:val="22"/>
              </w:rPr>
            </w:pPr>
            <w:r>
              <w:rPr>
                <w:rFonts w:ascii="Calibri" w:hAnsi="Calibri"/>
                <w:color w:val="000000"/>
                <w:szCs w:val="22"/>
              </w:rPr>
              <w:t>71</w:t>
            </w:r>
          </w:p>
        </w:tc>
        <w:tc>
          <w:tcPr>
            <w:tcW w:w="424" w:type="pct"/>
            <w:tcBorders>
              <w:top w:val="single" w:sz="4" w:space="0" w:color="auto"/>
              <w:left w:val="nil"/>
              <w:bottom w:val="single" w:sz="4" w:space="0" w:color="auto"/>
              <w:right w:val="single" w:sz="4" w:space="0" w:color="auto"/>
            </w:tcBorders>
            <w:shd w:val="clear" w:color="auto" w:fill="auto"/>
            <w:vAlign w:val="bottom"/>
          </w:tcPr>
          <w:p w:rsidR="00E254FF" w:rsidRPr="00E254FF" w:rsidRDefault="00E254FF" w:rsidP="00B43A9B">
            <w:pPr>
              <w:spacing w:after="0"/>
              <w:jc w:val="right"/>
              <w:rPr>
                <w:rFonts w:ascii="Calibri" w:hAnsi="Calibri"/>
                <w:color w:val="000000"/>
                <w:szCs w:val="22"/>
              </w:rPr>
            </w:pPr>
            <w:r>
              <w:rPr>
                <w:rFonts w:ascii="Calibri" w:hAnsi="Calibri"/>
                <w:color w:val="000000"/>
                <w:szCs w:val="22"/>
              </w:rPr>
              <w:t>10</w:t>
            </w:r>
          </w:p>
        </w:tc>
        <w:tc>
          <w:tcPr>
            <w:tcW w:w="424" w:type="pct"/>
            <w:tcBorders>
              <w:top w:val="single" w:sz="4" w:space="0" w:color="auto"/>
              <w:left w:val="nil"/>
              <w:bottom w:val="single" w:sz="4" w:space="0" w:color="auto"/>
              <w:right w:val="single" w:sz="4" w:space="0" w:color="auto"/>
            </w:tcBorders>
            <w:shd w:val="clear" w:color="auto" w:fill="auto"/>
            <w:vAlign w:val="bottom"/>
          </w:tcPr>
          <w:p w:rsidR="00E254FF" w:rsidRPr="00E254FF" w:rsidRDefault="00E254FF" w:rsidP="00B43A9B">
            <w:pPr>
              <w:spacing w:after="0"/>
              <w:jc w:val="right"/>
              <w:rPr>
                <w:rFonts w:ascii="Calibri" w:hAnsi="Calibri"/>
                <w:color w:val="000000"/>
                <w:szCs w:val="22"/>
              </w:rPr>
            </w:pPr>
            <w:r>
              <w:rPr>
                <w:rFonts w:ascii="Calibri" w:hAnsi="Calibri"/>
                <w:color w:val="000000"/>
                <w:szCs w:val="22"/>
              </w:rPr>
              <w:t>24</w:t>
            </w:r>
          </w:p>
        </w:tc>
        <w:tc>
          <w:tcPr>
            <w:tcW w:w="425" w:type="pct"/>
            <w:tcBorders>
              <w:top w:val="single" w:sz="4" w:space="0" w:color="auto"/>
              <w:left w:val="nil"/>
              <w:bottom w:val="single" w:sz="4" w:space="0" w:color="auto"/>
              <w:right w:val="single" w:sz="4" w:space="0" w:color="auto"/>
            </w:tcBorders>
            <w:shd w:val="clear" w:color="auto" w:fill="auto"/>
            <w:vAlign w:val="bottom"/>
          </w:tcPr>
          <w:p w:rsidR="00E254FF" w:rsidRPr="00E254FF" w:rsidRDefault="00E254FF" w:rsidP="00B43A9B">
            <w:pPr>
              <w:spacing w:after="0"/>
              <w:jc w:val="right"/>
              <w:rPr>
                <w:rFonts w:ascii="Calibri" w:hAnsi="Calibri"/>
                <w:color w:val="000000"/>
                <w:szCs w:val="22"/>
              </w:rPr>
            </w:pPr>
            <w:r w:rsidRPr="00E254FF">
              <w:rPr>
                <w:rFonts w:ascii="Calibri" w:hAnsi="Calibri"/>
                <w:color w:val="000000"/>
                <w:szCs w:val="22"/>
              </w:rPr>
              <w:t>3</w:t>
            </w:r>
            <w:r>
              <w:rPr>
                <w:rFonts w:ascii="Calibri" w:hAnsi="Calibri"/>
                <w:color w:val="000000"/>
                <w:szCs w:val="22"/>
              </w:rPr>
              <w:t>4</w:t>
            </w:r>
          </w:p>
        </w:tc>
        <w:tc>
          <w:tcPr>
            <w:tcW w:w="449" w:type="pct"/>
            <w:tcBorders>
              <w:top w:val="single" w:sz="4" w:space="0" w:color="auto"/>
              <w:left w:val="nil"/>
              <w:bottom w:val="single" w:sz="4" w:space="0" w:color="auto"/>
              <w:right w:val="single" w:sz="4" w:space="0" w:color="auto"/>
            </w:tcBorders>
            <w:shd w:val="clear" w:color="auto" w:fill="auto"/>
            <w:vAlign w:val="bottom"/>
          </w:tcPr>
          <w:p w:rsidR="00E254FF" w:rsidRPr="00E254FF" w:rsidRDefault="00E254FF" w:rsidP="00B43A9B">
            <w:pPr>
              <w:spacing w:after="0"/>
              <w:jc w:val="right"/>
              <w:rPr>
                <w:rFonts w:ascii="Calibri" w:hAnsi="Calibri"/>
                <w:color w:val="000000"/>
                <w:szCs w:val="22"/>
              </w:rPr>
            </w:pPr>
            <w:r>
              <w:rPr>
                <w:rFonts w:ascii="Calibri" w:hAnsi="Calibri"/>
                <w:color w:val="000000"/>
                <w:szCs w:val="22"/>
              </w:rPr>
              <w:t>1</w:t>
            </w:r>
          </w:p>
        </w:tc>
        <w:tc>
          <w:tcPr>
            <w:tcW w:w="411" w:type="pct"/>
            <w:tcBorders>
              <w:top w:val="single" w:sz="4" w:space="0" w:color="auto"/>
              <w:left w:val="nil"/>
              <w:bottom w:val="single" w:sz="4" w:space="0" w:color="auto"/>
              <w:right w:val="single" w:sz="4" w:space="0" w:color="auto"/>
            </w:tcBorders>
            <w:shd w:val="clear" w:color="auto" w:fill="auto"/>
            <w:vAlign w:val="bottom"/>
          </w:tcPr>
          <w:p w:rsidR="00E254FF" w:rsidRPr="00E254FF" w:rsidRDefault="00E254FF" w:rsidP="00B43A9B">
            <w:pPr>
              <w:spacing w:after="0"/>
              <w:jc w:val="right"/>
              <w:rPr>
                <w:rFonts w:ascii="Calibri" w:hAnsi="Calibri"/>
                <w:color w:val="000000"/>
                <w:szCs w:val="22"/>
              </w:rPr>
            </w:pPr>
            <w:r>
              <w:rPr>
                <w:rFonts w:ascii="Calibri" w:hAnsi="Calibri"/>
                <w:color w:val="000000"/>
                <w:szCs w:val="22"/>
              </w:rPr>
              <w:t>3</w:t>
            </w:r>
          </w:p>
        </w:tc>
        <w:tc>
          <w:tcPr>
            <w:tcW w:w="411" w:type="pct"/>
            <w:tcBorders>
              <w:top w:val="single" w:sz="4" w:space="0" w:color="auto"/>
              <w:left w:val="nil"/>
              <w:bottom w:val="single" w:sz="4" w:space="0" w:color="auto"/>
              <w:right w:val="single" w:sz="4" w:space="0" w:color="auto"/>
            </w:tcBorders>
            <w:shd w:val="clear" w:color="auto" w:fill="auto"/>
            <w:vAlign w:val="bottom"/>
          </w:tcPr>
          <w:p w:rsidR="00E254FF" w:rsidRPr="00E254FF" w:rsidRDefault="00E254FF" w:rsidP="00B43A9B">
            <w:pPr>
              <w:spacing w:after="0"/>
              <w:jc w:val="right"/>
              <w:rPr>
                <w:rFonts w:ascii="Calibri" w:hAnsi="Calibri"/>
                <w:color w:val="000000"/>
                <w:szCs w:val="22"/>
              </w:rPr>
            </w:pPr>
            <w:r>
              <w:rPr>
                <w:rFonts w:ascii="Calibri" w:hAnsi="Calibri"/>
                <w:color w:val="000000"/>
                <w:szCs w:val="22"/>
              </w:rPr>
              <w:t>2</w:t>
            </w:r>
          </w:p>
        </w:tc>
        <w:tc>
          <w:tcPr>
            <w:tcW w:w="353" w:type="pct"/>
            <w:tcBorders>
              <w:top w:val="single" w:sz="4" w:space="0" w:color="auto"/>
              <w:left w:val="nil"/>
              <w:bottom w:val="single" w:sz="4" w:space="0" w:color="auto"/>
              <w:right w:val="single" w:sz="12" w:space="0" w:color="auto"/>
            </w:tcBorders>
            <w:shd w:val="clear" w:color="auto" w:fill="DBE5F1" w:themeFill="accent1" w:themeFillTint="33"/>
            <w:vAlign w:val="bottom"/>
          </w:tcPr>
          <w:p w:rsidR="00E254FF" w:rsidRPr="00E254FF" w:rsidRDefault="00E254FF" w:rsidP="00B43A9B">
            <w:pPr>
              <w:spacing w:after="0"/>
              <w:jc w:val="right"/>
              <w:rPr>
                <w:rFonts w:ascii="Calibri" w:hAnsi="Calibri"/>
                <w:color w:val="000000"/>
                <w:szCs w:val="22"/>
              </w:rPr>
            </w:pPr>
            <w:r>
              <w:rPr>
                <w:rFonts w:ascii="Calibri" w:hAnsi="Calibri"/>
                <w:color w:val="000000"/>
                <w:szCs w:val="22"/>
              </w:rPr>
              <w:t>146</w:t>
            </w:r>
          </w:p>
        </w:tc>
      </w:tr>
      <w:tr w:rsidR="00E254FF" w:rsidRPr="00E254FF" w:rsidTr="00A02A3D">
        <w:trPr>
          <w:trHeight w:val="20"/>
        </w:trPr>
        <w:tc>
          <w:tcPr>
            <w:tcW w:w="1256" w:type="pct"/>
            <w:tcBorders>
              <w:top w:val="single" w:sz="4" w:space="0" w:color="auto"/>
              <w:left w:val="single" w:sz="12" w:space="0" w:color="auto"/>
              <w:bottom w:val="single" w:sz="4" w:space="0" w:color="auto"/>
              <w:right w:val="nil"/>
            </w:tcBorders>
            <w:shd w:val="clear" w:color="auto" w:fill="FFFFFF"/>
            <w:noWrap/>
            <w:vAlign w:val="center"/>
          </w:tcPr>
          <w:p w:rsidR="00E254FF" w:rsidRPr="00E254FF" w:rsidRDefault="00E254FF" w:rsidP="00A007DB">
            <w:pPr>
              <w:spacing w:after="0"/>
              <w:rPr>
                <w:b/>
                <w:sz w:val="18"/>
                <w:szCs w:val="18"/>
              </w:rPr>
            </w:pPr>
            <w:r w:rsidRPr="00E254FF">
              <w:rPr>
                <w:b/>
                <w:sz w:val="18"/>
                <w:szCs w:val="18"/>
              </w:rPr>
              <w:t>B/Victoria lineage</w:t>
            </w:r>
          </w:p>
        </w:tc>
        <w:tc>
          <w:tcPr>
            <w:tcW w:w="424" w:type="pct"/>
            <w:tcBorders>
              <w:top w:val="single" w:sz="4" w:space="0" w:color="auto"/>
              <w:left w:val="single" w:sz="4" w:space="0" w:color="auto"/>
              <w:bottom w:val="single" w:sz="4" w:space="0" w:color="auto"/>
              <w:right w:val="single" w:sz="4" w:space="0" w:color="auto"/>
            </w:tcBorders>
            <w:shd w:val="clear" w:color="auto" w:fill="auto"/>
            <w:vAlign w:val="bottom"/>
          </w:tcPr>
          <w:p w:rsidR="00E254FF" w:rsidRPr="00E254FF" w:rsidRDefault="00E254FF" w:rsidP="00B43A9B">
            <w:pPr>
              <w:spacing w:after="0"/>
              <w:jc w:val="right"/>
              <w:rPr>
                <w:rFonts w:ascii="Calibri" w:hAnsi="Calibri"/>
                <w:color w:val="000000"/>
                <w:szCs w:val="22"/>
              </w:rPr>
            </w:pPr>
            <w:r>
              <w:rPr>
                <w:rFonts w:ascii="Calibri" w:hAnsi="Calibri"/>
                <w:color w:val="000000"/>
                <w:szCs w:val="22"/>
              </w:rPr>
              <w:t>0</w:t>
            </w:r>
          </w:p>
        </w:tc>
        <w:tc>
          <w:tcPr>
            <w:tcW w:w="423" w:type="pct"/>
            <w:tcBorders>
              <w:top w:val="single" w:sz="4" w:space="0" w:color="auto"/>
              <w:left w:val="nil"/>
              <w:bottom w:val="single" w:sz="4" w:space="0" w:color="auto"/>
              <w:right w:val="single" w:sz="4" w:space="0" w:color="auto"/>
            </w:tcBorders>
            <w:shd w:val="clear" w:color="auto" w:fill="auto"/>
            <w:vAlign w:val="bottom"/>
          </w:tcPr>
          <w:p w:rsidR="00E254FF" w:rsidRPr="00E254FF" w:rsidRDefault="00E254FF" w:rsidP="00B43A9B">
            <w:pPr>
              <w:spacing w:after="0"/>
              <w:jc w:val="right"/>
              <w:rPr>
                <w:rFonts w:ascii="Calibri" w:hAnsi="Calibri"/>
                <w:color w:val="000000"/>
                <w:szCs w:val="22"/>
              </w:rPr>
            </w:pPr>
            <w:r>
              <w:rPr>
                <w:rFonts w:ascii="Calibri" w:hAnsi="Calibri"/>
                <w:color w:val="000000"/>
                <w:szCs w:val="22"/>
              </w:rPr>
              <w:t>0</w:t>
            </w:r>
          </w:p>
        </w:tc>
        <w:tc>
          <w:tcPr>
            <w:tcW w:w="424" w:type="pct"/>
            <w:tcBorders>
              <w:top w:val="single" w:sz="4" w:space="0" w:color="auto"/>
              <w:left w:val="nil"/>
              <w:bottom w:val="single" w:sz="4" w:space="0" w:color="auto"/>
              <w:right w:val="single" w:sz="4" w:space="0" w:color="auto"/>
            </w:tcBorders>
            <w:shd w:val="clear" w:color="auto" w:fill="auto"/>
            <w:vAlign w:val="bottom"/>
          </w:tcPr>
          <w:p w:rsidR="00E254FF" w:rsidRPr="00E254FF" w:rsidRDefault="00E254FF" w:rsidP="00B43A9B">
            <w:pPr>
              <w:spacing w:after="0"/>
              <w:jc w:val="right"/>
              <w:rPr>
                <w:rFonts w:ascii="Calibri" w:hAnsi="Calibri"/>
                <w:color w:val="000000"/>
                <w:szCs w:val="22"/>
              </w:rPr>
            </w:pPr>
            <w:r>
              <w:rPr>
                <w:rFonts w:ascii="Calibri" w:hAnsi="Calibri"/>
                <w:color w:val="000000"/>
                <w:szCs w:val="22"/>
              </w:rPr>
              <w:t>0</w:t>
            </w:r>
          </w:p>
        </w:tc>
        <w:tc>
          <w:tcPr>
            <w:tcW w:w="424" w:type="pct"/>
            <w:tcBorders>
              <w:top w:val="single" w:sz="4" w:space="0" w:color="auto"/>
              <w:left w:val="nil"/>
              <w:bottom w:val="single" w:sz="4" w:space="0" w:color="auto"/>
              <w:right w:val="single" w:sz="4" w:space="0" w:color="auto"/>
            </w:tcBorders>
            <w:shd w:val="clear" w:color="auto" w:fill="auto"/>
            <w:vAlign w:val="bottom"/>
          </w:tcPr>
          <w:p w:rsidR="00E254FF" w:rsidRPr="00E254FF" w:rsidRDefault="00E254FF" w:rsidP="00B43A9B">
            <w:pPr>
              <w:spacing w:after="0"/>
              <w:jc w:val="right"/>
              <w:rPr>
                <w:rFonts w:ascii="Calibri" w:hAnsi="Calibri"/>
                <w:color w:val="000000"/>
                <w:szCs w:val="22"/>
              </w:rPr>
            </w:pPr>
            <w:r>
              <w:rPr>
                <w:rFonts w:ascii="Calibri" w:hAnsi="Calibri"/>
                <w:color w:val="000000"/>
                <w:szCs w:val="22"/>
              </w:rPr>
              <w:t>1</w:t>
            </w:r>
          </w:p>
        </w:tc>
        <w:tc>
          <w:tcPr>
            <w:tcW w:w="425" w:type="pct"/>
            <w:tcBorders>
              <w:top w:val="single" w:sz="4" w:space="0" w:color="auto"/>
              <w:left w:val="nil"/>
              <w:bottom w:val="single" w:sz="4" w:space="0" w:color="auto"/>
              <w:right w:val="single" w:sz="4" w:space="0" w:color="auto"/>
            </w:tcBorders>
            <w:shd w:val="clear" w:color="auto" w:fill="auto"/>
            <w:vAlign w:val="bottom"/>
          </w:tcPr>
          <w:p w:rsidR="00E254FF" w:rsidRPr="00E254FF" w:rsidRDefault="00E254FF" w:rsidP="00B43A9B">
            <w:pPr>
              <w:spacing w:after="0"/>
              <w:jc w:val="right"/>
              <w:rPr>
                <w:rFonts w:ascii="Calibri" w:hAnsi="Calibri"/>
                <w:color w:val="000000"/>
                <w:szCs w:val="22"/>
              </w:rPr>
            </w:pPr>
            <w:r>
              <w:rPr>
                <w:rFonts w:ascii="Calibri" w:hAnsi="Calibri"/>
                <w:color w:val="000000"/>
                <w:szCs w:val="22"/>
              </w:rPr>
              <w:t>1</w:t>
            </w:r>
          </w:p>
        </w:tc>
        <w:tc>
          <w:tcPr>
            <w:tcW w:w="449" w:type="pct"/>
            <w:tcBorders>
              <w:top w:val="single" w:sz="4" w:space="0" w:color="auto"/>
              <w:left w:val="nil"/>
              <w:bottom w:val="single" w:sz="4" w:space="0" w:color="auto"/>
              <w:right w:val="single" w:sz="4" w:space="0" w:color="auto"/>
            </w:tcBorders>
            <w:shd w:val="clear" w:color="auto" w:fill="auto"/>
            <w:vAlign w:val="bottom"/>
          </w:tcPr>
          <w:p w:rsidR="00E254FF" w:rsidRPr="00E254FF" w:rsidRDefault="00E254FF" w:rsidP="00B43A9B">
            <w:pPr>
              <w:spacing w:after="0"/>
              <w:jc w:val="right"/>
              <w:rPr>
                <w:rFonts w:ascii="Calibri" w:hAnsi="Calibri"/>
                <w:color w:val="000000"/>
                <w:szCs w:val="22"/>
              </w:rPr>
            </w:pPr>
            <w:r>
              <w:rPr>
                <w:rFonts w:ascii="Calibri" w:hAnsi="Calibri"/>
                <w:color w:val="000000"/>
                <w:szCs w:val="22"/>
              </w:rPr>
              <w:t>0</w:t>
            </w:r>
          </w:p>
        </w:tc>
        <w:tc>
          <w:tcPr>
            <w:tcW w:w="411" w:type="pct"/>
            <w:tcBorders>
              <w:top w:val="single" w:sz="4" w:space="0" w:color="auto"/>
              <w:left w:val="nil"/>
              <w:bottom w:val="single" w:sz="4" w:space="0" w:color="auto"/>
              <w:right w:val="single" w:sz="4" w:space="0" w:color="auto"/>
            </w:tcBorders>
            <w:shd w:val="clear" w:color="auto" w:fill="auto"/>
            <w:vAlign w:val="bottom"/>
          </w:tcPr>
          <w:p w:rsidR="00E254FF" w:rsidRPr="00E254FF" w:rsidRDefault="00E254FF" w:rsidP="00B43A9B">
            <w:pPr>
              <w:spacing w:after="0"/>
              <w:jc w:val="right"/>
              <w:rPr>
                <w:rFonts w:ascii="Calibri" w:hAnsi="Calibri"/>
                <w:color w:val="000000"/>
                <w:szCs w:val="22"/>
              </w:rPr>
            </w:pPr>
            <w:r>
              <w:rPr>
                <w:rFonts w:ascii="Calibri" w:hAnsi="Calibri"/>
                <w:color w:val="000000"/>
                <w:szCs w:val="22"/>
              </w:rPr>
              <w:t>0</w:t>
            </w:r>
          </w:p>
        </w:tc>
        <w:tc>
          <w:tcPr>
            <w:tcW w:w="411" w:type="pct"/>
            <w:tcBorders>
              <w:top w:val="single" w:sz="4" w:space="0" w:color="auto"/>
              <w:left w:val="nil"/>
              <w:bottom w:val="single" w:sz="4" w:space="0" w:color="auto"/>
              <w:right w:val="single" w:sz="4" w:space="0" w:color="auto"/>
            </w:tcBorders>
            <w:shd w:val="clear" w:color="auto" w:fill="auto"/>
            <w:vAlign w:val="bottom"/>
          </w:tcPr>
          <w:p w:rsidR="00E254FF" w:rsidRPr="00E254FF" w:rsidRDefault="00E254FF" w:rsidP="00B43A9B">
            <w:pPr>
              <w:spacing w:after="0"/>
              <w:jc w:val="right"/>
              <w:rPr>
                <w:rFonts w:ascii="Calibri" w:hAnsi="Calibri"/>
                <w:color w:val="000000"/>
                <w:szCs w:val="22"/>
              </w:rPr>
            </w:pPr>
            <w:r>
              <w:rPr>
                <w:rFonts w:ascii="Calibri" w:hAnsi="Calibri"/>
                <w:color w:val="000000"/>
                <w:szCs w:val="22"/>
              </w:rPr>
              <w:t>0</w:t>
            </w:r>
          </w:p>
        </w:tc>
        <w:tc>
          <w:tcPr>
            <w:tcW w:w="353" w:type="pct"/>
            <w:tcBorders>
              <w:top w:val="single" w:sz="4" w:space="0" w:color="auto"/>
              <w:left w:val="nil"/>
              <w:bottom w:val="single" w:sz="4" w:space="0" w:color="auto"/>
              <w:right w:val="single" w:sz="12" w:space="0" w:color="auto"/>
            </w:tcBorders>
            <w:shd w:val="clear" w:color="auto" w:fill="DBE5F1" w:themeFill="accent1" w:themeFillTint="33"/>
            <w:vAlign w:val="bottom"/>
          </w:tcPr>
          <w:p w:rsidR="00E254FF" w:rsidRPr="00E254FF" w:rsidRDefault="00E254FF" w:rsidP="00B43A9B">
            <w:pPr>
              <w:spacing w:after="0"/>
              <w:jc w:val="right"/>
              <w:rPr>
                <w:rFonts w:ascii="Calibri" w:hAnsi="Calibri"/>
                <w:color w:val="000000"/>
                <w:szCs w:val="22"/>
              </w:rPr>
            </w:pPr>
            <w:r>
              <w:rPr>
                <w:rFonts w:ascii="Calibri" w:hAnsi="Calibri"/>
                <w:color w:val="000000"/>
                <w:szCs w:val="22"/>
              </w:rPr>
              <w:t>2</w:t>
            </w:r>
          </w:p>
        </w:tc>
      </w:tr>
      <w:tr w:rsidR="00E254FF" w:rsidRPr="00E254FF" w:rsidTr="00A02A3D">
        <w:trPr>
          <w:trHeight w:val="20"/>
        </w:trPr>
        <w:tc>
          <w:tcPr>
            <w:tcW w:w="1256" w:type="pct"/>
            <w:tcBorders>
              <w:top w:val="single" w:sz="4" w:space="0" w:color="auto"/>
              <w:left w:val="single" w:sz="12" w:space="0" w:color="auto"/>
              <w:bottom w:val="single" w:sz="12" w:space="0" w:color="auto"/>
              <w:right w:val="nil"/>
            </w:tcBorders>
            <w:shd w:val="clear" w:color="auto" w:fill="FFFFFF"/>
            <w:noWrap/>
            <w:vAlign w:val="center"/>
          </w:tcPr>
          <w:p w:rsidR="00E254FF" w:rsidRPr="00E254FF" w:rsidRDefault="00E254FF" w:rsidP="00A007DB">
            <w:pPr>
              <w:spacing w:after="0"/>
              <w:rPr>
                <w:b/>
                <w:sz w:val="18"/>
                <w:szCs w:val="18"/>
              </w:rPr>
            </w:pPr>
            <w:r w:rsidRPr="00E254FF">
              <w:rPr>
                <w:b/>
                <w:sz w:val="18"/>
                <w:szCs w:val="18"/>
              </w:rPr>
              <w:t>B/Yamagata lineage</w:t>
            </w:r>
          </w:p>
        </w:tc>
        <w:tc>
          <w:tcPr>
            <w:tcW w:w="424" w:type="pct"/>
            <w:tcBorders>
              <w:top w:val="single" w:sz="4" w:space="0" w:color="auto"/>
              <w:left w:val="single" w:sz="4" w:space="0" w:color="auto"/>
              <w:bottom w:val="single" w:sz="12" w:space="0" w:color="auto"/>
              <w:right w:val="single" w:sz="4" w:space="0" w:color="auto"/>
            </w:tcBorders>
            <w:shd w:val="clear" w:color="auto" w:fill="auto"/>
            <w:vAlign w:val="bottom"/>
          </w:tcPr>
          <w:p w:rsidR="00E254FF" w:rsidRPr="00E254FF" w:rsidRDefault="00E254FF" w:rsidP="00B43A9B">
            <w:pPr>
              <w:spacing w:after="0"/>
              <w:jc w:val="right"/>
              <w:rPr>
                <w:rFonts w:ascii="Calibri" w:hAnsi="Calibri"/>
                <w:color w:val="000000"/>
                <w:szCs w:val="22"/>
              </w:rPr>
            </w:pPr>
            <w:r>
              <w:rPr>
                <w:rFonts w:ascii="Calibri" w:hAnsi="Calibri"/>
                <w:color w:val="000000"/>
                <w:szCs w:val="22"/>
              </w:rPr>
              <w:t>0</w:t>
            </w:r>
          </w:p>
        </w:tc>
        <w:tc>
          <w:tcPr>
            <w:tcW w:w="423" w:type="pct"/>
            <w:tcBorders>
              <w:top w:val="single" w:sz="4" w:space="0" w:color="auto"/>
              <w:left w:val="nil"/>
              <w:bottom w:val="single" w:sz="12" w:space="0" w:color="auto"/>
              <w:right w:val="single" w:sz="4" w:space="0" w:color="auto"/>
            </w:tcBorders>
            <w:shd w:val="clear" w:color="auto" w:fill="auto"/>
            <w:vAlign w:val="bottom"/>
          </w:tcPr>
          <w:p w:rsidR="00E254FF" w:rsidRPr="00E254FF" w:rsidRDefault="00E254FF" w:rsidP="00B43A9B">
            <w:pPr>
              <w:spacing w:after="0"/>
              <w:jc w:val="right"/>
              <w:rPr>
                <w:rFonts w:ascii="Calibri" w:hAnsi="Calibri"/>
                <w:color w:val="000000"/>
                <w:szCs w:val="22"/>
              </w:rPr>
            </w:pPr>
            <w:r>
              <w:rPr>
                <w:rFonts w:ascii="Calibri" w:hAnsi="Calibri"/>
                <w:color w:val="000000"/>
                <w:szCs w:val="22"/>
              </w:rPr>
              <w:t>9</w:t>
            </w:r>
          </w:p>
        </w:tc>
        <w:tc>
          <w:tcPr>
            <w:tcW w:w="424" w:type="pct"/>
            <w:tcBorders>
              <w:top w:val="single" w:sz="4" w:space="0" w:color="auto"/>
              <w:left w:val="nil"/>
              <w:bottom w:val="single" w:sz="12" w:space="0" w:color="auto"/>
              <w:right w:val="single" w:sz="4" w:space="0" w:color="auto"/>
            </w:tcBorders>
            <w:shd w:val="clear" w:color="auto" w:fill="auto"/>
            <w:vAlign w:val="bottom"/>
          </w:tcPr>
          <w:p w:rsidR="00E254FF" w:rsidRPr="00E254FF" w:rsidRDefault="00E254FF" w:rsidP="00B43A9B">
            <w:pPr>
              <w:spacing w:after="0"/>
              <w:jc w:val="right"/>
              <w:rPr>
                <w:rFonts w:ascii="Calibri" w:hAnsi="Calibri"/>
                <w:color w:val="000000"/>
                <w:szCs w:val="22"/>
              </w:rPr>
            </w:pPr>
            <w:r w:rsidRPr="00E254FF">
              <w:rPr>
                <w:rFonts w:ascii="Calibri" w:hAnsi="Calibri"/>
                <w:color w:val="000000"/>
                <w:szCs w:val="22"/>
              </w:rPr>
              <w:t>2</w:t>
            </w:r>
          </w:p>
        </w:tc>
        <w:tc>
          <w:tcPr>
            <w:tcW w:w="424" w:type="pct"/>
            <w:tcBorders>
              <w:top w:val="single" w:sz="4" w:space="0" w:color="auto"/>
              <w:left w:val="nil"/>
              <w:bottom w:val="single" w:sz="12" w:space="0" w:color="auto"/>
              <w:right w:val="single" w:sz="4" w:space="0" w:color="auto"/>
            </w:tcBorders>
            <w:shd w:val="clear" w:color="auto" w:fill="auto"/>
            <w:vAlign w:val="bottom"/>
          </w:tcPr>
          <w:p w:rsidR="00E254FF" w:rsidRPr="00E254FF" w:rsidRDefault="00E254FF" w:rsidP="00B43A9B">
            <w:pPr>
              <w:spacing w:after="0"/>
              <w:jc w:val="right"/>
              <w:rPr>
                <w:rFonts w:ascii="Calibri" w:hAnsi="Calibri"/>
                <w:color w:val="000000"/>
                <w:szCs w:val="22"/>
              </w:rPr>
            </w:pPr>
            <w:r>
              <w:rPr>
                <w:rFonts w:ascii="Calibri" w:hAnsi="Calibri"/>
                <w:color w:val="000000"/>
                <w:szCs w:val="22"/>
              </w:rPr>
              <w:t>8</w:t>
            </w:r>
          </w:p>
        </w:tc>
        <w:tc>
          <w:tcPr>
            <w:tcW w:w="425" w:type="pct"/>
            <w:tcBorders>
              <w:top w:val="single" w:sz="4" w:space="0" w:color="auto"/>
              <w:left w:val="nil"/>
              <w:bottom w:val="single" w:sz="12" w:space="0" w:color="auto"/>
              <w:right w:val="single" w:sz="4" w:space="0" w:color="auto"/>
            </w:tcBorders>
            <w:shd w:val="clear" w:color="auto" w:fill="auto"/>
            <w:vAlign w:val="bottom"/>
          </w:tcPr>
          <w:p w:rsidR="00E254FF" w:rsidRPr="00E254FF" w:rsidRDefault="00E254FF" w:rsidP="00B43A9B">
            <w:pPr>
              <w:spacing w:after="0"/>
              <w:jc w:val="right"/>
              <w:rPr>
                <w:rFonts w:ascii="Calibri" w:hAnsi="Calibri"/>
                <w:color w:val="000000"/>
                <w:szCs w:val="22"/>
              </w:rPr>
            </w:pPr>
            <w:r>
              <w:rPr>
                <w:rFonts w:ascii="Calibri" w:hAnsi="Calibri"/>
                <w:color w:val="000000"/>
                <w:szCs w:val="22"/>
              </w:rPr>
              <w:t>1</w:t>
            </w:r>
          </w:p>
        </w:tc>
        <w:tc>
          <w:tcPr>
            <w:tcW w:w="449" w:type="pct"/>
            <w:tcBorders>
              <w:top w:val="single" w:sz="4" w:space="0" w:color="auto"/>
              <w:left w:val="nil"/>
              <w:bottom w:val="single" w:sz="12" w:space="0" w:color="auto"/>
              <w:right w:val="single" w:sz="4" w:space="0" w:color="auto"/>
            </w:tcBorders>
            <w:shd w:val="clear" w:color="auto" w:fill="auto"/>
            <w:vAlign w:val="bottom"/>
          </w:tcPr>
          <w:p w:rsidR="00E254FF" w:rsidRPr="00E254FF" w:rsidRDefault="00E254FF" w:rsidP="00B43A9B">
            <w:pPr>
              <w:spacing w:after="0"/>
              <w:jc w:val="right"/>
              <w:rPr>
                <w:rFonts w:ascii="Calibri" w:hAnsi="Calibri"/>
                <w:color w:val="000000"/>
                <w:szCs w:val="22"/>
              </w:rPr>
            </w:pPr>
            <w:r>
              <w:rPr>
                <w:rFonts w:ascii="Calibri" w:hAnsi="Calibri"/>
                <w:color w:val="000000"/>
                <w:szCs w:val="22"/>
              </w:rPr>
              <w:t>0</w:t>
            </w:r>
          </w:p>
        </w:tc>
        <w:tc>
          <w:tcPr>
            <w:tcW w:w="411" w:type="pct"/>
            <w:tcBorders>
              <w:top w:val="single" w:sz="4" w:space="0" w:color="auto"/>
              <w:left w:val="nil"/>
              <w:bottom w:val="single" w:sz="12" w:space="0" w:color="auto"/>
              <w:right w:val="single" w:sz="4" w:space="0" w:color="auto"/>
            </w:tcBorders>
            <w:shd w:val="clear" w:color="auto" w:fill="auto"/>
            <w:vAlign w:val="bottom"/>
          </w:tcPr>
          <w:p w:rsidR="00E254FF" w:rsidRPr="00E254FF" w:rsidRDefault="00E254FF" w:rsidP="00B43A9B">
            <w:pPr>
              <w:spacing w:after="0"/>
              <w:jc w:val="right"/>
              <w:rPr>
                <w:rFonts w:ascii="Calibri" w:hAnsi="Calibri"/>
                <w:color w:val="000000"/>
                <w:szCs w:val="22"/>
              </w:rPr>
            </w:pPr>
            <w:r>
              <w:rPr>
                <w:rFonts w:ascii="Calibri" w:hAnsi="Calibri"/>
                <w:color w:val="000000"/>
                <w:szCs w:val="22"/>
              </w:rPr>
              <w:t>0</w:t>
            </w:r>
          </w:p>
        </w:tc>
        <w:tc>
          <w:tcPr>
            <w:tcW w:w="411" w:type="pct"/>
            <w:tcBorders>
              <w:top w:val="single" w:sz="4" w:space="0" w:color="auto"/>
              <w:left w:val="nil"/>
              <w:bottom w:val="single" w:sz="12" w:space="0" w:color="auto"/>
              <w:right w:val="single" w:sz="4" w:space="0" w:color="auto"/>
            </w:tcBorders>
            <w:shd w:val="clear" w:color="auto" w:fill="auto"/>
            <w:vAlign w:val="bottom"/>
          </w:tcPr>
          <w:p w:rsidR="00E254FF" w:rsidRPr="00E254FF" w:rsidRDefault="00E254FF" w:rsidP="00B43A9B">
            <w:pPr>
              <w:spacing w:after="0"/>
              <w:jc w:val="right"/>
              <w:rPr>
                <w:rFonts w:ascii="Calibri" w:hAnsi="Calibri"/>
                <w:color w:val="000000"/>
                <w:szCs w:val="22"/>
              </w:rPr>
            </w:pPr>
            <w:r>
              <w:rPr>
                <w:rFonts w:ascii="Calibri" w:hAnsi="Calibri"/>
                <w:color w:val="000000"/>
                <w:szCs w:val="22"/>
              </w:rPr>
              <w:t>0</w:t>
            </w:r>
          </w:p>
        </w:tc>
        <w:tc>
          <w:tcPr>
            <w:tcW w:w="353" w:type="pct"/>
            <w:tcBorders>
              <w:top w:val="single" w:sz="4" w:space="0" w:color="auto"/>
              <w:left w:val="nil"/>
              <w:bottom w:val="single" w:sz="12" w:space="0" w:color="auto"/>
              <w:right w:val="single" w:sz="12" w:space="0" w:color="auto"/>
            </w:tcBorders>
            <w:shd w:val="clear" w:color="auto" w:fill="DBE5F1" w:themeFill="accent1" w:themeFillTint="33"/>
            <w:vAlign w:val="bottom"/>
          </w:tcPr>
          <w:p w:rsidR="00E254FF" w:rsidRPr="00E254FF" w:rsidRDefault="00E254FF" w:rsidP="00B43A9B">
            <w:pPr>
              <w:spacing w:after="0"/>
              <w:jc w:val="right"/>
              <w:rPr>
                <w:rFonts w:ascii="Calibri" w:hAnsi="Calibri"/>
                <w:color w:val="000000"/>
                <w:szCs w:val="22"/>
              </w:rPr>
            </w:pPr>
            <w:r>
              <w:rPr>
                <w:rFonts w:ascii="Calibri" w:hAnsi="Calibri"/>
                <w:color w:val="000000"/>
                <w:szCs w:val="22"/>
              </w:rPr>
              <w:t>20</w:t>
            </w:r>
          </w:p>
        </w:tc>
      </w:tr>
      <w:tr w:rsidR="00E254FF" w:rsidRPr="00E254FF" w:rsidTr="00A02A3D">
        <w:trPr>
          <w:trHeight w:val="20"/>
        </w:trPr>
        <w:tc>
          <w:tcPr>
            <w:tcW w:w="1256" w:type="pct"/>
            <w:tcBorders>
              <w:top w:val="single" w:sz="12" w:space="0" w:color="auto"/>
              <w:left w:val="single" w:sz="12" w:space="0" w:color="auto"/>
              <w:bottom w:val="single" w:sz="12" w:space="0" w:color="auto"/>
              <w:right w:val="nil"/>
            </w:tcBorders>
            <w:shd w:val="clear" w:color="auto" w:fill="DBE5F1" w:themeFill="accent1" w:themeFillTint="33"/>
            <w:vAlign w:val="center"/>
          </w:tcPr>
          <w:p w:rsidR="00E254FF" w:rsidRPr="00E254FF" w:rsidRDefault="00E254FF" w:rsidP="00A007DB">
            <w:pPr>
              <w:spacing w:after="0"/>
              <w:rPr>
                <w:b/>
                <w:sz w:val="18"/>
                <w:szCs w:val="18"/>
              </w:rPr>
            </w:pPr>
            <w:r w:rsidRPr="00E254FF">
              <w:rPr>
                <w:b/>
                <w:sz w:val="18"/>
                <w:szCs w:val="18"/>
              </w:rPr>
              <w:t>Total</w:t>
            </w:r>
          </w:p>
        </w:tc>
        <w:tc>
          <w:tcPr>
            <w:tcW w:w="424" w:type="pct"/>
            <w:tcBorders>
              <w:top w:val="single" w:sz="12" w:space="0" w:color="auto"/>
              <w:left w:val="single" w:sz="4" w:space="0" w:color="auto"/>
              <w:bottom w:val="single" w:sz="12" w:space="0" w:color="auto"/>
              <w:right w:val="single" w:sz="4" w:space="0" w:color="auto"/>
            </w:tcBorders>
            <w:shd w:val="clear" w:color="auto" w:fill="DBE5F1" w:themeFill="accent1" w:themeFillTint="33"/>
            <w:vAlign w:val="bottom"/>
          </w:tcPr>
          <w:p w:rsidR="00E254FF" w:rsidRPr="00E254FF" w:rsidRDefault="00E254FF" w:rsidP="00B43A9B">
            <w:pPr>
              <w:spacing w:after="0"/>
              <w:jc w:val="right"/>
              <w:rPr>
                <w:rFonts w:ascii="Calibri" w:hAnsi="Calibri"/>
                <w:color w:val="000000"/>
                <w:szCs w:val="22"/>
              </w:rPr>
            </w:pPr>
            <w:r>
              <w:rPr>
                <w:rFonts w:ascii="Calibri" w:hAnsi="Calibri"/>
                <w:color w:val="000000"/>
                <w:szCs w:val="22"/>
              </w:rPr>
              <w:t>1</w:t>
            </w:r>
          </w:p>
        </w:tc>
        <w:tc>
          <w:tcPr>
            <w:tcW w:w="423" w:type="pct"/>
            <w:tcBorders>
              <w:top w:val="single" w:sz="12" w:space="0" w:color="auto"/>
              <w:left w:val="nil"/>
              <w:bottom w:val="single" w:sz="12" w:space="0" w:color="auto"/>
              <w:right w:val="single" w:sz="4" w:space="0" w:color="auto"/>
            </w:tcBorders>
            <w:shd w:val="clear" w:color="auto" w:fill="DBE5F1" w:themeFill="accent1" w:themeFillTint="33"/>
            <w:vAlign w:val="bottom"/>
          </w:tcPr>
          <w:p w:rsidR="00E254FF" w:rsidRPr="00E254FF" w:rsidRDefault="00E254FF" w:rsidP="00B43A9B">
            <w:pPr>
              <w:spacing w:after="0"/>
              <w:jc w:val="right"/>
              <w:rPr>
                <w:rFonts w:ascii="Calibri" w:hAnsi="Calibri"/>
                <w:color w:val="000000"/>
                <w:szCs w:val="22"/>
              </w:rPr>
            </w:pPr>
            <w:r>
              <w:rPr>
                <w:rFonts w:ascii="Calibri" w:hAnsi="Calibri"/>
                <w:color w:val="000000"/>
                <w:szCs w:val="22"/>
              </w:rPr>
              <w:t>87</w:t>
            </w:r>
          </w:p>
        </w:tc>
        <w:tc>
          <w:tcPr>
            <w:tcW w:w="424" w:type="pct"/>
            <w:tcBorders>
              <w:top w:val="single" w:sz="12" w:space="0" w:color="auto"/>
              <w:left w:val="nil"/>
              <w:bottom w:val="single" w:sz="12" w:space="0" w:color="auto"/>
              <w:right w:val="single" w:sz="4" w:space="0" w:color="auto"/>
            </w:tcBorders>
            <w:shd w:val="clear" w:color="auto" w:fill="DBE5F1" w:themeFill="accent1" w:themeFillTint="33"/>
            <w:vAlign w:val="bottom"/>
          </w:tcPr>
          <w:p w:rsidR="00E254FF" w:rsidRPr="00E254FF" w:rsidRDefault="00E254FF" w:rsidP="00B43A9B">
            <w:pPr>
              <w:spacing w:after="0"/>
              <w:jc w:val="right"/>
              <w:rPr>
                <w:rFonts w:ascii="Calibri" w:hAnsi="Calibri"/>
                <w:color w:val="000000"/>
                <w:szCs w:val="22"/>
              </w:rPr>
            </w:pPr>
            <w:r>
              <w:rPr>
                <w:rFonts w:ascii="Calibri" w:hAnsi="Calibri"/>
                <w:color w:val="000000"/>
                <w:szCs w:val="22"/>
              </w:rPr>
              <w:t>12</w:t>
            </w:r>
          </w:p>
        </w:tc>
        <w:tc>
          <w:tcPr>
            <w:tcW w:w="424" w:type="pct"/>
            <w:tcBorders>
              <w:top w:val="single" w:sz="12" w:space="0" w:color="auto"/>
              <w:left w:val="nil"/>
              <w:bottom w:val="single" w:sz="12" w:space="0" w:color="auto"/>
              <w:right w:val="single" w:sz="4" w:space="0" w:color="auto"/>
            </w:tcBorders>
            <w:shd w:val="clear" w:color="auto" w:fill="DBE5F1" w:themeFill="accent1" w:themeFillTint="33"/>
            <w:vAlign w:val="bottom"/>
          </w:tcPr>
          <w:p w:rsidR="00E254FF" w:rsidRPr="00E254FF" w:rsidRDefault="00E254FF" w:rsidP="00B43A9B">
            <w:pPr>
              <w:spacing w:after="0"/>
              <w:jc w:val="right"/>
              <w:rPr>
                <w:rFonts w:ascii="Calibri" w:hAnsi="Calibri"/>
                <w:color w:val="000000"/>
                <w:szCs w:val="22"/>
              </w:rPr>
            </w:pPr>
            <w:r>
              <w:rPr>
                <w:rFonts w:ascii="Calibri" w:hAnsi="Calibri"/>
                <w:color w:val="000000"/>
                <w:szCs w:val="22"/>
              </w:rPr>
              <w:t>41</w:t>
            </w:r>
          </w:p>
        </w:tc>
        <w:tc>
          <w:tcPr>
            <w:tcW w:w="425" w:type="pct"/>
            <w:tcBorders>
              <w:top w:val="single" w:sz="12" w:space="0" w:color="auto"/>
              <w:left w:val="nil"/>
              <w:bottom w:val="single" w:sz="12" w:space="0" w:color="auto"/>
              <w:right w:val="single" w:sz="4" w:space="0" w:color="auto"/>
            </w:tcBorders>
            <w:shd w:val="clear" w:color="auto" w:fill="DBE5F1" w:themeFill="accent1" w:themeFillTint="33"/>
            <w:vAlign w:val="bottom"/>
          </w:tcPr>
          <w:p w:rsidR="00E254FF" w:rsidRPr="00E254FF" w:rsidRDefault="00E254FF" w:rsidP="00B43A9B">
            <w:pPr>
              <w:spacing w:after="0"/>
              <w:jc w:val="right"/>
              <w:rPr>
                <w:rFonts w:ascii="Calibri" w:hAnsi="Calibri"/>
                <w:color w:val="000000"/>
                <w:szCs w:val="22"/>
              </w:rPr>
            </w:pPr>
            <w:r>
              <w:rPr>
                <w:rFonts w:ascii="Calibri" w:hAnsi="Calibri"/>
                <w:color w:val="000000"/>
                <w:szCs w:val="22"/>
              </w:rPr>
              <w:t>38</w:t>
            </w:r>
          </w:p>
        </w:tc>
        <w:tc>
          <w:tcPr>
            <w:tcW w:w="449" w:type="pct"/>
            <w:tcBorders>
              <w:top w:val="single" w:sz="12" w:space="0" w:color="auto"/>
              <w:left w:val="nil"/>
              <w:bottom w:val="single" w:sz="12" w:space="0" w:color="auto"/>
              <w:right w:val="single" w:sz="4" w:space="0" w:color="auto"/>
            </w:tcBorders>
            <w:shd w:val="clear" w:color="auto" w:fill="DBE5F1" w:themeFill="accent1" w:themeFillTint="33"/>
            <w:vAlign w:val="bottom"/>
          </w:tcPr>
          <w:p w:rsidR="00E254FF" w:rsidRPr="00E254FF" w:rsidRDefault="00E254FF" w:rsidP="00B43A9B">
            <w:pPr>
              <w:spacing w:after="0"/>
              <w:jc w:val="right"/>
              <w:rPr>
                <w:rFonts w:ascii="Calibri" w:hAnsi="Calibri"/>
                <w:color w:val="000000"/>
                <w:szCs w:val="22"/>
              </w:rPr>
            </w:pPr>
            <w:r>
              <w:rPr>
                <w:rFonts w:ascii="Calibri" w:hAnsi="Calibri"/>
                <w:color w:val="000000"/>
                <w:szCs w:val="22"/>
              </w:rPr>
              <w:t>2</w:t>
            </w:r>
          </w:p>
        </w:tc>
        <w:tc>
          <w:tcPr>
            <w:tcW w:w="411" w:type="pct"/>
            <w:tcBorders>
              <w:top w:val="single" w:sz="12" w:space="0" w:color="auto"/>
              <w:left w:val="nil"/>
              <w:bottom w:val="single" w:sz="12" w:space="0" w:color="auto"/>
              <w:right w:val="single" w:sz="4" w:space="0" w:color="auto"/>
            </w:tcBorders>
            <w:shd w:val="clear" w:color="auto" w:fill="DBE5F1" w:themeFill="accent1" w:themeFillTint="33"/>
            <w:vAlign w:val="bottom"/>
          </w:tcPr>
          <w:p w:rsidR="00E254FF" w:rsidRPr="00E254FF" w:rsidRDefault="00E254FF" w:rsidP="00B43A9B">
            <w:pPr>
              <w:spacing w:after="0"/>
              <w:jc w:val="right"/>
              <w:rPr>
                <w:rFonts w:ascii="Calibri" w:hAnsi="Calibri"/>
                <w:color w:val="000000"/>
                <w:szCs w:val="22"/>
              </w:rPr>
            </w:pPr>
            <w:r>
              <w:rPr>
                <w:rFonts w:ascii="Calibri" w:hAnsi="Calibri"/>
                <w:color w:val="000000"/>
                <w:szCs w:val="22"/>
              </w:rPr>
              <w:t>3</w:t>
            </w:r>
          </w:p>
        </w:tc>
        <w:tc>
          <w:tcPr>
            <w:tcW w:w="411" w:type="pct"/>
            <w:tcBorders>
              <w:top w:val="single" w:sz="12" w:space="0" w:color="auto"/>
              <w:left w:val="nil"/>
              <w:bottom w:val="single" w:sz="12" w:space="0" w:color="auto"/>
              <w:right w:val="single" w:sz="4" w:space="0" w:color="auto"/>
            </w:tcBorders>
            <w:shd w:val="clear" w:color="auto" w:fill="DBE5F1" w:themeFill="accent1" w:themeFillTint="33"/>
            <w:vAlign w:val="bottom"/>
          </w:tcPr>
          <w:p w:rsidR="00E254FF" w:rsidRPr="00E254FF" w:rsidRDefault="00E254FF" w:rsidP="00B43A9B">
            <w:pPr>
              <w:spacing w:after="0"/>
              <w:jc w:val="right"/>
              <w:rPr>
                <w:rFonts w:ascii="Calibri" w:hAnsi="Calibri"/>
                <w:color w:val="000000"/>
                <w:szCs w:val="22"/>
              </w:rPr>
            </w:pPr>
            <w:r>
              <w:rPr>
                <w:rFonts w:ascii="Calibri" w:hAnsi="Calibri"/>
                <w:color w:val="000000"/>
                <w:szCs w:val="22"/>
              </w:rPr>
              <w:t>4</w:t>
            </w:r>
          </w:p>
        </w:tc>
        <w:tc>
          <w:tcPr>
            <w:tcW w:w="353" w:type="pct"/>
            <w:tcBorders>
              <w:top w:val="single" w:sz="12" w:space="0" w:color="auto"/>
              <w:left w:val="nil"/>
              <w:bottom w:val="single" w:sz="12" w:space="0" w:color="auto"/>
              <w:right w:val="single" w:sz="12" w:space="0" w:color="auto"/>
            </w:tcBorders>
            <w:shd w:val="clear" w:color="auto" w:fill="DBE5F1" w:themeFill="accent1" w:themeFillTint="33"/>
            <w:vAlign w:val="bottom"/>
          </w:tcPr>
          <w:p w:rsidR="00E254FF" w:rsidRPr="00E254FF" w:rsidRDefault="00E254FF" w:rsidP="00B43A9B">
            <w:pPr>
              <w:spacing w:after="0"/>
              <w:jc w:val="right"/>
              <w:rPr>
                <w:rFonts w:ascii="Calibri" w:hAnsi="Calibri"/>
                <w:color w:val="000000"/>
                <w:szCs w:val="22"/>
              </w:rPr>
            </w:pPr>
            <w:r w:rsidRPr="00E254FF">
              <w:rPr>
                <w:rFonts w:ascii="Calibri" w:hAnsi="Calibri"/>
                <w:color w:val="000000"/>
                <w:szCs w:val="22"/>
              </w:rPr>
              <w:t>1</w:t>
            </w:r>
            <w:r>
              <w:rPr>
                <w:rFonts w:ascii="Calibri" w:hAnsi="Calibri"/>
                <w:color w:val="000000"/>
                <w:szCs w:val="22"/>
              </w:rPr>
              <w:t>88</w:t>
            </w:r>
          </w:p>
        </w:tc>
      </w:tr>
    </w:tbl>
    <w:p w:rsidR="00E254FF" w:rsidRPr="00E254FF" w:rsidRDefault="00E254FF" w:rsidP="00E254FF">
      <w:pPr>
        <w:pStyle w:val="FootnoteText"/>
        <w:spacing w:after="0"/>
        <w:contextualSpacing/>
      </w:pPr>
      <w:r w:rsidRPr="00E254FF">
        <w:tab/>
        <w:t>SOURCE: WHO CC</w:t>
      </w:r>
    </w:p>
    <w:p w:rsidR="00E254FF" w:rsidRPr="00E254FF" w:rsidRDefault="00E254FF" w:rsidP="00E254FF">
      <w:pPr>
        <w:pStyle w:val="FootnoteText"/>
        <w:spacing w:after="0"/>
        <w:contextualSpacing/>
      </w:pPr>
      <w:r w:rsidRPr="00E254FF">
        <w:t>Note: Viruses tested by the WHO CC are not necessarily a random sample of all those in the community.</w:t>
      </w:r>
    </w:p>
    <w:p w:rsidR="00E254FF" w:rsidRPr="00E254FF" w:rsidRDefault="00E254FF" w:rsidP="00E254FF">
      <w:pPr>
        <w:pStyle w:val="FootnoteText"/>
        <w:spacing w:after="0"/>
        <w:contextualSpacing/>
      </w:pPr>
      <w:r w:rsidRPr="00E254FF">
        <w:t>State indicates the residential location for the individual tested, not the submitting laboratory.</w:t>
      </w:r>
    </w:p>
    <w:p w:rsidR="00E254FF" w:rsidRPr="00E254FF" w:rsidRDefault="00E254FF" w:rsidP="00E254FF">
      <w:pPr>
        <w:pStyle w:val="FootnoteText"/>
        <w:spacing w:after="0"/>
        <w:contextualSpacing/>
      </w:pPr>
      <w:r w:rsidRPr="00E254FF">
        <w:t>There may be up to a month delay on reporting of samples.</w:t>
      </w:r>
    </w:p>
    <w:p w:rsidR="00E254FF" w:rsidRPr="00E254FF" w:rsidRDefault="00E254FF" w:rsidP="00E254FF">
      <w:pPr>
        <w:pStyle w:val="Heading3"/>
      </w:pPr>
      <w:r w:rsidRPr="00E254FF">
        <w:t xml:space="preserve">Antiviral Resistance </w:t>
      </w:r>
    </w:p>
    <w:p w:rsidR="00E254FF" w:rsidRPr="00E254FF" w:rsidRDefault="00E254FF" w:rsidP="00E254FF">
      <w:pPr>
        <w:rPr>
          <w:highlight w:val="yellow"/>
        </w:rPr>
      </w:pPr>
      <w:r w:rsidRPr="00E254FF">
        <w:t xml:space="preserve">The WHOCC reported that from 1 January to 16 May 2017, of the 253 influenza viruses tested for neuraminidase inhibitor resistance, none of the samples demonstrated reduced inhibition to the antiviral drugs </w:t>
      </w:r>
      <w:proofErr w:type="spellStart"/>
      <w:r w:rsidRPr="00E254FF">
        <w:t>Oseltamivir</w:t>
      </w:r>
      <w:proofErr w:type="spellEnd"/>
      <w:r w:rsidRPr="00E254FF">
        <w:t xml:space="preserve"> or </w:t>
      </w:r>
      <w:proofErr w:type="spellStart"/>
      <w:r w:rsidRPr="00E254FF">
        <w:t>Zanamivir</w:t>
      </w:r>
      <w:proofErr w:type="spellEnd"/>
      <w:r w:rsidRPr="00E254FF">
        <w:t xml:space="preserve">. </w:t>
      </w:r>
      <w:r w:rsidRPr="00E254FF">
        <w:rPr>
          <w:highlight w:val="yellow"/>
        </w:rPr>
        <w:t xml:space="preserve"> </w:t>
      </w:r>
    </w:p>
    <w:p w:rsidR="00E254FF" w:rsidRPr="006B4F4B" w:rsidRDefault="009272F2" w:rsidP="00E254FF">
      <w:pPr>
        <w:pStyle w:val="Heading2"/>
      </w:pPr>
      <w:r>
        <w:t>6</w:t>
      </w:r>
      <w:r w:rsidR="00E254FF" w:rsidRPr="006B4F4B">
        <w:t xml:space="preserve">. International Surveillance </w:t>
      </w:r>
    </w:p>
    <w:p w:rsidR="00E254FF" w:rsidRPr="00E254FF" w:rsidRDefault="00E254FF" w:rsidP="00E254FF">
      <w:r w:rsidRPr="006B4F4B">
        <w:t xml:space="preserve">The World Health Organization reported that </w:t>
      </w:r>
      <w:r w:rsidR="001C1C8A">
        <w:t xml:space="preserve">based on data up to 14 May </w:t>
      </w:r>
      <w:r w:rsidRPr="006B4F4B">
        <w:t xml:space="preserve">influenza activity in temperate southern hemisphere countries </w:t>
      </w:r>
      <w:r w:rsidR="001C1C8A">
        <w:t>had</w:t>
      </w:r>
      <w:r w:rsidR="001C1C8A" w:rsidRPr="006B4F4B">
        <w:t xml:space="preserve"> </w:t>
      </w:r>
      <w:r w:rsidR="00DE0FAA" w:rsidRPr="006B4F4B">
        <w:t>begun to increase slowly, but remains low generally</w:t>
      </w:r>
      <w:r w:rsidR="009272F2">
        <w:t>.</w:t>
      </w:r>
      <w:r w:rsidRPr="006B4F4B">
        <w:t xml:space="preserve"> Influenza activity in the temperate zone of the northern hemisphere </w:t>
      </w:r>
      <w:r w:rsidR="00DE0FAA" w:rsidRPr="006B4F4B">
        <w:t>is decreasing</w:t>
      </w:r>
      <w:r w:rsidRPr="006B4F4B">
        <w:t>.</w:t>
      </w:r>
      <w:r w:rsidR="001C1C8A">
        <w:t xml:space="preserve"> Worldwide, influenza B viruses were predominant.</w:t>
      </w:r>
    </w:p>
    <w:p w:rsidR="00306F0B" w:rsidRPr="00F154E0" w:rsidRDefault="00D04E45" w:rsidP="00D04E45">
      <w:pPr>
        <w:pStyle w:val="Heading1"/>
      </w:pPr>
      <w:r w:rsidRPr="00F154E0">
        <w:t>DATA CONSIDERATIONS</w:t>
      </w:r>
    </w:p>
    <w:p w:rsidR="00921776" w:rsidRPr="00F154E0" w:rsidRDefault="00B73A7C" w:rsidP="00921776">
      <w:pPr>
        <w:rPr>
          <w:rFonts w:cstheme="minorHAnsi"/>
        </w:rPr>
      </w:pPr>
      <w:r w:rsidRPr="00F154E0">
        <w:rPr>
          <w:rFonts w:cstheme="minorHAnsi"/>
        </w:rPr>
        <w:t xml:space="preserve">The NNDSS data provided were extracted on </w:t>
      </w:r>
      <w:r w:rsidR="005C5E90" w:rsidRPr="00F154E0">
        <w:rPr>
          <w:rFonts w:cstheme="minorHAnsi"/>
        </w:rPr>
        <w:t>26 May</w:t>
      </w:r>
      <w:r w:rsidRPr="00F154E0">
        <w:rPr>
          <w:rFonts w:cstheme="minorHAnsi"/>
        </w:rPr>
        <w:t xml:space="preserve"> 2017. Due to the dynamic nature of the NNDSS, data in this report is subject to retrospective revision and may vary from data reported in published NNDSS reports and reports of notification data by states and territories. </w:t>
      </w:r>
      <w:r w:rsidR="00F03D6C" w:rsidRPr="00F154E0">
        <w:rPr>
          <w:rFonts w:cstheme="minorHAnsi"/>
        </w:rPr>
        <w:t>Detailed notes on interpreting the data presented in this report are available at</w:t>
      </w:r>
      <w:r w:rsidR="00486EB6" w:rsidRPr="00F154E0">
        <w:rPr>
          <w:rFonts w:cstheme="minorHAnsi"/>
        </w:rPr>
        <w:t xml:space="preserve"> the Department of Health’s </w:t>
      </w:r>
      <w:hyperlink r:id="rId22" w:history="1">
        <w:r w:rsidR="00486EB6" w:rsidRPr="00F154E0">
          <w:rPr>
            <w:rStyle w:val="Hyperlink"/>
            <w:rFonts w:cstheme="minorHAnsi"/>
          </w:rPr>
          <w:t>Australian Influenza Surveillance Report website</w:t>
        </w:r>
      </w:hyperlink>
      <w:r w:rsidR="00486EB6" w:rsidRPr="00F154E0">
        <w:rPr>
          <w:rFonts w:cstheme="minorHAnsi"/>
        </w:rPr>
        <w:t xml:space="preserve"> (</w:t>
      </w:r>
      <w:bookmarkStart w:id="24" w:name="_GoBack"/>
      <w:bookmarkEnd w:id="24"/>
      <w:r w:rsidRPr="00D27B8C">
        <w:rPr>
          <w:rFonts w:cstheme="minorHAnsi"/>
        </w:rPr>
        <w:t>www.health.gov.au/flureport</w:t>
      </w:r>
      <w:r w:rsidR="00486EB6" w:rsidRPr="00F154E0">
        <w:t>)</w:t>
      </w:r>
      <w:r w:rsidR="00F95F6B" w:rsidRPr="00F154E0">
        <w:rPr>
          <w:rFonts w:cstheme="minorHAnsi"/>
        </w:rPr>
        <w:t>.</w:t>
      </w:r>
      <w:r w:rsidRPr="00F154E0">
        <w:rPr>
          <w:rFonts w:cstheme="minorHAnsi"/>
        </w:rPr>
        <w:t xml:space="preserve"> </w:t>
      </w:r>
    </w:p>
    <w:p w:rsidR="00B6434C" w:rsidRPr="00F154E0" w:rsidRDefault="00240D68" w:rsidP="00240D68">
      <w:pPr>
        <w:rPr>
          <w:rFonts w:cstheme="minorHAnsi"/>
        </w:rPr>
      </w:pPr>
      <w:r w:rsidRPr="00F154E0">
        <w:rPr>
          <w:rFonts w:cstheme="minorHAnsi"/>
        </w:rPr>
        <w:t>The Australian Influenza Surveillance Report and Activity Updates are compiled from a number of data</w:t>
      </w:r>
      <w:r w:rsidR="00CC217E" w:rsidRPr="00F154E0">
        <w:rPr>
          <w:rFonts w:cstheme="minorHAnsi"/>
        </w:rPr>
        <w:t xml:space="preserve"> </w:t>
      </w:r>
      <w:r w:rsidRPr="00F154E0">
        <w:rPr>
          <w:rFonts w:cstheme="minorHAnsi"/>
        </w:rPr>
        <w:t>sources, which are used to monitor influenza activity and severity in the community. These data sources include laboratory-confirmed notifications to the NNDSS; influenza associated hospitalisations; sentinel influenza-like illness (ILI) reporting from general practitioners and emergency departments; and community level surveys; and sentinel laboratory testing results. The information in this report is reliant on the surveillance sources available to the Department of Health</w:t>
      </w:r>
      <w:r w:rsidR="00B6434C" w:rsidRPr="00F154E0">
        <w:rPr>
          <w:rFonts w:cstheme="minorHAnsi"/>
        </w:rPr>
        <w:t xml:space="preserve"> at the time of production</w:t>
      </w:r>
      <w:r w:rsidRPr="00F154E0">
        <w:rPr>
          <w:rFonts w:cstheme="minorHAnsi"/>
        </w:rPr>
        <w:t xml:space="preserve">. </w:t>
      </w:r>
    </w:p>
    <w:p w:rsidR="00240D68" w:rsidRPr="00F154E0" w:rsidRDefault="00B6434C" w:rsidP="00240D68">
      <w:pPr>
        <w:rPr>
          <w:rFonts w:cstheme="minorHAnsi"/>
        </w:rPr>
      </w:pPr>
      <w:r w:rsidRPr="00F154E0">
        <w:rPr>
          <w:rFonts w:cstheme="minorHAnsi"/>
        </w:rPr>
        <w:t xml:space="preserve">While every care has been taken in preparing this report, the Commonwealth does not accept liability for any injury or loss or damage arising from the use of, or reliance upon, the content of the report. Delays in the reporting of data may cause data to change retrospectively. For further details about information contained in this report please contact the </w:t>
      </w:r>
      <w:hyperlink r:id="rId23" w:history="1">
        <w:r w:rsidRPr="00F154E0">
          <w:rPr>
            <w:rFonts w:cstheme="minorHAnsi"/>
            <w:color w:val="0000FF"/>
            <w:u w:val="single"/>
          </w:rPr>
          <w:t>Influenza Surveillance Team</w:t>
        </w:r>
      </w:hyperlink>
      <w:r w:rsidRPr="00F154E0">
        <w:rPr>
          <w:rFonts w:cstheme="minorHAnsi"/>
        </w:rPr>
        <w:t xml:space="preserve"> </w:t>
      </w:r>
      <w:r w:rsidRPr="00F154E0">
        <w:t>(</w:t>
      </w:r>
      <w:hyperlink r:id="rId24" w:history="1">
        <w:r w:rsidRPr="00F154E0">
          <w:rPr>
            <w:rStyle w:val="Hyperlink"/>
            <w:lang w:eastAsia="en-US"/>
          </w:rPr>
          <w:t>flu@health.gov.au</w:t>
        </w:r>
      </w:hyperlink>
      <w:r w:rsidRPr="00F154E0">
        <w:t>).</w:t>
      </w:r>
    </w:p>
    <w:p w:rsidR="003A7D03" w:rsidRPr="0069692C" w:rsidRDefault="00D04E45" w:rsidP="00D04E45">
      <w:pPr>
        <w:pStyle w:val="Heading1"/>
      </w:pPr>
      <w:r w:rsidRPr="00F154E0">
        <w:t>REFERENCES</w:t>
      </w:r>
    </w:p>
    <w:sectPr w:rsidR="003A7D03" w:rsidRPr="0069692C" w:rsidSect="00946A7C">
      <w:headerReference w:type="even" r:id="rId25"/>
      <w:footerReference w:type="default" r:id="rId26"/>
      <w:endnotePr>
        <w:numFmt w:val="decimal"/>
      </w:endnotePr>
      <w:pgSz w:w="11906" w:h="16838" w:code="9"/>
      <w:pgMar w:top="851" w:right="991" w:bottom="284" w:left="993" w:header="567" w:footer="272"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D2EE0" w:rsidRDefault="008D2EE0" w:rsidP="00DF33E1">
      <w:r>
        <w:separator/>
      </w:r>
    </w:p>
  </w:endnote>
  <w:endnote w:type="continuationSeparator" w:id="0">
    <w:p w:rsidR="008D2EE0" w:rsidRDefault="008D2EE0" w:rsidP="00DF33E1">
      <w:r>
        <w:continuationSeparator/>
      </w:r>
    </w:p>
  </w:endnote>
  <w:endnote w:id="1">
    <w:p w:rsidR="007060D5" w:rsidRDefault="007060D5">
      <w:pPr>
        <w:pStyle w:val="EndnoteText"/>
      </w:pPr>
      <w:r>
        <w:rPr>
          <w:rStyle w:val="EndnoteReference"/>
        </w:rPr>
        <w:endnoteRef/>
      </w:r>
      <w:r>
        <w:t xml:space="preserve"> </w:t>
      </w:r>
      <w:r w:rsidRPr="006863AF">
        <w:t xml:space="preserve">WHO, Influenza Update No. </w:t>
      </w:r>
      <w:r>
        <w:t>290</w:t>
      </w:r>
      <w:r w:rsidRPr="006863AF">
        <w:t xml:space="preserve">, </w:t>
      </w:r>
      <w:r>
        <w:t xml:space="preserve">14 May </w:t>
      </w:r>
      <w:proofErr w:type="gramStart"/>
      <w:r>
        <w:t>2017.</w:t>
      </w:r>
      <w:proofErr w:type="gramEnd"/>
      <w:r w:rsidRPr="006863AF">
        <w:t xml:space="preserve"> </w:t>
      </w:r>
      <w:proofErr w:type="gramStart"/>
      <w:r w:rsidRPr="006863AF">
        <w:t xml:space="preserve">Available from the </w:t>
      </w:r>
      <w:hyperlink r:id="rId1" w:history="1">
        <w:r w:rsidRPr="006863AF">
          <w:rPr>
            <w:rStyle w:val="Hyperlink"/>
          </w:rPr>
          <w:t>WHO website</w:t>
        </w:r>
      </w:hyperlink>
      <w:r w:rsidRPr="006863AF">
        <w:t xml:space="preserve"> (http://www.who.int/influenza/surveillance_monitoring/updates/latest_update_GIP_surveillance/en/) [Accessed </w:t>
      </w:r>
      <w:r>
        <w:t>8 June 2017</w:t>
      </w:r>
      <w:r w:rsidRPr="006863AF">
        <w:t>].</w:t>
      </w:r>
      <w:proofErr w:type="gramEnd"/>
    </w:p>
  </w:endnote>
  <w:endnote w:id="2">
    <w:p w:rsidR="00AC78E2" w:rsidRPr="00F154E0" w:rsidRDefault="00AC78E2" w:rsidP="00AC78E2">
      <w:pPr>
        <w:pStyle w:val="EndnoteText"/>
      </w:pPr>
      <w:r w:rsidRPr="00F154E0">
        <w:rPr>
          <w:rStyle w:val="EndnoteReference"/>
        </w:rPr>
        <w:endnoteRef/>
      </w:r>
      <w:r w:rsidRPr="00F154E0">
        <w:t xml:space="preserve"> </w:t>
      </w:r>
      <w:proofErr w:type="gramStart"/>
      <w:r w:rsidRPr="00F154E0">
        <w:t xml:space="preserve">FluTracking, FluTracking Weekly Interim Report, Week ending </w:t>
      </w:r>
      <w:r w:rsidR="00F154E0" w:rsidRPr="00F154E0">
        <w:t>28 May 2017</w:t>
      </w:r>
      <w:r w:rsidRPr="00F154E0">
        <w:t>.</w:t>
      </w:r>
      <w:proofErr w:type="gramEnd"/>
      <w:r w:rsidRPr="00F154E0">
        <w:t xml:space="preserve"> </w:t>
      </w:r>
      <w:proofErr w:type="gramStart"/>
      <w:r w:rsidRPr="00F154E0">
        <w:t xml:space="preserve">Available from </w:t>
      </w:r>
      <w:proofErr w:type="spellStart"/>
      <w:r w:rsidRPr="00F154E0">
        <w:t>FluTracking</w:t>
      </w:r>
      <w:proofErr w:type="spellEnd"/>
      <w:r w:rsidRPr="00F154E0">
        <w:t xml:space="preserve"> Reports (</w:t>
      </w:r>
      <w:r w:rsidRPr="00D27B8C">
        <w:t>http://www.flutracking.net/Info/Reports</w:t>
      </w:r>
      <w:r w:rsidR="00F154E0" w:rsidRPr="00F154E0">
        <w:rPr>
          <w:rStyle w:val="Hyperlink"/>
        </w:rPr>
        <w:t>)</w:t>
      </w:r>
      <w:r w:rsidRPr="00F154E0">
        <w:t xml:space="preserve"> </w:t>
      </w:r>
      <w:r w:rsidR="00F154E0" w:rsidRPr="00F154E0">
        <w:t>[Accessed 8 June 2017</w:t>
      </w:r>
      <w:r w:rsidRPr="00F154E0">
        <w:t>].</w:t>
      </w:r>
      <w:proofErr w:type="gramEnd"/>
    </w:p>
  </w:endnote>
  <w:endnote w:id="3">
    <w:p w:rsidR="00E254FF" w:rsidRPr="00CB4ED4" w:rsidRDefault="00E254FF" w:rsidP="00E254FF">
      <w:pPr>
        <w:pStyle w:val="EndnoteText"/>
        <w:rPr>
          <w:highlight w:val="yellow"/>
        </w:rPr>
      </w:pPr>
      <w:r w:rsidRPr="00F154E0">
        <w:rPr>
          <w:rStyle w:val="EndnoteReference"/>
        </w:rPr>
        <w:endnoteRef/>
      </w:r>
      <w:r w:rsidRPr="00F154E0">
        <w:t xml:space="preserve"> </w:t>
      </w:r>
      <w:r w:rsidR="00F154E0" w:rsidRPr="00F154E0">
        <w:t xml:space="preserve">NSW Health, Influenza Monthly Epidemiology Report, NSW, April 2017. </w:t>
      </w:r>
      <w:proofErr w:type="gramStart"/>
      <w:r w:rsidR="00F154E0" w:rsidRPr="00F154E0">
        <w:t>Available from NSW Health Influenza Surveillance Reports (</w:t>
      </w:r>
      <w:r w:rsidR="00F154E0" w:rsidRPr="00D27B8C">
        <w:t>http://www.health.nsw.gov.au/Infectious/Influenza/Pages/reports.aspx</w:t>
      </w:r>
      <w:r w:rsidR="00F154E0" w:rsidRPr="00F154E0">
        <w:t>)[Accessed 8 June 2017].</w:t>
      </w:r>
      <w:proofErr w:type="gramEnd"/>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D2EE0" w:rsidRPr="00E47A73" w:rsidRDefault="008D2EE0" w:rsidP="00E21B48">
    <w:pPr>
      <w:pBdr>
        <w:top w:val="single" w:sz="4" w:space="1" w:color="auto"/>
      </w:pBdr>
      <w:jc w:val="right"/>
      <w:rPr>
        <w:sz w:val="16"/>
        <w:szCs w:val="16"/>
      </w:rPr>
    </w:pPr>
    <w:r w:rsidRPr="00E47A73">
      <w:rPr>
        <w:sz w:val="16"/>
        <w:szCs w:val="16"/>
      </w:rPr>
      <w:fldChar w:fldCharType="begin"/>
    </w:r>
    <w:r w:rsidRPr="00E47A73">
      <w:rPr>
        <w:sz w:val="16"/>
        <w:szCs w:val="16"/>
      </w:rPr>
      <w:instrText xml:space="preserve"> PAGE </w:instrText>
    </w:r>
    <w:r w:rsidRPr="00E47A73">
      <w:rPr>
        <w:sz w:val="16"/>
        <w:szCs w:val="16"/>
      </w:rPr>
      <w:fldChar w:fldCharType="separate"/>
    </w:r>
    <w:r w:rsidR="00D27B8C">
      <w:rPr>
        <w:noProof/>
        <w:sz w:val="16"/>
        <w:szCs w:val="16"/>
      </w:rPr>
      <w:t>1</w:t>
    </w:r>
    <w:r w:rsidRPr="00E47A73">
      <w:rPr>
        <w:sz w:val="16"/>
        <w:szCs w:val="1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D2EE0" w:rsidRDefault="008D2EE0" w:rsidP="00DF33E1">
      <w:r>
        <w:separator/>
      </w:r>
    </w:p>
  </w:footnote>
  <w:footnote w:type="continuationSeparator" w:id="0">
    <w:p w:rsidR="008D2EE0" w:rsidRDefault="008D2EE0" w:rsidP="00DF33E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D2EE0" w:rsidRDefault="00D27B8C">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52" type="#_x0000_t136" style="position:absolute;margin-left:0;margin-top:0;width:508.65pt;height:190.75pt;rotation:315;z-index:-251654656;mso-position-horizontal:center;mso-position-horizontal-relative:margin;mso-position-vertical:center;mso-position-vertical-relative:margin" o:allowincell="f" fillcolor="red" stroked="f">
          <v:textpath style="font-family:&quot;Calibri&quot;;font-size:1pt" string="EXAMPLE"/>
          <w10:wrap anchorx="margin" anchory="margin"/>
        </v:shape>
      </w:pict>
    </w:r>
    <w:r>
      <w:rPr>
        <w:noProof/>
      </w:rPr>
      <w:pict>
        <v:shape id="_x0000_s2050" type="#_x0000_t136" style="position:absolute;margin-left:0;margin-top:0;width:508.65pt;height:190.75pt;rotation:315;z-index:-251658752;mso-position-horizontal:center;mso-position-horizontal-relative:margin;mso-position-vertical:center;mso-position-vertical-relative:margin" o:allowincell="f" fillcolor="silver" stroked="f">
          <v:fill opacity=".5"/>
          <v:textpath style="font-family:&quot;Calibri&quot;;font-size:1pt" string="Proposed"/>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750A1B"/>
    <w:multiLevelType w:val="multilevel"/>
    <w:tmpl w:val="DB062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3E34D6E"/>
    <w:multiLevelType w:val="multilevel"/>
    <w:tmpl w:val="64269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7EE73D0"/>
    <w:multiLevelType w:val="multilevel"/>
    <w:tmpl w:val="67D4A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7FB49F3"/>
    <w:multiLevelType w:val="multilevel"/>
    <w:tmpl w:val="64629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A2027AA"/>
    <w:multiLevelType w:val="hybridMultilevel"/>
    <w:tmpl w:val="CB7E5A00"/>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5">
    <w:nsid w:val="0BD04A04"/>
    <w:multiLevelType w:val="hybridMultilevel"/>
    <w:tmpl w:val="6B38D522"/>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6">
    <w:nsid w:val="0E405ABD"/>
    <w:multiLevelType w:val="hybridMultilevel"/>
    <w:tmpl w:val="931E7FB0"/>
    <w:lvl w:ilvl="0" w:tplc="26A636A2">
      <w:start w:val="1"/>
      <w:numFmt w:val="bullet"/>
      <w:pStyle w:val="ListBullet4"/>
      <w:lvlText w:val=""/>
      <w:lvlJc w:val="left"/>
      <w:pPr>
        <w:tabs>
          <w:tab w:val="num" w:pos="284"/>
        </w:tabs>
        <w:ind w:left="284" w:hanging="284"/>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10326FD3"/>
    <w:multiLevelType w:val="hybridMultilevel"/>
    <w:tmpl w:val="9E4C420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nsid w:val="125622EF"/>
    <w:multiLevelType w:val="multilevel"/>
    <w:tmpl w:val="CECE3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43A2863"/>
    <w:multiLevelType w:val="multilevel"/>
    <w:tmpl w:val="17DA6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9883251"/>
    <w:multiLevelType w:val="multilevel"/>
    <w:tmpl w:val="2BFA8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B9E24B0"/>
    <w:multiLevelType w:val="hybridMultilevel"/>
    <w:tmpl w:val="7840A900"/>
    <w:lvl w:ilvl="0" w:tplc="7C12306E">
      <w:start w:val="1"/>
      <w:numFmt w:val="lowerRoman"/>
      <w:lvlText w:val="(%1)"/>
      <w:lvlJc w:val="left"/>
      <w:pPr>
        <w:ind w:left="1080" w:hanging="720"/>
      </w:pPr>
      <w:rPr>
        <w:rFonts w:hint="default"/>
        <w:i/>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nsid w:val="1D53354C"/>
    <w:multiLevelType w:val="multilevel"/>
    <w:tmpl w:val="B78E5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014600F"/>
    <w:multiLevelType w:val="multilevel"/>
    <w:tmpl w:val="BD645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5475843"/>
    <w:multiLevelType w:val="multilevel"/>
    <w:tmpl w:val="A942D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10F58C8"/>
    <w:multiLevelType w:val="hybridMultilevel"/>
    <w:tmpl w:val="81D65E5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nsid w:val="3614656F"/>
    <w:multiLevelType w:val="multilevel"/>
    <w:tmpl w:val="5D809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9565B25"/>
    <w:multiLevelType w:val="multilevel"/>
    <w:tmpl w:val="C62C0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A8C4C72"/>
    <w:multiLevelType w:val="multilevel"/>
    <w:tmpl w:val="EAAC9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AE10140"/>
    <w:multiLevelType w:val="multilevel"/>
    <w:tmpl w:val="5E460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AE476C0"/>
    <w:multiLevelType w:val="hybridMultilevel"/>
    <w:tmpl w:val="CD62CA4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nsid w:val="46C11778"/>
    <w:multiLevelType w:val="hybridMultilevel"/>
    <w:tmpl w:val="B2783AA2"/>
    <w:lvl w:ilvl="0" w:tplc="6AEE9522">
      <w:numFmt w:val="bullet"/>
      <w:lvlText w:val="•"/>
      <w:lvlJc w:val="left"/>
      <w:pPr>
        <w:ind w:left="930" w:hanging="570"/>
      </w:pPr>
      <w:rPr>
        <w:rFonts w:ascii="Calibri" w:eastAsia="Times New Roman" w:hAnsi="Calibri"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nsid w:val="4BBE0BBB"/>
    <w:multiLevelType w:val="hybridMultilevel"/>
    <w:tmpl w:val="61EAEA8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nsid w:val="4BD023D3"/>
    <w:multiLevelType w:val="multilevel"/>
    <w:tmpl w:val="437C4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DA201B9"/>
    <w:multiLevelType w:val="multilevel"/>
    <w:tmpl w:val="99167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E03090B"/>
    <w:multiLevelType w:val="multilevel"/>
    <w:tmpl w:val="44CCA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06B69DA"/>
    <w:multiLevelType w:val="multilevel"/>
    <w:tmpl w:val="3BD81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06B6FE9"/>
    <w:multiLevelType w:val="hybridMultilevel"/>
    <w:tmpl w:val="187EDD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nsid w:val="54532F18"/>
    <w:multiLevelType w:val="multilevel"/>
    <w:tmpl w:val="EA2C4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4910D6E"/>
    <w:multiLevelType w:val="multilevel"/>
    <w:tmpl w:val="CE1A7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AB217AC"/>
    <w:multiLevelType w:val="multilevel"/>
    <w:tmpl w:val="B9AA1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F8C498F"/>
    <w:multiLevelType w:val="multilevel"/>
    <w:tmpl w:val="5FE2B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058647C"/>
    <w:multiLevelType w:val="multilevel"/>
    <w:tmpl w:val="65284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2895E0C"/>
    <w:multiLevelType w:val="hybridMultilevel"/>
    <w:tmpl w:val="92F65E3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nsid w:val="66F47610"/>
    <w:multiLevelType w:val="hybridMultilevel"/>
    <w:tmpl w:val="E830F8A2"/>
    <w:lvl w:ilvl="0" w:tplc="B3323D9E">
      <w:numFmt w:val="bullet"/>
      <w:lvlText w:val=""/>
      <w:lvlJc w:val="left"/>
      <w:pPr>
        <w:ind w:left="-938" w:hanging="570"/>
      </w:pPr>
      <w:rPr>
        <w:rFonts w:ascii="Symbol" w:eastAsiaTheme="minorEastAsia" w:hAnsi="Symbol" w:cstheme="minorBidi" w:hint="default"/>
      </w:rPr>
    </w:lvl>
    <w:lvl w:ilvl="1" w:tplc="0C090003" w:tentative="1">
      <w:start w:val="1"/>
      <w:numFmt w:val="bullet"/>
      <w:lvlText w:val="o"/>
      <w:lvlJc w:val="left"/>
      <w:pPr>
        <w:ind w:left="-428" w:hanging="360"/>
      </w:pPr>
      <w:rPr>
        <w:rFonts w:ascii="Courier New" w:hAnsi="Courier New" w:cs="Courier New" w:hint="default"/>
      </w:rPr>
    </w:lvl>
    <w:lvl w:ilvl="2" w:tplc="0C090005" w:tentative="1">
      <w:start w:val="1"/>
      <w:numFmt w:val="bullet"/>
      <w:lvlText w:val=""/>
      <w:lvlJc w:val="left"/>
      <w:pPr>
        <w:ind w:left="292" w:hanging="360"/>
      </w:pPr>
      <w:rPr>
        <w:rFonts w:ascii="Wingdings" w:hAnsi="Wingdings" w:hint="default"/>
      </w:rPr>
    </w:lvl>
    <w:lvl w:ilvl="3" w:tplc="0C090001" w:tentative="1">
      <w:start w:val="1"/>
      <w:numFmt w:val="bullet"/>
      <w:lvlText w:val=""/>
      <w:lvlJc w:val="left"/>
      <w:pPr>
        <w:ind w:left="1012" w:hanging="360"/>
      </w:pPr>
      <w:rPr>
        <w:rFonts w:ascii="Symbol" w:hAnsi="Symbol" w:hint="default"/>
      </w:rPr>
    </w:lvl>
    <w:lvl w:ilvl="4" w:tplc="0C090003" w:tentative="1">
      <w:start w:val="1"/>
      <w:numFmt w:val="bullet"/>
      <w:lvlText w:val="o"/>
      <w:lvlJc w:val="left"/>
      <w:pPr>
        <w:ind w:left="1732" w:hanging="360"/>
      </w:pPr>
      <w:rPr>
        <w:rFonts w:ascii="Courier New" w:hAnsi="Courier New" w:cs="Courier New" w:hint="default"/>
      </w:rPr>
    </w:lvl>
    <w:lvl w:ilvl="5" w:tplc="0C090005" w:tentative="1">
      <w:start w:val="1"/>
      <w:numFmt w:val="bullet"/>
      <w:lvlText w:val=""/>
      <w:lvlJc w:val="left"/>
      <w:pPr>
        <w:ind w:left="2452" w:hanging="360"/>
      </w:pPr>
      <w:rPr>
        <w:rFonts w:ascii="Wingdings" w:hAnsi="Wingdings" w:hint="default"/>
      </w:rPr>
    </w:lvl>
    <w:lvl w:ilvl="6" w:tplc="0C090001" w:tentative="1">
      <w:start w:val="1"/>
      <w:numFmt w:val="bullet"/>
      <w:lvlText w:val=""/>
      <w:lvlJc w:val="left"/>
      <w:pPr>
        <w:ind w:left="3172" w:hanging="360"/>
      </w:pPr>
      <w:rPr>
        <w:rFonts w:ascii="Symbol" w:hAnsi="Symbol" w:hint="default"/>
      </w:rPr>
    </w:lvl>
    <w:lvl w:ilvl="7" w:tplc="0C090003" w:tentative="1">
      <w:start w:val="1"/>
      <w:numFmt w:val="bullet"/>
      <w:lvlText w:val="o"/>
      <w:lvlJc w:val="left"/>
      <w:pPr>
        <w:ind w:left="3892" w:hanging="360"/>
      </w:pPr>
      <w:rPr>
        <w:rFonts w:ascii="Courier New" w:hAnsi="Courier New" w:cs="Courier New" w:hint="default"/>
      </w:rPr>
    </w:lvl>
    <w:lvl w:ilvl="8" w:tplc="0C090005" w:tentative="1">
      <w:start w:val="1"/>
      <w:numFmt w:val="bullet"/>
      <w:lvlText w:val=""/>
      <w:lvlJc w:val="left"/>
      <w:pPr>
        <w:ind w:left="4612" w:hanging="360"/>
      </w:pPr>
      <w:rPr>
        <w:rFonts w:ascii="Wingdings" w:hAnsi="Wingdings" w:hint="default"/>
      </w:rPr>
    </w:lvl>
  </w:abstractNum>
  <w:abstractNum w:abstractNumId="35">
    <w:nsid w:val="67C52C41"/>
    <w:multiLevelType w:val="hybridMultilevel"/>
    <w:tmpl w:val="06F2AD14"/>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6">
    <w:nsid w:val="6A5758B2"/>
    <w:multiLevelType w:val="hybridMultilevel"/>
    <w:tmpl w:val="DBD62FC4"/>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7">
    <w:nsid w:val="756C1253"/>
    <w:multiLevelType w:val="multilevel"/>
    <w:tmpl w:val="380CA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763776BD"/>
    <w:multiLevelType w:val="multilevel"/>
    <w:tmpl w:val="EB584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782A449B"/>
    <w:multiLevelType w:val="multilevel"/>
    <w:tmpl w:val="7820D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7B8F64AC"/>
    <w:multiLevelType w:val="hybridMultilevel"/>
    <w:tmpl w:val="EB780CB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1">
    <w:nsid w:val="7D1E2919"/>
    <w:multiLevelType w:val="hybridMultilevel"/>
    <w:tmpl w:val="54B4CEBA"/>
    <w:lvl w:ilvl="0" w:tplc="494EC67A">
      <w:start w:val="1"/>
      <w:numFmt w:val="lowerRoman"/>
      <w:pStyle w:val="Heading8"/>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6"/>
  </w:num>
  <w:num w:numId="2">
    <w:abstractNumId w:val="41"/>
  </w:num>
  <w:num w:numId="3">
    <w:abstractNumId w:val="11"/>
  </w:num>
  <w:num w:numId="4">
    <w:abstractNumId w:val="4"/>
  </w:num>
  <w:num w:numId="5">
    <w:abstractNumId w:val="28"/>
  </w:num>
  <w:num w:numId="6">
    <w:abstractNumId w:val="14"/>
  </w:num>
  <w:num w:numId="7">
    <w:abstractNumId w:val="27"/>
  </w:num>
  <w:num w:numId="8">
    <w:abstractNumId w:val="0"/>
  </w:num>
  <w:num w:numId="9">
    <w:abstractNumId w:val="25"/>
  </w:num>
  <w:num w:numId="10">
    <w:abstractNumId w:val="32"/>
  </w:num>
  <w:num w:numId="11">
    <w:abstractNumId w:val="9"/>
  </w:num>
  <w:num w:numId="12">
    <w:abstractNumId w:val="38"/>
  </w:num>
  <w:num w:numId="13">
    <w:abstractNumId w:val="23"/>
  </w:num>
  <w:num w:numId="14">
    <w:abstractNumId w:val="29"/>
  </w:num>
  <w:num w:numId="15">
    <w:abstractNumId w:val="31"/>
  </w:num>
  <w:num w:numId="16">
    <w:abstractNumId w:val="40"/>
  </w:num>
  <w:num w:numId="17">
    <w:abstractNumId w:val="21"/>
  </w:num>
  <w:num w:numId="18">
    <w:abstractNumId w:val="8"/>
  </w:num>
  <w:num w:numId="19">
    <w:abstractNumId w:val="7"/>
  </w:num>
  <w:num w:numId="20">
    <w:abstractNumId w:val="37"/>
  </w:num>
  <w:num w:numId="21">
    <w:abstractNumId w:val="17"/>
  </w:num>
  <w:num w:numId="22">
    <w:abstractNumId w:val="2"/>
  </w:num>
  <w:num w:numId="23">
    <w:abstractNumId w:val="5"/>
  </w:num>
  <w:num w:numId="24">
    <w:abstractNumId w:val="12"/>
  </w:num>
  <w:num w:numId="25">
    <w:abstractNumId w:val="18"/>
  </w:num>
  <w:num w:numId="26">
    <w:abstractNumId w:val="1"/>
  </w:num>
  <w:num w:numId="27">
    <w:abstractNumId w:val="10"/>
  </w:num>
  <w:num w:numId="28">
    <w:abstractNumId w:val="30"/>
  </w:num>
  <w:num w:numId="29">
    <w:abstractNumId w:val="16"/>
  </w:num>
  <w:num w:numId="30">
    <w:abstractNumId w:val="34"/>
  </w:num>
  <w:num w:numId="31">
    <w:abstractNumId w:val="39"/>
  </w:num>
  <w:num w:numId="32">
    <w:abstractNumId w:val="24"/>
  </w:num>
  <w:num w:numId="33">
    <w:abstractNumId w:val="13"/>
  </w:num>
  <w:num w:numId="34">
    <w:abstractNumId w:val="3"/>
  </w:num>
  <w:num w:numId="35">
    <w:abstractNumId w:val="19"/>
  </w:num>
  <w:num w:numId="36">
    <w:abstractNumId w:val="26"/>
  </w:num>
  <w:num w:numId="37">
    <w:abstractNumId w:val="20"/>
  </w:num>
  <w:num w:numId="38">
    <w:abstractNumId w:val="15"/>
  </w:num>
  <w:num w:numId="39">
    <w:abstractNumId w:val="36"/>
  </w:num>
  <w:num w:numId="40">
    <w:abstractNumId w:val="35"/>
  </w:num>
  <w:num w:numId="41">
    <w:abstractNumId w:val="33"/>
  </w:num>
  <w:num w:numId="4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characterSpacingControl w:val="doNotCompress"/>
  <w:hdrShapeDefaults>
    <o:shapedefaults v:ext="edit" spidmax="2053"/>
    <o:shapelayout v:ext="edit">
      <o:idmap v:ext="edit" data="2"/>
    </o:shapelayout>
  </w:hdrShapeDefaults>
  <w:footnotePr>
    <w:footnote w:id="-1"/>
    <w:footnote w:id="0"/>
  </w:footnotePr>
  <w:endnotePr>
    <w:numFmt w:val="decimal"/>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F33E1"/>
    <w:rsid w:val="00000AFE"/>
    <w:rsid w:val="00002342"/>
    <w:rsid w:val="000043DD"/>
    <w:rsid w:val="000047EF"/>
    <w:rsid w:val="00004BCE"/>
    <w:rsid w:val="00005AC2"/>
    <w:rsid w:val="00005B75"/>
    <w:rsid w:val="00006CA3"/>
    <w:rsid w:val="00012418"/>
    <w:rsid w:val="00014C6B"/>
    <w:rsid w:val="0001629C"/>
    <w:rsid w:val="0001678B"/>
    <w:rsid w:val="00017405"/>
    <w:rsid w:val="00021778"/>
    <w:rsid w:val="00025E46"/>
    <w:rsid w:val="00025FAC"/>
    <w:rsid w:val="0002697B"/>
    <w:rsid w:val="00030061"/>
    <w:rsid w:val="00030975"/>
    <w:rsid w:val="00030C59"/>
    <w:rsid w:val="00031619"/>
    <w:rsid w:val="00033D08"/>
    <w:rsid w:val="00035381"/>
    <w:rsid w:val="00035631"/>
    <w:rsid w:val="00043D52"/>
    <w:rsid w:val="00044FF0"/>
    <w:rsid w:val="00045F73"/>
    <w:rsid w:val="00046D1D"/>
    <w:rsid w:val="0005122B"/>
    <w:rsid w:val="00051309"/>
    <w:rsid w:val="00051BAE"/>
    <w:rsid w:val="00052A55"/>
    <w:rsid w:val="00053044"/>
    <w:rsid w:val="000609A5"/>
    <w:rsid w:val="00060FC0"/>
    <w:rsid w:val="00063473"/>
    <w:rsid w:val="000634ED"/>
    <w:rsid w:val="000661F9"/>
    <w:rsid w:val="00066D0D"/>
    <w:rsid w:val="00070850"/>
    <w:rsid w:val="00075056"/>
    <w:rsid w:val="0008149B"/>
    <w:rsid w:val="0008425A"/>
    <w:rsid w:val="000924D6"/>
    <w:rsid w:val="00093ED5"/>
    <w:rsid w:val="00094B0E"/>
    <w:rsid w:val="0009773F"/>
    <w:rsid w:val="000A095A"/>
    <w:rsid w:val="000A1A9C"/>
    <w:rsid w:val="000A2854"/>
    <w:rsid w:val="000A46AB"/>
    <w:rsid w:val="000A4CE3"/>
    <w:rsid w:val="000A6888"/>
    <w:rsid w:val="000A7FA4"/>
    <w:rsid w:val="000B0B7B"/>
    <w:rsid w:val="000B1CA9"/>
    <w:rsid w:val="000B3705"/>
    <w:rsid w:val="000B5EC2"/>
    <w:rsid w:val="000B7B5E"/>
    <w:rsid w:val="000C0F20"/>
    <w:rsid w:val="000C2DBE"/>
    <w:rsid w:val="000C507B"/>
    <w:rsid w:val="000C74E6"/>
    <w:rsid w:val="000C7A42"/>
    <w:rsid w:val="000D121C"/>
    <w:rsid w:val="000D6148"/>
    <w:rsid w:val="000E4AA3"/>
    <w:rsid w:val="000E518A"/>
    <w:rsid w:val="000E6189"/>
    <w:rsid w:val="000F01AA"/>
    <w:rsid w:val="000F0C7A"/>
    <w:rsid w:val="000F2879"/>
    <w:rsid w:val="000F45D6"/>
    <w:rsid w:val="000F7841"/>
    <w:rsid w:val="0010087A"/>
    <w:rsid w:val="00100F5F"/>
    <w:rsid w:val="00103E85"/>
    <w:rsid w:val="00105D5B"/>
    <w:rsid w:val="00106FCC"/>
    <w:rsid w:val="001073A7"/>
    <w:rsid w:val="00110323"/>
    <w:rsid w:val="00110A55"/>
    <w:rsid w:val="001136FE"/>
    <w:rsid w:val="00115BB6"/>
    <w:rsid w:val="00117070"/>
    <w:rsid w:val="00121A78"/>
    <w:rsid w:val="00125123"/>
    <w:rsid w:val="001333E7"/>
    <w:rsid w:val="00133D03"/>
    <w:rsid w:val="0014026B"/>
    <w:rsid w:val="00141555"/>
    <w:rsid w:val="00144B60"/>
    <w:rsid w:val="00145BBC"/>
    <w:rsid w:val="001537ED"/>
    <w:rsid w:val="00154CC0"/>
    <w:rsid w:val="00155583"/>
    <w:rsid w:val="00155D3D"/>
    <w:rsid w:val="0015683C"/>
    <w:rsid w:val="001578FC"/>
    <w:rsid w:val="0016026F"/>
    <w:rsid w:val="00160E78"/>
    <w:rsid w:val="00161E00"/>
    <w:rsid w:val="00161ED2"/>
    <w:rsid w:val="001635DA"/>
    <w:rsid w:val="00164986"/>
    <w:rsid w:val="001653D1"/>
    <w:rsid w:val="00170AB0"/>
    <w:rsid w:val="00173807"/>
    <w:rsid w:val="0018267B"/>
    <w:rsid w:val="00190833"/>
    <w:rsid w:val="00190BA4"/>
    <w:rsid w:val="0019385E"/>
    <w:rsid w:val="00193EBF"/>
    <w:rsid w:val="001948C0"/>
    <w:rsid w:val="00196A95"/>
    <w:rsid w:val="001A1B50"/>
    <w:rsid w:val="001A1EE0"/>
    <w:rsid w:val="001A4F66"/>
    <w:rsid w:val="001A65B9"/>
    <w:rsid w:val="001B0A1F"/>
    <w:rsid w:val="001B0AD9"/>
    <w:rsid w:val="001B2A87"/>
    <w:rsid w:val="001B3443"/>
    <w:rsid w:val="001B48E6"/>
    <w:rsid w:val="001B4B69"/>
    <w:rsid w:val="001B5E8A"/>
    <w:rsid w:val="001C0786"/>
    <w:rsid w:val="001C1663"/>
    <w:rsid w:val="001C1C8A"/>
    <w:rsid w:val="001C4EDD"/>
    <w:rsid w:val="001D170C"/>
    <w:rsid w:val="001D266B"/>
    <w:rsid w:val="001E0C81"/>
    <w:rsid w:val="001E2102"/>
    <w:rsid w:val="001F0363"/>
    <w:rsid w:val="001F1951"/>
    <w:rsid w:val="001F2772"/>
    <w:rsid w:val="001F7837"/>
    <w:rsid w:val="00201443"/>
    <w:rsid w:val="00201A53"/>
    <w:rsid w:val="00201B74"/>
    <w:rsid w:val="00202102"/>
    <w:rsid w:val="00202448"/>
    <w:rsid w:val="002067F3"/>
    <w:rsid w:val="002076A3"/>
    <w:rsid w:val="0021095F"/>
    <w:rsid w:val="00210E4D"/>
    <w:rsid w:val="002119C8"/>
    <w:rsid w:val="0021258F"/>
    <w:rsid w:val="00215DB1"/>
    <w:rsid w:val="00220BAD"/>
    <w:rsid w:val="00220DC8"/>
    <w:rsid w:val="00222E0C"/>
    <w:rsid w:val="00225B9B"/>
    <w:rsid w:val="0023533E"/>
    <w:rsid w:val="0023706F"/>
    <w:rsid w:val="0023712B"/>
    <w:rsid w:val="00240D68"/>
    <w:rsid w:val="0024150A"/>
    <w:rsid w:val="00246299"/>
    <w:rsid w:val="00250068"/>
    <w:rsid w:val="00253BC8"/>
    <w:rsid w:val="00254030"/>
    <w:rsid w:val="002577E2"/>
    <w:rsid w:val="00260D69"/>
    <w:rsid w:val="00261676"/>
    <w:rsid w:val="00262D0E"/>
    <w:rsid w:val="002647C9"/>
    <w:rsid w:val="002663A1"/>
    <w:rsid w:val="00266500"/>
    <w:rsid w:val="00266C10"/>
    <w:rsid w:val="00267CD4"/>
    <w:rsid w:val="00270E57"/>
    <w:rsid w:val="00271390"/>
    <w:rsid w:val="00271ABE"/>
    <w:rsid w:val="00276234"/>
    <w:rsid w:val="00282632"/>
    <w:rsid w:val="00290E93"/>
    <w:rsid w:val="002915AA"/>
    <w:rsid w:val="002917C7"/>
    <w:rsid w:val="002B145F"/>
    <w:rsid w:val="002B3F89"/>
    <w:rsid w:val="002B4325"/>
    <w:rsid w:val="002B51FE"/>
    <w:rsid w:val="002B6863"/>
    <w:rsid w:val="002B7301"/>
    <w:rsid w:val="002C7BA4"/>
    <w:rsid w:val="002D2CC1"/>
    <w:rsid w:val="002D2E13"/>
    <w:rsid w:val="002D38EA"/>
    <w:rsid w:val="002D602F"/>
    <w:rsid w:val="002E172E"/>
    <w:rsid w:val="002E1908"/>
    <w:rsid w:val="002E19BB"/>
    <w:rsid w:val="002E2904"/>
    <w:rsid w:val="002E2B64"/>
    <w:rsid w:val="002E577E"/>
    <w:rsid w:val="002E7135"/>
    <w:rsid w:val="002F4A8A"/>
    <w:rsid w:val="002F4C92"/>
    <w:rsid w:val="00301941"/>
    <w:rsid w:val="00303401"/>
    <w:rsid w:val="0030578A"/>
    <w:rsid w:val="00306F0B"/>
    <w:rsid w:val="0030750B"/>
    <w:rsid w:val="0030786C"/>
    <w:rsid w:val="00307BF6"/>
    <w:rsid w:val="00307FF4"/>
    <w:rsid w:val="00310860"/>
    <w:rsid w:val="00312F0B"/>
    <w:rsid w:val="00314351"/>
    <w:rsid w:val="00314FF1"/>
    <w:rsid w:val="003152A9"/>
    <w:rsid w:val="003152C1"/>
    <w:rsid w:val="003160BD"/>
    <w:rsid w:val="0031772E"/>
    <w:rsid w:val="00321933"/>
    <w:rsid w:val="003234B4"/>
    <w:rsid w:val="00325A39"/>
    <w:rsid w:val="003270FC"/>
    <w:rsid w:val="00332A4B"/>
    <w:rsid w:val="00335D30"/>
    <w:rsid w:val="00336E21"/>
    <w:rsid w:val="00341938"/>
    <w:rsid w:val="00342723"/>
    <w:rsid w:val="00347B95"/>
    <w:rsid w:val="00354A2F"/>
    <w:rsid w:val="00356371"/>
    <w:rsid w:val="003568F6"/>
    <w:rsid w:val="00356EDB"/>
    <w:rsid w:val="00361BD8"/>
    <w:rsid w:val="00363312"/>
    <w:rsid w:val="00364123"/>
    <w:rsid w:val="00365869"/>
    <w:rsid w:val="0036679C"/>
    <w:rsid w:val="003668D1"/>
    <w:rsid w:val="00366C57"/>
    <w:rsid w:val="003673F1"/>
    <w:rsid w:val="00367AA1"/>
    <w:rsid w:val="003710A9"/>
    <w:rsid w:val="00371A59"/>
    <w:rsid w:val="00372E32"/>
    <w:rsid w:val="00376655"/>
    <w:rsid w:val="00382223"/>
    <w:rsid w:val="00383E92"/>
    <w:rsid w:val="0038570E"/>
    <w:rsid w:val="00387448"/>
    <w:rsid w:val="0039041C"/>
    <w:rsid w:val="0039316C"/>
    <w:rsid w:val="00393F4C"/>
    <w:rsid w:val="00394325"/>
    <w:rsid w:val="003A2729"/>
    <w:rsid w:val="003A614D"/>
    <w:rsid w:val="003A7D03"/>
    <w:rsid w:val="003B0210"/>
    <w:rsid w:val="003B122A"/>
    <w:rsid w:val="003B7DB3"/>
    <w:rsid w:val="003C032A"/>
    <w:rsid w:val="003C1657"/>
    <w:rsid w:val="003C3D39"/>
    <w:rsid w:val="003C3EC1"/>
    <w:rsid w:val="003C6F26"/>
    <w:rsid w:val="003D0641"/>
    <w:rsid w:val="003D1AFC"/>
    <w:rsid w:val="003D1F83"/>
    <w:rsid w:val="003D3570"/>
    <w:rsid w:val="003D54B7"/>
    <w:rsid w:val="003D6B05"/>
    <w:rsid w:val="003D718A"/>
    <w:rsid w:val="003E07E6"/>
    <w:rsid w:val="003E08DB"/>
    <w:rsid w:val="003E1733"/>
    <w:rsid w:val="003E2393"/>
    <w:rsid w:val="003E3835"/>
    <w:rsid w:val="003E3A24"/>
    <w:rsid w:val="003E3D22"/>
    <w:rsid w:val="003E74FD"/>
    <w:rsid w:val="003F139A"/>
    <w:rsid w:val="003F1F91"/>
    <w:rsid w:val="003F1F9F"/>
    <w:rsid w:val="003F3B09"/>
    <w:rsid w:val="003F3C75"/>
    <w:rsid w:val="00407116"/>
    <w:rsid w:val="004100B0"/>
    <w:rsid w:val="00411AE3"/>
    <w:rsid w:val="00412D39"/>
    <w:rsid w:val="00420336"/>
    <w:rsid w:val="004214ED"/>
    <w:rsid w:val="00421C7E"/>
    <w:rsid w:val="0042246B"/>
    <w:rsid w:val="00423F6E"/>
    <w:rsid w:val="004267CA"/>
    <w:rsid w:val="00426F5B"/>
    <w:rsid w:val="004301A7"/>
    <w:rsid w:val="00431CB3"/>
    <w:rsid w:val="004320EE"/>
    <w:rsid w:val="00433948"/>
    <w:rsid w:val="004363D7"/>
    <w:rsid w:val="00442D3B"/>
    <w:rsid w:val="00446067"/>
    <w:rsid w:val="0044639D"/>
    <w:rsid w:val="004467B1"/>
    <w:rsid w:val="00452D8A"/>
    <w:rsid w:val="004551A9"/>
    <w:rsid w:val="00456274"/>
    <w:rsid w:val="00463134"/>
    <w:rsid w:val="00465435"/>
    <w:rsid w:val="00466AE0"/>
    <w:rsid w:val="00470C92"/>
    <w:rsid w:val="004757AF"/>
    <w:rsid w:val="004776C1"/>
    <w:rsid w:val="004800DC"/>
    <w:rsid w:val="00480DE4"/>
    <w:rsid w:val="004828FB"/>
    <w:rsid w:val="004867E2"/>
    <w:rsid w:val="00486EB6"/>
    <w:rsid w:val="00487620"/>
    <w:rsid w:val="004929FC"/>
    <w:rsid w:val="00492B88"/>
    <w:rsid w:val="00493559"/>
    <w:rsid w:val="0049371C"/>
    <w:rsid w:val="00493E6E"/>
    <w:rsid w:val="00494945"/>
    <w:rsid w:val="00494B02"/>
    <w:rsid w:val="00497863"/>
    <w:rsid w:val="004A0A75"/>
    <w:rsid w:val="004A4EDE"/>
    <w:rsid w:val="004A4EF3"/>
    <w:rsid w:val="004B0592"/>
    <w:rsid w:val="004B1171"/>
    <w:rsid w:val="004B1A5D"/>
    <w:rsid w:val="004B3051"/>
    <w:rsid w:val="004C3947"/>
    <w:rsid w:val="004C446A"/>
    <w:rsid w:val="004C5A99"/>
    <w:rsid w:val="004C6388"/>
    <w:rsid w:val="004C6A7E"/>
    <w:rsid w:val="004D14FB"/>
    <w:rsid w:val="004D667F"/>
    <w:rsid w:val="004E196B"/>
    <w:rsid w:val="004E2C6A"/>
    <w:rsid w:val="004E3631"/>
    <w:rsid w:val="004E6581"/>
    <w:rsid w:val="004F03C3"/>
    <w:rsid w:val="004F0E2B"/>
    <w:rsid w:val="004F1657"/>
    <w:rsid w:val="004F2B50"/>
    <w:rsid w:val="004F2CC3"/>
    <w:rsid w:val="004F34BD"/>
    <w:rsid w:val="004F688F"/>
    <w:rsid w:val="004F69B3"/>
    <w:rsid w:val="00501BB7"/>
    <w:rsid w:val="00502240"/>
    <w:rsid w:val="00502A29"/>
    <w:rsid w:val="00502E91"/>
    <w:rsid w:val="00504812"/>
    <w:rsid w:val="00504FC4"/>
    <w:rsid w:val="00505A86"/>
    <w:rsid w:val="00506A76"/>
    <w:rsid w:val="0051240C"/>
    <w:rsid w:val="005138EE"/>
    <w:rsid w:val="005174A7"/>
    <w:rsid w:val="00524E97"/>
    <w:rsid w:val="00526253"/>
    <w:rsid w:val="00527F50"/>
    <w:rsid w:val="00531198"/>
    <w:rsid w:val="0053591F"/>
    <w:rsid w:val="005368AE"/>
    <w:rsid w:val="00537A32"/>
    <w:rsid w:val="00540AF8"/>
    <w:rsid w:val="005449A9"/>
    <w:rsid w:val="005515B3"/>
    <w:rsid w:val="00553591"/>
    <w:rsid w:val="005545BC"/>
    <w:rsid w:val="00554DEF"/>
    <w:rsid w:val="00557648"/>
    <w:rsid w:val="005606CE"/>
    <w:rsid w:val="00560E62"/>
    <w:rsid w:val="00561034"/>
    <w:rsid w:val="0057281A"/>
    <w:rsid w:val="005728E6"/>
    <w:rsid w:val="005768BB"/>
    <w:rsid w:val="00582897"/>
    <w:rsid w:val="005847AD"/>
    <w:rsid w:val="0059181A"/>
    <w:rsid w:val="00593608"/>
    <w:rsid w:val="00596E37"/>
    <w:rsid w:val="005975F8"/>
    <w:rsid w:val="005977BF"/>
    <w:rsid w:val="005A1CFE"/>
    <w:rsid w:val="005A1DD5"/>
    <w:rsid w:val="005A2908"/>
    <w:rsid w:val="005A5196"/>
    <w:rsid w:val="005B3A24"/>
    <w:rsid w:val="005B5D66"/>
    <w:rsid w:val="005B5F0F"/>
    <w:rsid w:val="005B6EAC"/>
    <w:rsid w:val="005B714B"/>
    <w:rsid w:val="005C1584"/>
    <w:rsid w:val="005C5E90"/>
    <w:rsid w:val="005D25FF"/>
    <w:rsid w:val="005D41F6"/>
    <w:rsid w:val="005D4F62"/>
    <w:rsid w:val="005D5737"/>
    <w:rsid w:val="005D57E2"/>
    <w:rsid w:val="005D7108"/>
    <w:rsid w:val="005D7252"/>
    <w:rsid w:val="005E2735"/>
    <w:rsid w:val="005E3552"/>
    <w:rsid w:val="005E7789"/>
    <w:rsid w:val="005F2F70"/>
    <w:rsid w:val="005F5CE7"/>
    <w:rsid w:val="00601B5C"/>
    <w:rsid w:val="00605FCB"/>
    <w:rsid w:val="00610160"/>
    <w:rsid w:val="006111F8"/>
    <w:rsid w:val="006137FA"/>
    <w:rsid w:val="006155BF"/>
    <w:rsid w:val="00616A84"/>
    <w:rsid w:val="00620368"/>
    <w:rsid w:val="00621FF0"/>
    <w:rsid w:val="00626D59"/>
    <w:rsid w:val="006308B3"/>
    <w:rsid w:val="00634C92"/>
    <w:rsid w:val="00641D13"/>
    <w:rsid w:val="00645156"/>
    <w:rsid w:val="006516AB"/>
    <w:rsid w:val="00652B33"/>
    <w:rsid w:val="0065478B"/>
    <w:rsid w:val="00666CB4"/>
    <w:rsid w:val="0066712A"/>
    <w:rsid w:val="0067105D"/>
    <w:rsid w:val="006751CA"/>
    <w:rsid w:val="0068428B"/>
    <w:rsid w:val="00684F93"/>
    <w:rsid w:val="006863AF"/>
    <w:rsid w:val="0068665D"/>
    <w:rsid w:val="0069005F"/>
    <w:rsid w:val="00695F7A"/>
    <w:rsid w:val="0069621C"/>
    <w:rsid w:val="0069692C"/>
    <w:rsid w:val="006A348A"/>
    <w:rsid w:val="006A75AE"/>
    <w:rsid w:val="006B4F4B"/>
    <w:rsid w:val="006B74DE"/>
    <w:rsid w:val="006B7965"/>
    <w:rsid w:val="006C05CA"/>
    <w:rsid w:val="006C0669"/>
    <w:rsid w:val="006C46D9"/>
    <w:rsid w:val="006C5CE3"/>
    <w:rsid w:val="006D489C"/>
    <w:rsid w:val="006D6C8E"/>
    <w:rsid w:val="006E01A8"/>
    <w:rsid w:val="006E1FD9"/>
    <w:rsid w:val="006E479B"/>
    <w:rsid w:val="006E5054"/>
    <w:rsid w:val="006E58BD"/>
    <w:rsid w:val="006E6BF2"/>
    <w:rsid w:val="006F0FAB"/>
    <w:rsid w:val="006F268E"/>
    <w:rsid w:val="006F3C92"/>
    <w:rsid w:val="006F720C"/>
    <w:rsid w:val="006F79C0"/>
    <w:rsid w:val="00702390"/>
    <w:rsid w:val="00702A18"/>
    <w:rsid w:val="007036A2"/>
    <w:rsid w:val="00703C81"/>
    <w:rsid w:val="00704C50"/>
    <w:rsid w:val="007060D5"/>
    <w:rsid w:val="0070642C"/>
    <w:rsid w:val="00711984"/>
    <w:rsid w:val="007133CC"/>
    <w:rsid w:val="00714C41"/>
    <w:rsid w:val="0071703A"/>
    <w:rsid w:val="007201FC"/>
    <w:rsid w:val="00723FFD"/>
    <w:rsid w:val="007308F6"/>
    <w:rsid w:val="007318A8"/>
    <w:rsid w:val="00732FFA"/>
    <w:rsid w:val="00734137"/>
    <w:rsid w:val="0073435B"/>
    <w:rsid w:val="007344BA"/>
    <w:rsid w:val="00735085"/>
    <w:rsid w:val="00736EE1"/>
    <w:rsid w:val="0073765C"/>
    <w:rsid w:val="00741BBE"/>
    <w:rsid w:val="0074598D"/>
    <w:rsid w:val="007504FB"/>
    <w:rsid w:val="00752794"/>
    <w:rsid w:val="007555B1"/>
    <w:rsid w:val="007577A8"/>
    <w:rsid w:val="00760897"/>
    <w:rsid w:val="00762EA3"/>
    <w:rsid w:val="00763311"/>
    <w:rsid w:val="00763B28"/>
    <w:rsid w:val="007642F4"/>
    <w:rsid w:val="00764CA4"/>
    <w:rsid w:val="00765850"/>
    <w:rsid w:val="007665E2"/>
    <w:rsid w:val="00770244"/>
    <w:rsid w:val="00771201"/>
    <w:rsid w:val="00771863"/>
    <w:rsid w:val="007720C5"/>
    <w:rsid w:val="007735DC"/>
    <w:rsid w:val="00774CD1"/>
    <w:rsid w:val="00774E16"/>
    <w:rsid w:val="007762F9"/>
    <w:rsid w:val="007811BB"/>
    <w:rsid w:val="00782805"/>
    <w:rsid w:val="007852FE"/>
    <w:rsid w:val="00785BE7"/>
    <w:rsid w:val="00785FAE"/>
    <w:rsid w:val="007866E2"/>
    <w:rsid w:val="00793066"/>
    <w:rsid w:val="007A1E74"/>
    <w:rsid w:val="007A200A"/>
    <w:rsid w:val="007A267E"/>
    <w:rsid w:val="007A27BA"/>
    <w:rsid w:val="007A2D4F"/>
    <w:rsid w:val="007A4BBB"/>
    <w:rsid w:val="007A5846"/>
    <w:rsid w:val="007B32A9"/>
    <w:rsid w:val="007C0DAD"/>
    <w:rsid w:val="007C5153"/>
    <w:rsid w:val="007C73D3"/>
    <w:rsid w:val="007D03E4"/>
    <w:rsid w:val="007D1420"/>
    <w:rsid w:val="007D1514"/>
    <w:rsid w:val="007D240F"/>
    <w:rsid w:val="007E11FB"/>
    <w:rsid w:val="007E2BA3"/>
    <w:rsid w:val="007E2FB0"/>
    <w:rsid w:val="007E41B3"/>
    <w:rsid w:val="007E5C7C"/>
    <w:rsid w:val="007F05ED"/>
    <w:rsid w:val="007F25B7"/>
    <w:rsid w:val="007F2E10"/>
    <w:rsid w:val="007F52CA"/>
    <w:rsid w:val="007F5659"/>
    <w:rsid w:val="007F7386"/>
    <w:rsid w:val="007F78CD"/>
    <w:rsid w:val="008153C7"/>
    <w:rsid w:val="00816095"/>
    <w:rsid w:val="008166D2"/>
    <w:rsid w:val="00820159"/>
    <w:rsid w:val="00822BA2"/>
    <w:rsid w:val="00822F89"/>
    <w:rsid w:val="00823C9D"/>
    <w:rsid w:val="0082486A"/>
    <w:rsid w:val="00825914"/>
    <w:rsid w:val="008264EB"/>
    <w:rsid w:val="00830C30"/>
    <w:rsid w:val="00830EB6"/>
    <w:rsid w:val="008321F3"/>
    <w:rsid w:val="00836507"/>
    <w:rsid w:val="008401BB"/>
    <w:rsid w:val="00840AEC"/>
    <w:rsid w:val="008419AB"/>
    <w:rsid w:val="00843A80"/>
    <w:rsid w:val="00844A64"/>
    <w:rsid w:val="00850023"/>
    <w:rsid w:val="008502E2"/>
    <w:rsid w:val="0085299D"/>
    <w:rsid w:val="00853229"/>
    <w:rsid w:val="00853A08"/>
    <w:rsid w:val="00855CCA"/>
    <w:rsid w:val="00860AC8"/>
    <w:rsid w:val="00871B6F"/>
    <w:rsid w:val="0087502A"/>
    <w:rsid w:val="00882D51"/>
    <w:rsid w:val="00890798"/>
    <w:rsid w:val="008910A1"/>
    <w:rsid w:val="00891F2E"/>
    <w:rsid w:val="00894C31"/>
    <w:rsid w:val="00895033"/>
    <w:rsid w:val="008952C6"/>
    <w:rsid w:val="008A06D0"/>
    <w:rsid w:val="008A0ED5"/>
    <w:rsid w:val="008A17FA"/>
    <w:rsid w:val="008A1AEC"/>
    <w:rsid w:val="008B69B7"/>
    <w:rsid w:val="008B6E7F"/>
    <w:rsid w:val="008B7792"/>
    <w:rsid w:val="008B7CC4"/>
    <w:rsid w:val="008C0625"/>
    <w:rsid w:val="008C0CC3"/>
    <w:rsid w:val="008C33D5"/>
    <w:rsid w:val="008C7534"/>
    <w:rsid w:val="008C7771"/>
    <w:rsid w:val="008C7D64"/>
    <w:rsid w:val="008D20D9"/>
    <w:rsid w:val="008D2310"/>
    <w:rsid w:val="008D2EE0"/>
    <w:rsid w:val="008E1B7B"/>
    <w:rsid w:val="008E3476"/>
    <w:rsid w:val="008E43FD"/>
    <w:rsid w:val="008E5DDF"/>
    <w:rsid w:val="008E66E6"/>
    <w:rsid w:val="008E69C9"/>
    <w:rsid w:val="008E6A4D"/>
    <w:rsid w:val="008E7A32"/>
    <w:rsid w:val="008F0217"/>
    <w:rsid w:val="008F1186"/>
    <w:rsid w:val="008F349E"/>
    <w:rsid w:val="00901741"/>
    <w:rsid w:val="00911AF0"/>
    <w:rsid w:val="00911D47"/>
    <w:rsid w:val="009162DD"/>
    <w:rsid w:val="00917896"/>
    <w:rsid w:val="00917D0D"/>
    <w:rsid w:val="00921776"/>
    <w:rsid w:val="00922240"/>
    <w:rsid w:val="00922F74"/>
    <w:rsid w:val="009231BE"/>
    <w:rsid w:val="009272F2"/>
    <w:rsid w:val="00927946"/>
    <w:rsid w:val="009306B9"/>
    <w:rsid w:val="00930DDE"/>
    <w:rsid w:val="00930F43"/>
    <w:rsid w:val="00933420"/>
    <w:rsid w:val="0093514F"/>
    <w:rsid w:val="00940F52"/>
    <w:rsid w:val="00943FAF"/>
    <w:rsid w:val="00944CEC"/>
    <w:rsid w:val="009468F7"/>
    <w:rsid w:val="00946A7C"/>
    <w:rsid w:val="00955BDE"/>
    <w:rsid w:val="00956D13"/>
    <w:rsid w:val="00960077"/>
    <w:rsid w:val="0097003F"/>
    <w:rsid w:val="009735D8"/>
    <w:rsid w:val="00976FC0"/>
    <w:rsid w:val="00983186"/>
    <w:rsid w:val="00986571"/>
    <w:rsid w:val="0099538C"/>
    <w:rsid w:val="009A02D5"/>
    <w:rsid w:val="009A3DCC"/>
    <w:rsid w:val="009A5645"/>
    <w:rsid w:val="009A60B1"/>
    <w:rsid w:val="009A62E1"/>
    <w:rsid w:val="009A7934"/>
    <w:rsid w:val="009B55C3"/>
    <w:rsid w:val="009B7486"/>
    <w:rsid w:val="009C145B"/>
    <w:rsid w:val="009C2920"/>
    <w:rsid w:val="009C3111"/>
    <w:rsid w:val="009C64A5"/>
    <w:rsid w:val="009D21A8"/>
    <w:rsid w:val="009D3E93"/>
    <w:rsid w:val="009D738B"/>
    <w:rsid w:val="009D791A"/>
    <w:rsid w:val="009D7927"/>
    <w:rsid w:val="009E10A8"/>
    <w:rsid w:val="009E22D7"/>
    <w:rsid w:val="009E2E35"/>
    <w:rsid w:val="009E4966"/>
    <w:rsid w:val="009E49B7"/>
    <w:rsid w:val="009E5498"/>
    <w:rsid w:val="009E6F40"/>
    <w:rsid w:val="009E7418"/>
    <w:rsid w:val="009F1375"/>
    <w:rsid w:val="009F446F"/>
    <w:rsid w:val="009F5A5C"/>
    <w:rsid w:val="00A007DB"/>
    <w:rsid w:val="00A01636"/>
    <w:rsid w:val="00A03721"/>
    <w:rsid w:val="00A10BEE"/>
    <w:rsid w:val="00A11F79"/>
    <w:rsid w:val="00A152C9"/>
    <w:rsid w:val="00A20456"/>
    <w:rsid w:val="00A24AEC"/>
    <w:rsid w:val="00A24F03"/>
    <w:rsid w:val="00A2636F"/>
    <w:rsid w:val="00A32DC0"/>
    <w:rsid w:val="00A43611"/>
    <w:rsid w:val="00A46E73"/>
    <w:rsid w:val="00A54D6F"/>
    <w:rsid w:val="00A54FA9"/>
    <w:rsid w:val="00A61587"/>
    <w:rsid w:val="00A616F4"/>
    <w:rsid w:val="00A63B3A"/>
    <w:rsid w:val="00A64D09"/>
    <w:rsid w:val="00A70A3C"/>
    <w:rsid w:val="00A72776"/>
    <w:rsid w:val="00A740CB"/>
    <w:rsid w:val="00A74773"/>
    <w:rsid w:val="00A75843"/>
    <w:rsid w:val="00A81362"/>
    <w:rsid w:val="00A8215B"/>
    <w:rsid w:val="00A8350E"/>
    <w:rsid w:val="00A91439"/>
    <w:rsid w:val="00A94336"/>
    <w:rsid w:val="00A95C2A"/>
    <w:rsid w:val="00A96DE2"/>
    <w:rsid w:val="00A9781A"/>
    <w:rsid w:val="00AA4F57"/>
    <w:rsid w:val="00AA6DEA"/>
    <w:rsid w:val="00AB3481"/>
    <w:rsid w:val="00AC0CA7"/>
    <w:rsid w:val="00AC1716"/>
    <w:rsid w:val="00AC24A9"/>
    <w:rsid w:val="00AC6CA4"/>
    <w:rsid w:val="00AC6F26"/>
    <w:rsid w:val="00AC7530"/>
    <w:rsid w:val="00AC7770"/>
    <w:rsid w:val="00AC78E2"/>
    <w:rsid w:val="00AC7C89"/>
    <w:rsid w:val="00AD0190"/>
    <w:rsid w:val="00AD043E"/>
    <w:rsid w:val="00AD087F"/>
    <w:rsid w:val="00AD3C86"/>
    <w:rsid w:val="00AD50BB"/>
    <w:rsid w:val="00AD6343"/>
    <w:rsid w:val="00AD6BDC"/>
    <w:rsid w:val="00AE1BED"/>
    <w:rsid w:val="00AE1C11"/>
    <w:rsid w:val="00AE2ECB"/>
    <w:rsid w:val="00AE47BD"/>
    <w:rsid w:val="00AF262B"/>
    <w:rsid w:val="00AF528F"/>
    <w:rsid w:val="00AF7478"/>
    <w:rsid w:val="00B0237B"/>
    <w:rsid w:val="00B0328B"/>
    <w:rsid w:val="00B04BA8"/>
    <w:rsid w:val="00B04FBB"/>
    <w:rsid w:val="00B05F5B"/>
    <w:rsid w:val="00B12375"/>
    <w:rsid w:val="00B1657B"/>
    <w:rsid w:val="00B210F1"/>
    <w:rsid w:val="00B220E9"/>
    <w:rsid w:val="00B247EE"/>
    <w:rsid w:val="00B24E4D"/>
    <w:rsid w:val="00B26DB8"/>
    <w:rsid w:val="00B3019E"/>
    <w:rsid w:val="00B32353"/>
    <w:rsid w:val="00B33568"/>
    <w:rsid w:val="00B348B9"/>
    <w:rsid w:val="00B34E6C"/>
    <w:rsid w:val="00B35528"/>
    <w:rsid w:val="00B404A8"/>
    <w:rsid w:val="00B417F3"/>
    <w:rsid w:val="00B42851"/>
    <w:rsid w:val="00B42C10"/>
    <w:rsid w:val="00B4381E"/>
    <w:rsid w:val="00B43A9B"/>
    <w:rsid w:val="00B534BC"/>
    <w:rsid w:val="00B54469"/>
    <w:rsid w:val="00B544A1"/>
    <w:rsid w:val="00B56CFE"/>
    <w:rsid w:val="00B614D7"/>
    <w:rsid w:val="00B63940"/>
    <w:rsid w:val="00B6434C"/>
    <w:rsid w:val="00B65539"/>
    <w:rsid w:val="00B663D2"/>
    <w:rsid w:val="00B67BDD"/>
    <w:rsid w:val="00B71F80"/>
    <w:rsid w:val="00B73A7C"/>
    <w:rsid w:val="00B832F0"/>
    <w:rsid w:val="00B83F8D"/>
    <w:rsid w:val="00B84297"/>
    <w:rsid w:val="00B8594D"/>
    <w:rsid w:val="00B86E4D"/>
    <w:rsid w:val="00B906AA"/>
    <w:rsid w:val="00B938BB"/>
    <w:rsid w:val="00B9450E"/>
    <w:rsid w:val="00B97F0B"/>
    <w:rsid w:val="00B97F94"/>
    <w:rsid w:val="00B97FE6"/>
    <w:rsid w:val="00BA052E"/>
    <w:rsid w:val="00BA0B40"/>
    <w:rsid w:val="00BA29FB"/>
    <w:rsid w:val="00BA4158"/>
    <w:rsid w:val="00BA4FF5"/>
    <w:rsid w:val="00BA525C"/>
    <w:rsid w:val="00BA69F8"/>
    <w:rsid w:val="00BA6F68"/>
    <w:rsid w:val="00BB198D"/>
    <w:rsid w:val="00BB23EC"/>
    <w:rsid w:val="00BB680C"/>
    <w:rsid w:val="00BC1464"/>
    <w:rsid w:val="00BC477C"/>
    <w:rsid w:val="00BC5247"/>
    <w:rsid w:val="00BC5985"/>
    <w:rsid w:val="00BD60E1"/>
    <w:rsid w:val="00BE1135"/>
    <w:rsid w:val="00BE4A40"/>
    <w:rsid w:val="00BE4CAC"/>
    <w:rsid w:val="00BE581D"/>
    <w:rsid w:val="00BE6EF7"/>
    <w:rsid w:val="00BF01E3"/>
    <w:rsid w:val="00BF4CA8"/>
    <w:rsid w:val="00BF5644"/>
    <w:rsid w:val="00BF5EC8"/>
    <w:rsid w:val="00BF67C4"/>
    <w:rsid w:val="00BF69C1"/>
    <w:rsid w:val="00BF6EC4"/>
    <w:rsid w:val="00C056D1"/>
    <w:rsid w:val="00C072E3"/>
    <w:rsid w:val="00C101AF"/>
    <w:rsid w:val="00C126EF"/>
    <w:rsid w:val="00C1375A"/>
    <w:rsid w:val="00C16551"/>
    <w:rsid w:val="00C16782"/>
    <w:rsid w:val="00C16D4E"/>
    <w:rsid w:val="00C2092A"/>
    <w:rsid w:val="00C20BA8"/>
    <w:rsid w:val="00C22C0D"/>
    <w:rsid w:val="00C26EEC"/>
    <w:rsid w:val="00C27D8E"/>
    <w:rsid w:val="00C34916"/>
    <w:rsid w:val="00C35AD0"/>
    <w:rsid w:val="00C36526"/>
    <w:rsid w:val="00C413E7"/>
    <w:rsid w:val="00C46389"/>
    <w:rsid w:val="00C5674A"/>
    <w:rsid w:val="00C60828"/>
    <w:rsid w:val="00C6151E"/>
    <w:rsid w:val="00C647B1"/>
    <w:rsid w:val="00C64B69"/>
    <w:rsid w:val="00C65A29"/>
    <w:rsid w:val="00C66A86"/>
    <w:rsid w:val="00C675D4"/>
    <w:rsid w:val="00C6763A"/>
    <w:rsid w:val="00C67642"/>
    <w:rsid w:val="00C703D0"/>
    <w:rsid w:val="00C73708"/>
    <w:rsid w:val="00C76511"/>
    <w:rsid w:val="00C76567"/>
    <w:rsid w:val="00C82DDC"/>
    <w:rsid w:val="00C84D08"/>
    <w:rsid w:val="00C86487"/>
    <w:rsid w:val="00C866B3"/>
    <w:rsid w:val="00C90F8A"/>
    <w:rsid w:val="00C92578"/>
    <w:rsid w:val="00C925AD"/>
    <w:rsid w:val="00C93C76"/>
    <w:rsid w:val="00C9464E"/>
    <w:rsid w:val="00C9686D"/>
    <w:rsid w:val="00C96C91"/>
    <w:rsid w:val="00CA3096"/>
    <w:rsid w:val="00CA6340"/>
    <w:rsid w:val="00CB1F03"/>
    <w:rsid w:val="00CB371C"/>
    <w:rsid w:val="00CB3941"/>
    <w:rsid w:val="00CB4ED4"/>
    <w:rsid w:val="00CB5B1A"/>
    <w:rsid w:val="00CC0F28"/>
    <w:rsid w:val="00CC217E"/>
    <w:rsid w:val="00CC3ECD"/>
    <w:rsid w:val="00CC64B6"/>
    <w:rsid w:val="00CC66AA"/>
    <w:rsid w:val="00CD663C"/>
    <w:rsid w:val="00CE13EA"/>
    <w:rsid w:val="00CF41F9"/>
    <w:rsid w:val="00CF4418"/>
    <w:rsid w:val="00CF7228"/>
    <w:rsid w:val="00CF7683"/>
    <w:rsid w:val="00D03E34"/>
    <w:rsid w:val="00D0464E"/>
    <w:rsid w:val="00D049AF"/>
    <w:rsid w:val="00D04E45"/>
    <w:rsid w:val="00D060C4"/>
    <w:rsid w:val="00D11786"/>
    <w:rsid w:val="00D11B57"/>
    <w:rsid w:val="00D12EDD"/>
    <w:rsid w:val="00D1307E"/>
    <w:rsid w:val="00D137D5"/>
    <w:rsid w:val="00D173B2"/>
    <w:rsid w:val="00D23489"/>
    <w:rsid w:val="00D25FB9"/>
    <w:rsid w:val="00D27B8C"/>
    <w:rsid w:val="00D358B1"/>
    <w:rsid w:val="00D35DE2"/>
    <w:rsid w:val="00D364FB"/>
    <w:rsid w:val="00D37F7E"/>
    <w:rsid w:val="00D409D1"/>
    <w:rsid w:val="00D40B83"/>
    <w:rsid w:val="00D4161D"/>
    <w:rsid w:val="00D44374"/>
    <w:rsid w:val="00D45BAD"/>
    <w:rsid w:val="00D47173"/>
    <w:rsid w:val="00D479A4"/>
    <w:rsid w:val="00D47BF5"/>
    <w:rsid w:val="00D50A38"/>
    <w:rsid w:val="00D50D5F"/>
    <w:rsid w:val="00D513CF"/>
    <w:rsid w:val="00D51899"/>
    <w:rsid w:val="00D528F8"/>
    <w:rsid w:val="00D5385D"/>
    <w:rsid w:val="00D57281"/>
    <w:rsid w:val="00D6135F"/>
    <w:rsid w:val="00D61AEC"/>
    <w:rsid w:val="00D621B0"/>
    <w:rsid w:val="00D63090"/>
    <w:rsid w:val="00D665A1"/>
    <w:rsid w:val="00D67A57"/>
    <w:rsid w:val="00D710A8"/>
    <w:rsid w:val="00D7132A"/>
    <w:rsid w:val="00D71C86"/>
    <w:rsid w:val="00D71CC9"/>
    <w:rsid w:val="00D734C7"/>
    <w:rsid w:val="00D7429C"/>
    <w:rsid w:val="00D75A12"/>
    <w:rsid w:val="00D85001"/>
    <w:rsid w:val="00D85065"/>
    <w:rsid w:val="00D87A54"/>
    <w:rsid w:val="00D92226"/>
    <w:rsid w:val="00D96F49"/>
    <w:rsid w:val="00DA0B9B"/>
    <w:rsid w:val="00DA1DB1"/>
    <w:rsid w:val="00DA3471"/>
    <w:rsid w:val="00DA413D"/>
    <w:rsid w:val="00DA4174"/>
    <w:rsid w:val="00DA62C5"/>
    <w:rsid w:val="00DA7E38"/>
    <w:rsid w:val="00DB138E"/>
    <w:rsid w:val="00DB204F"/>
    <w:rsid w:val="00DB2895"/>
    <w:rsid w:val="00DB36F4"/>
    <w:rsid w:val="00DB485F"/>
    <w:rsid w:val="00DC1E40"/>
    <w:rsid w:val="00DC1F3B"/>
    <w:rsid w:val="00DC2C17"/>
    <w:rsid w:val="00DC3069"/>
    <w:rsid w:val="00DC3B44"/>
    <w:rsid w:val="00DC3C35"/>
    <w:rsid w:val="00DC4AB5"/>
    <w:rsid w:val="00DC621D"/>
    <w:rsid w:val="00DC738A"/>
    <w:rsid w:val="00DD0FB3"/>
    <w:rsid w:val="00DD366D"/>
    <w:rsid w:val="00DD5BFD"/>
    <w:rsid w:val="00DD5F87"/>
    <w:rsid w:val="00DD6B7E"/>
    <w:rsid w:val="00DD76E6"/>
    <w:rsid w:val="00DE0B10"/>
    <w:rsid w:val="00DE0FAA"/>
    <w:rsid w:val="00DE25D6"/>
    <w:rsid w:val="00DE33EF"/>
    <w:rsid w:val="00DE4602"/>
    <w:rsid w:val="00DE76BD"/>
    <w:rsid w:val="00DF26B6"/>
    <w:rsid w:val="00DF334B"/>
    <w:rsid w:val="00DF33E1"/>
    <w:rsid w:val="00DF3A42"/>
    <w:rsid w:val="00DF3ACB"/>
    <w:rsid w:val="00DF5512"/>
    <w:rsid w:val="00E0061B"/>
    <w:rsid w:val="00E0397C"/>
    <w:rsid w:val="00E03B5E"/>
    <w:rsid w:val="00E04B0A"/>
    <w:rsid w:val="00E04D35"/>
    <w:rsid w:val="00E07A3E"/>
    <w:rsid w:val="00E119E5"/>
    <w:rsid w:val="00E1243B"/>
    <w:rsid w:val="00E1285B"/>
    <w:rsid w:val="00E14183"/>
    <w:rsid w:val="00E17C9B"/>
    <w:rsid w:val="00E21B48"/>
    <w:rsid w:val="00E2236C"/>
    <w:rsid w:val="00E233E0"/>
    <w:rsid w:val="00E24BBD"/>
    <w:rsid w:val="00E254FF"/>
    <w:rsid w:val="00E31227"/>
    <w:rsid w:val="00E3230B"/>
    <w:rsid w:val="00E34566"/>
    <w:rsid w:val="00E35D61"/>
    <w:rsid w:val="00E36B0A"/>
    <w:rsid w:val="00E41EED"/>
    <w:rsid w:val="00E452F3"/>
    <w:rsid w:val="00E46DC4"/>
    <w:rsid w:val="00E53664"/>
    <w:rsid w:val="00E554E4"/>
    <w:rsid w:val="00E63EA0"/>
    <w:rsid w:val="00E7133C"/>
    <w:rsid w:val="00E72E91"/>
    <w:rsid w:val="00E73A3C"/>
    <w:rsid w:val="00E73B4B"/>
    <w:rsid w:val="00E740E2"/>
    <w:rsid w:val="00E742C8"/>
    <w:rsid w:val="00E74B5F"/>
    <w:rsid w:val="00E75DBE"/>
    <w:rsid w:val="00E81088"/>
    <w:rsid w:val="00E814F4"/>
    <w:rsid w:val="00E83430"/>
    <w:rsid w:val="00E8626C"/>
    <w:rsid w:val="00E86D52"/>
    <w:rsid w:val="00E912A0"/>
    <w:rsid w:val="00E97BAC"/>
    <w:rsid w:val="00EA1D32"/>
    <w:rsid w:val="00EA32DC"/>
    <w:rsid w:val="00EA3540"/>
    <w:rsid w:val="00EB36D2"/>
    <w:rsid w:val="00EB3773"/>
    <w:rsid w:val="00EB3AC5"/>
    <w:rsid w:val="00EB50E8"/>
    <w:rsid w:val="00EB77DF"/>
    <w:rsid w:val="00EC1F14"/>
    <w:rsid w:val="00EC3B17"/>
    <w:rsid w:val="00EC7AEA"/>
    <w:rsid w:val="00EC7EC1"/>
    <w:rsid w:val="00ED0FB6"/>
    <w:rsid w:val="00ED34DB"/>
    <w:rsid w:val="00ED7F3C"/>
    <w:rsid w:val="00EE18FF"/>
    <w:rsid w:val="00EE1DA6"/>
    <w:rsid w:val="00EE5022"/>
    <w:rsid w:val="00EE5432"/>
    <w:rsid w:val="00EE548C"/>
    <w:rsid w:val="00EE676C"/>
    <w:rsid w:val="00EE6A88"/>
    <w:rsid w:val="00EF0092"/>
    <w:rsid w:val="00EF1DD1"/>
    <w:rsid w:val="00EF2748"/>
    <w:rsid w:val="00F03D6C"/>
    <w:rsid w:val="00F04B16"/>
    <w:rsid w:val="00F055A6"/>
    <w:rsid w:val="00F073C8"/>
    <w:rsid w:val="00F11978"/>
    <w:rsid w:val="00F1389B"/>
    <w:rsid w:val="00F139C7"/>
    <w:rsid w:val="00F14EA4"/>
    <w:rsid w:val="00F154E0"/>
    <w:rsid w:val="00F15B07"/>
    <w:rsid w:val="00F2144E"/>
    <w:rsid w:val="00F21855"/>
    <w:rsid w:val="00F41931"/>
    <w:rsid w:val="00F441F3"/>
    <w:rsid w:val="00F45311"/>
    <w:rsid w:val="00F4544D"/>
    <w:rsid w:val="00F457E3"/>
    <w:rsid w:val="00F47329"/>
    <w:rsid w:val="00F515F7"/>
    <w:rsid w:val="00F51912"/>
    <w:rsid w:val="00F5218C"/>
    <w:rsid w:val="00F56224"/>
    <w:rsid w:val="00F60A17"/>
    <w:rsid w:val="00F6102B"/>
    <w:rsid w:val="00F61F02"/>
    <w:rsid w:val="00F6466B"/>
    <w:rsid w:val="00F64B0E"/>
    <w:rsid w:val="00F65B70"/>
    <w:rsid w:val="00F66EE9"/>
    <w:rsid w:val="00F677C0"/>
    <w:rsid w:val="00F718B3"/>
    <w:rsid w:val="00F72F3C"/>
    <w:rsid w:val="00F73013"/>
    <w:rsid w:val="00F73C6C"/>
    <w:rsid w:val="00F7423A"/>
    <w:rsid w:val="00F745CF"/>
    <w:rsid w:val="00F80EF8"/>
    <w:rsid w:val="00F820D2"/>
    <w:rsid w:val="00F92908"/>
    <w:rsid w:val="00F93637"/>
    <w:rsid w:val="00F95656"/>
    <w:rsid w:val="00F95F6B"/>
    <w:rsid w:val="00F96A5C"/>
    <w:rsid w:val="00FA05B6"/>
    <w:rsid w:val="00FA0F9A"/>
    <w:rsid w:val="00FB15C6"/>
    <w:rsid w:val="00FB1AE3"/>
    <w:rsid w:val="00FB1E9D"/>
    <w:rsid w:val="00FB6CF1"/>
    <w:rsid w:val="00FC25DD"/>
    <w:rsid w:val="00FD4ECD"/>
    <w:rsid w:val="00FD5F74"/>
    <w:rsid w:val="00FD787A"/>
    <w:rsid w:val="00FE664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AU" w:eastAsia="en-AU"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lsdException w:name="heading 8" w:semiHidden="1" w:unhideWhenUsed="1" w:qFormat="1"/>
    <w:lsdException w:name="heading 9" w:semiHidden="1" w:unhideWhenUsed="1" w:qFormat="1"/>
    <w:lsdException w:name="footnote text" w:uiPriority="99"/>
    <w:lsdException w:name="caption" w:semiHidden="1" w:unhideWhenUsed="1" w:qFormat="1"/>
    <w:lsdException w:name="footnote reference" w:uiPriority="99"/>
    <w:lsdException w:name="Title" w:qFormat="1"/>
    <w:lsdException w:name="Subtitle" w:qFormat="1"/>
    <w:lsdException w:name="Salutation" w:qFormat="1"/>
    <w:lsdException w:name="Hyperlink" w:qFormat="1"/>
    <w:lsdException w:name="Strong" w:uiPriority="22" w:qFormat="1"/>
    <w:lsdException w:name="Emphasis" w:qFormat="1"/>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8E3476"/>
    <w:pPr>
      <w:spacing w:after="120"/>
    </w:pPr>
    <w:rPr>
      <w:rFonts w:asciiTheme="minorHAnsi" w:hAnsiTheme="minorHAnsi"/>
      <w:sz w:val="22"/>
    </w:rPr>
  </w:style>
  <w:style w:type="paragraph" w:styleId="Heading1">
    <w:name w:val="heading 1"/>
    <w:basedOn w:val="Normal"/>
    <w:next w:val="Normal"/>
    <w:link w:val="Heading1Char"/>
    <w:qFormat/>
    <w:rsid w:val="00030C59"/>
    <w:pPr>
      <w:keepNext/>
      <w:shd w:val="clear" w:color="auto" w:fill="4F81BD" w:themeFill="accent1"/>
      <w:autoSpaceDE w:val="0"/>
      <w:autoSpaceDN w:val="0"/>
      <w:adjustRightInd w:val="0"/>
      <w:spacing w:before="120" w:after="0"/>
      <w:jc w:val="center"/>
      <w:outlineLvl w:val="0"/>
    </w:pPr>
    <w:rPr>
      <w:rFonts w:cs="Arial"/>
      <w:b/>
      <w:color w:val="FFFFFF" w:themeColor="background1"/>
      <w:sz w:val="28"/>
      <w:szCs w:val="28"/>
      <w:lang w:eastAsia="en-US"/>
    </w:rPr>
  </w:style>
  <w:style w:type="paragraph" w:styleId="Heading2">
    <w:name w:val="heading 2"/>
    <w:basedOn w:val="Heading1"/>
    <w:next w:val="Normal"/>
    <w:link w:val="Heading2Char"/>
    <w:qFormat/>
    <w:rsid w:val="00030C59"/>
    <w:pPr>
      <w:shd w:val="clear" w:color="auto" w:fill="95B3D7" w:themeFill="accent1" w:themeFillTint="99"/>
      <w:jc w:val="left"/>
      <w:outlineLvl w:val="1"/>
    </w:pPr>
    <w:rPr>
      <w:color w:val="auto"/>
    </w:rPr>
  </w:style>
  <w:style w:type="paragraph" w:styleId="Heading3">
    <w:name w:val="heading 3"/>
    <w:basedOn w:val="Heading2"/>
    <w:next w:val="Normal"/>
    <w:link w:val="Heading3Char"/>
    <w:qFormat/>
    <w:rsid w:val="00030C59"/>
    <w:pPr>
      <w:shd w:val="clear" w:color="auto" w:fill="DBE5F1" w:themeFill="accent1" w:themeFillTint="33"/>
      <w:outlineLvl w:val="2"/>
    </w:pPr>
  </w:style>
  <w:style w:type="paragraph" w:styleId="Heading4">
    <w:name w:val="heading 4"/>
    <w:basedOn w:val="Normal"/>
    <w:next w:val="Normal"/>
    <w:link w:val="Heading4Char"/>
    <w:qFormat/>
    <w:rsid w:val="00CB5B1A"/>
    <w:pPr>
      <w:keepNext/>
      <w:spacing w:before="240" w:after="60"/>
      <w:outlineLvl w:val="3"/>
    </w:pPr>
    <w:rPr>
      <w:b/>
      <w:bCs/>
      <w:i/>
      <w:sz w:val="26"/>
      <w:szCs w:val="28"/>
    </w:rPr>
  </w:style>
  <w:style w:type="paragraph" w:styleId="Heading5">
    <w:name w:val="heading 5"/>
    <w:basedOn w:val="Normal"/>
    <w:next w:val="Normal"/>
    <w:link w:val="Heading5Char"/>
    <w:qFormat/>
    <w:rsid w:val="00CB5B1A"/>
    <w:pPr>
      <w:spacing w:before="240" w:after="60"/>
      <w:outlineLvl w:val="4"/>
    </w:pPr>
    <w:rPr>
      <w:b/>
      <w:bCs/>
      <w:iCs/>
      <w:sz w:val="26"/>
      <w:szCs w:val="26"/>
    </w:rPr>
  </w:style>
  <w:style w:type="paragraph" w:styleId="Heading6">
    <w:name w:val="heading 6"/>
    <w:basedOn w:val="Normal"/>
    <w:next w:val="Normal"/>
    <w:link w:val="Heading6Char"/>
    <w:qFormat/>
    <w:rsid w:val="00CB5B1A"/>
    <w:pPr>
      <w:spacing w:before="240" w:after="60"/>
      <w:outlineLvl w:val="5"/>
    </w:pPr>
    <w:rPr>
      <w:b/>
      <w:bCs/>
      <w:i/>
      <w:szCs w:val="22"/>
    </w:rPr>
  </w:style>
  <w:style w:type="paragraph" w:styleId="Heading7">
    <w:name w:val="heading 7"/>
    <w:basedOn w:val="Normal"/>
    <w:next w:val="Normal"/>
    <w:link w:val="Heading7Char1"/>
    <w:autoRedefine/>
    <w:rsid w:val="00DF33E1"/>
    <w:pPr>
      <w:ind w:left="709" w:hanging="709"/>
      <w:jc w:val="right"/>
      <w:outlineLvl w:val="6"/>
    </w:pPr>
    <w:rPr>
      <w:rFonts w:cs="Arial"/>
      <w:sz w:val="16"/>
      <w:szCs w:val="16"/>
    </w:rPr>
  </w:style>
  <w:style w:type="paragraph" w:styleId="Heading8">
    <w:name w:val="heading 8"/>
    <w:basedOn w:val="BodyText"/>
    <w:next w:val="Normal"/>
    <w:link w:val="Heading8Char"/>
    <w:autoRedefine/>
    <w:qFormat/>
    <w:rsid w:val="00DF33E1"/>
    <w:pPr>
      <w:keepNext/>
      <w:numPr>
        <w:numId w:val="2"/>
      </w:numPr>
      <w:ind w:left="284" w:hanging="284"/>
      <w:outlineLvl w:val="7"/>
    </w:pPr>
    <w:rPr>
      <w:b/>
      <w:sz w:val="20"/>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7Char">
    <w:name w:val="Heading 7 Char"/>
    <w:aliases w:val="Footnote Char"/>
    <w:basedOn w:val="DefaultParagraphFont"/>
    <w:semiHidden/>
    <w:rsid w:val="00DF33E1"/>
    <w:rPr>
      <w:rFonts w:asciiTheme="majorHAnsi" w:eastAsiaTheme="majorEastAsia" w:hAnsiTheme="majorHAnsi" w:cstheme="majorBidi"/>
      <w:i/>
      <w:iCs/>
      <w:color w:val="404040" w:themeColor="text1" w:themeTint="BF"/>
      <w:sz w:val="22"/>
    </w:rPr>
  </w:style>
  <w:style w:type="character" w:customStyle="1" w:styleId="Heading8Char">
    <w:name w:val="Heading 8 Char"/>
    <w:basedOn w:val="DefaultParagraphFont"/>
    <w:link w:val="Heading8"/>
    <w:rsid w:val="00DF33E1"/>
    <w:rPr>
      <w:rFonts w:asciiTheme="minorHAnsi" w:hAnsiTheme="minorHAnsi" w:cs="Arial"/>
      <w:b/>
      <w:szCs w:val="24"/>
      <w:lang w:eastAsia="en-US"/>
    </w:rPr>
  </w:style>
  <w:style w:type="character" w:customStyle="1" w:styleId="Heading1Char">
    <w:name w:val="Heading 1 Char"/>
    <w:link w:val="Heading1"/>
    <w:locked/>
    <w:rsid w:val="00030C59"/>
    <w:rPr>
      <w:rFonts w:asciiTheme="minorHAnsi" w:hAnsiTheme="minorHAnsi" w:cs="Arial"/>
      <w:b/>
      <w:color w:val="FFFFFF" w:themeColor="background1"/>
      <w:sz w:val="28"/>
      <w:szCs w:val="28"/>
      <w:shd w:val="clear" w:color="auto" w:fill="4F81BD" w:themeFill="accent1"/>
      <w:lang w:eastAsia="en-US"/>
    </w:rPr>
  </w:style>
  <w:style w:type="paragraph" w:styleId="BodyText">
    <w:name w:val="Body Text"/>
    <w:basedOn w:val="Normal"/>
    <w:link w:val="BodyTextChar"/>
    <w:rsid w:val="00DF33E1"/>
    <w:pPr>
      <w:autoSpaceDE w:val="0"/>
      <w:autoSpaceDN w:val="0"/>
      <w:adjustRightInd w:val="0"/>
    </w:pPr>
    <w:rPr>
      <w:rFonts w:cs="Arial"/>
      <w:szCs w:val="22"/>
      <w:lang w:eastAsia="en-US"/>
    </w:rPr>
  </w:style>
  <w:style w:type="character" w:customStyle="1" w:styleId="BodyTextChar">
    <w:name w:val="Body Text Char"/>
    <w:basedOn w:val="DefaultParagraphFont"/>
    <w:link w:val="BodyText"/>
    <w:rsid w:val="00DF33E1"/>
    <w:rPr>
      <w:rFonts w:asciiTheme="minorHAnsi" w:hAnsiTheme="minorHAnsi" w:cs="Arial"/>
      <w:sz w:val="22"/>
      <w:szCs w:val="22"/>
      <w:lang w:eastAsia="en-US"/>
    </w:rPr>
  </w:style>
  <w:style w:type="character" w:customStyle="1" w:styleId="Heading2Char">
    <w:name w:val="Heading 2 Char"/>
    <w:link w:val="Heading2"/>
    <w:locked/>
    <w:rsid w:val="00030C59"/>
    <w:rPr>
      <w:rFonts w:asciiTheme="minorHAnsi" w:hAnsiTheme="minorHAnsi" w:cs="Arial"/>
      <w:b/>
      <w:sz w:val="28"/>
      <w:szCs w:val="28"/>
      <w:shd w:val="clear" w:color="auto" w:fill="95B3D7" w:themeFill="accent1" w:themeFillTint="99"/>
      <w:lang w:eastAsia="en-US"/>
    </w:rPr>
  </w:style>
  <w:style w:type="character" w:customStyle="1" w:styleId="Heading3Char">
    <w:name w:val="Heading 3 Char"/>
    <w:link w:val="Heading3"/>
    <w:locked/>
    <w:rsid w:val="00030C59"/>
    <w:rPr>
      <w:rFonts w:asciiTheme="minorHAnsi" w:hAnsiTheme="minorHAnsi" w:cs="Arial"/>
      <w:b/>
      <w:sz w:val="28"/>
      <w:szCs w:val="28"/>
      <w:shd w:val="clear" w:color="auto" w:fill="DBE5F1" w:themeFill="accent1" w:themeFillTint="33"/>
      <w:lang w:eastAsia="en-US"/>
    </w:rPr>
  </w:style>
  <w:style w:type="character" w:customStyle="1" w:styleId="Heading4Char">
    <w:name w:val="Heading 4 Char"/>
    <w:link w:val="Heading4"/>
    <w:locked/>
    <w:rsid w:val="00DF33E1"/>
    <w:rPr>
      <w:b/>
      <w:bCs/>
      <w:i/>
      <w:sz w:val="26"/>
      <w:szCs w:val="28"/>
      <w:lang w:eastAsia="en-US"/>
    </w:rPr>
  </w:style>
  <w:style w:type="character" w:customStyle="1" w:styleId="Heading5Char">
    <w:name w:val="Heading 5 Char"/>
    <w:link w:val="Heading5"/>
    <w:locked/>
    <w:rsid w:val="00DF33E1"/>
    <w:rPr>
      <w:b/>
      <w:bCs/>
      <w:iCs/>
      <w:sz w:val="26"/>
      <w:szCs w:val="26"/>
      <w:lang w:eastAsia="en-US"/>
    </w:rPr>
  </w:style>
  <w:style w:type="character" w:customStyle="1" w:styleId="Heading6Char">
    <w:name w:val="Heading 6 Char"/>
    <w:link w:val="Heading6"/>
    <w:locked/>
    <w:rsid w:val="00DF33E1"/>
    <w:rPr>
      <w:b/>
      <w:bCs/>
      <w:i/>
      <w:sz w:val="22"/>
      <w:szCs w:val="22"/>
      <w:lang w:eastAsia="en-US"/>
    </w:rPr>
  </w:style>
  <w:style w:type="character" w:customStyle="1" w:styleId="Heading7Char1">
    <w:name w:val="Heading 7 Char1"/>
    <w:link w:val="Heading7"/>
    <w:locked/>
    <w:rsid w:val="00DF33E1"/>
    <w:rPr>
      <w:rFonts w:asciiTheme="minorHAnsi" w:hAnsiTheme="minorHAnsi" w:cs="Arial"/>
      <w:sz w:val="16"/>
      <w:szCs w:val="16"/>
    </w:rPr>
  </w:style>
  <w:style w:type="paragraph" w:styleId="BalloonText">
    <w:name w:val="Balloon Text"/>
    <w:basedOn w:val="Normal"/>
    <w:link w:val="BalloonTextChar"/>
    <w:rsid w:val="00DF33E1"/>
    <w:rPr>
      <w:rFonts w:ascii="Tahoma" w:hAnsi="Tahoma" w:cs="Tahoma"/>
      <w:sz w:val="16"/>
      <w:szCs w:val="16"/>
    </w:rPr>
  </w:style>
  <w:style w:type="character" w:customStyle="1" w:styleId="BalloonTextChar">
    <w:name w:val="Balloon Text Char"/>
    <w:basedOn w:val="DefaultParagraphFont"/>
    <w:link w:val="BalloonText"/>
    <w:rsid w:val="00DF33E1"/>
    <w:rPr>
      <w:rFonts w:ascii="Tahoma" w:hAnsi="Tahoma" w:cs="Tahoma"/>
      <w:sz w:val="16"/>
      <w:szCs w:val="16"/>
    </w:rPr>
  </w:style>
  <w:style w:type="paragraph" w:styleId="TOC2">
    <w:name w:val="toc 2"/>
    <w:basedOn w:val="Normal"/>
    <w:next w:val="Normal"/>
    <w:autoRedefine/>
    <w:rsid w:val="00DF33E1"/>
    <w:pPr>
      <w:ind w:left="240"/>
    </w:pPr>
    <w:rPr>
      <w:rFonts w:ascii="Calibri" w:hAnsi="Calibri"/>
      <w:b/>
    </w:rPr>
  </w:style>
  <w:style w:type="paragraph" w:styleId="TOC3">
    <w:name w:val="toc 3"/>
    <w:basedOn w:val="Normal"/>
    <w:next w:val="Normal"/>
    <w:autoRedefine/>
    <w:rsid w:val="00DF33E1"/>
    <w:pPr>
      <w:ind w:left="480"/>
    </w:pPr>
    <w:rPr>
      <w:rFonts w:ascii="Calibri" w:hAnsi="Calibri"/>
    </w:rPr>
  </w:style>
  <w:style w:type="paragraph" w:styleId="Footer">
    <w:name w:val="footer"/>
    <w:basedOn w:val="Normal"/>
    <w:link w:val="FooterChar"/>
    <w:rsid w:val="00DF33E1"/>
    <w:pPr>
      <w:tabs>
        <w:tab w:val="center" w:pos="4153"/>
        <w:tab w:val="right" w:pos="8306"/>
      </w:tabs>
    </w:pPr>
  </w:style>
  <w:style w:type="character" w:customStyle="1" w:styleId="FooterChar">
    <w:name w:val="Footer Char"/>
    <w:basedOn w:val="DefaultParagraphFont"/>
    <w:link w:val="Footer"/>
    <w:rsid w:val="00DF33E1"/>
    <w:rPr>
      <w:rFonts w:asciiTheme="minorHAnsi" w:hAnsiTheme="minorHAnsi"/>
      <w:sz w:val="22"/>
    </w:rPr>
  </w:style>
  <w:style w:type="table" w:styleId="TableGrid">
    <w:name w:val="Table Grid"/>
    <w:basedOn w:val="TableNormal"/>
    <w:rsid w:val="00DF33E1"/>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qFormat/>
    <w:rsid w:val="007B32A9"/>
    <w:pPr>
      <w:keepNext/>
      <w:spacing w:before="120"/>
    </w:pPr>
    <w:rPr>
      <w:b/>
      <w:bCs/>
      <w:sz w:val="20"/>
    </w:rPr>
  </w:style>
  <w:style w:type="paragraph" w:styleId="EndnoteText">
    <w:name w:val="endnote text"/>
    <w:basedOn w:val="Normal"/>
    <w:link w:val="EndnoteTextChar"/>
    <w:rsid w:val="00DF33E1"/>
    <w:pPr>
      <w:tabs>
        <w:tab w:val="left" w:pos="340"/>
      </w:tabs>
      <w:ind w:left="340" w:hanging="340"/>
    </w:pPr>
  </w:style>
  <w:style w:type="character" w:customStyle="1" w:styleId="EndnoteTextChar">
    <w:name w:val="Endnote Text Char"/>
    <w:basedOn w:val="DefaultParagraphFont"/>
    <w:link w:val="EndnoteText"/>
    <w:rsid w:val="00DF33E1"/>
    <w:rPr>
      <w:rFonts w:asciiTheme="minorHAnsi" w:hAnsiTheme="minorHAnsi"/>
      <w:sz w:val="22"/>
    </w:rPr>
  </w:style>
  <w:style w:type="character" w:styleId="EndnoteReference">
    <w:name w:val="endnote reference"/>
    <w:rsid w:val="00DF33E1"/>
    <w:rPr>
      <w:rFonts w:ascii="Arial" w:hAnsi="Arial" w:cs="Arial"/>
      <w:sz w:val="22"/>
      <w:szCs w:val="22"/>
      <w:vertAlign w:val="baseline"/>
      <w:lang w:val="en-AU" w:eastAsia="en-US" w:bidi="ar-SA"/>
    </w:rPr>
  </w:style>
  <w:style w:type="paragraph" w:styleId="FootnoteText">
    <w:name w:val="footnote text"/>
    <w:basedOn w:val="Normal"/>
    <w:link w:val="FootnoteTextChar"/>
    <w:uiPriority w:val="99"/>
    <w:rsid w:val="006E1FD9"/>
    <w:pPr>
      <w:jc w:val="right"/>
    </w:pPr>
    <w:rPr>
      <w:sz w:val="20"/>
    </w:rPr>
  </w:style>
  <w:style w:type="character" w:customStyle="1" w:styleId="FootnoteTextChar">
    <w:name w:val="Footnote Text Char"/>
    <w:basedOn w:val="DefaultParagraphFont"/>
    <w:link w:val="FootnoteText"/>
    <w:uiPriority w:val="99"/>
    <w:rsid w:val="006E1FD9"/>
    <w:rPr>
      <w:rFonts w:asciiTheme="minorHAnsi" w:hAnsiTheme="minorHAnsi"/>
    </w:rPr>
  </w:style>
  <w:style w:type="character" w:styleId="FollowedHyperlink">
    <w:name w:val="FollowedHyperlink"/>
    <w:rsid w:val="00DF33E1"/>
    <w:rPr>
      <w:rFonts w:ascii="Arial" w:hAnsi="Arial" w:cs="Arial"/>
      <w:color w:val="008080"/>
      <w:sz w:val="22"/>
      <w:szCs w:val="22"/>
      <w:u w:val="single"/>
      <w:lang w:val="en-AU" w:eastAsia="en-US" w:bidi="ar-SA"/>
    </w:rPr>
  </w:style>
  <w:style w:type="paragraph" w:styleId="TOC4">
    <w:name w:val="toc 4"/>
    <w:basedOn w:val="Normal"/>
    <w:next w:val="Normal"/>
    <w:autoRedefine/>
    <w:rsid w:val="00DF33E1"/>
    <w:pPr>
      <w:ind w:left="720"/>
    </w:pPr>
    <w:rPr>
      <w:rFonts w:ascii="Calibri" w:hAnsi="Calibri"/>
    </w:rPr>
  </w:style>
  <w:style w:type="paragraph" w:customStyle="1" w:styleId="aligncenter1">
    <w:name w:val="aligncenter1"/>
    <w:basedOn w:val="Normal"/>
    <w:rsid w:val="00DF33E1"/>
    <w:pPr>
      <w:spacing w:after="81"/>
      <w:jc w:val="center"/>
    </w:pPr>
    <w:rPr>
      <w:rFonts w:ascii="Verdana" w:hAnsi="Verdana"/>
      <w:color w:val="464646"/>
      <w:szCs w:val="24"/>
      <w:lang w:val="en-US" w:eastAsia="en-US"/>
    </w:rPr>
  </w:style>
  <w:style w:type="character" w:customStyle="1" w:styleId="titre1">
    <w:name w:val="titre1"/>
    <w:rsid w:val="00DF33E1"/>
    <w:rPr>
      <w:rFonts w:ascii="Arial" w:hAnsi="Arial" w:cs="Arial"/>
      <w:b/>
      <w:bCs/>
      <w:color w:val="9E0B0E"/>
      <w:sz w:val="23"/>
      <w:szCs w:val="23"/>
      <w:lang w:val="en-AU" w:eastAsia="en-US" w:bidi="ar-SA"/>
    </w:rPr>
  </w:style>
  <w:style w:type="character" w:styleId="CommentReference">
    <w:name w:val="annotation reference"/>
    <w:rsid w:val="00DF33E1"/>
    <w:rPr>
      <w:rFonts w:ascii="Arial" w:hAnsi="Arial" w:cs="Arial"/>
      <w:sz w:val="16"/>
      <w:szCs w:val="16"/>
      <w:lang w:val="en-AU" w:eastAsia="en-US" w:bidi="ar-SA"/>
    </w:rPr>
  </w:style>
  <w:style w:type="paragraph" w:styleId="CommentText">
    <w:name w:val="annotation text"/>
    <w:basedOn w:val="Normal"/>
    <w:link w:val="CommentTextChar"/>
    <w:rsid w:val="00DF33E1"/>
  </w:style>
  <w:style w:type="character" w:customStyle="1" w:styleId="CommentTextChar">
    <w:name w:val="Comment Text Char"/>
    <w:basedOn w:val="DefaultParagraphFont"/>
    <w:link w:val="CommentText"/>
    <w:rsid w:val="00DF33E1"/>
    <w:rPr>
      <w:rFonts w:asciiTheme="minorHAnsi" w:hAnsiTheme="minorHAnsi"/>
      <w:sz w:val="22"/>
    </w:rPr>
  </w:style>
  <w:style w:type="paragraph" w:styleId="CommentSubject">
    <w:name w:val="annotation subject"/>
    <w:basedOn w:val="CommentText"/>
    <w:next w:val="CommentText"/>
    <w:link w:val="CommentSubjectChar"/>
    <w:rsid w:val="00DF33E1"/>
    <w:rPr>
      <w:b/>
      <w:bCs/>
    </w:rPr>
  </w:style>
  <w:style w:type="character" w:customStyle="1" w:styleId="CommentSubjectChar">
    <w:name w:val="Comment Subject Char"/>
    <w:basedOn w:val="CommentTextChar"/>
    <w:link w:val="CommentSubject"/>
    <w:rsid w:val="00DF33E1"/>
    <w:rPr>
      <w:rFonts w:asciiTheme="minorHAnsi" w:hAnsiTheme="minorHAnsi"/>
      <w:b/>
      <w:bCs/>
      <w:sz w:val="22"/>
    </w:rPr>
  </w:style>
  <w:style w:type="paragraph" w:styleId="BodyText2">
    <w:name w:val="Body Text 2"/>
    <w:basedOn w:val="Normal"/>
    <w:link w:val="BodyText2Char"/>
    <w:rsid w:val="00DF33E1"/>
    <w:pPr>
      <w:spacing w:line="480" w:lineRule="auto"/>
    </w:pPr>
    <w:rPr>
      <w:szCs w:val="24"/>
    </w:rPr>
  </w:style>
  <w:style w:type="character" w:customStyle="1" w:styleId="BodyText2Char">
    <w:name w:val="Body Text 2 Char"/>
    <w:basedOn w:val="DefaultParagraphFont"/>
    <w:link w:val="BodyText2"/>
    <w:rsid w:val="00DF33E1"/>
    <w:rPr>
      <w:rFonts w:asciiTheme="minorHAnsi" w:hAnsiTheme="minorHAnsi"/>
      <w:sz w:val="22"/>
      <w:szCs w:val="24"/>
    </w:rPr>
  </w:style>
  <w:style w:type="paragraph" w:customStyle="1" w:styleId="DefaultParagraphFontPara">
    <w:name w:val="Default Paragraph Font Para"/>
    <w:basedOn w:val="Normal"/>
    <w:rsid w:val="00DF33E1"/>
    <w:pPr>
      <w:spacing w:after="60"/>
    </w:pPr>
    <w:rPr>
      <w:rFonts w:cs="Arial"/>
      <w:szCs w:val="22"/>
      <w:lang w:eastAsia="en-US"/>
    </w:rPr>
  </w:style>
  <w:style w:type="paragraph" w:styleId="Title">
    <w:name w:val="Title"/>
    <w:basedOn w:val="Normal"/>
    <w:link w:val="TitleChar"/>
    <w:qFormat/>
    <w:rsid w:val="00DF33E1"/>
    <w:pPr>
      <w:jc w:val="center"/>
    </w:pPr>
    <w:rPr>
      <w:b/>
      <w:lang w:eastAsia="en-US"/>
    </w:rPr>
  </w:style>
  <w:style w:type="character" w:customStyle="1" w:styleId="TitleChar">
    <w:name w:val="Title Char"/>
    <w:basedOn w:val="DefaultParagraphFont"/>
    <w:link w:val="Title"/>
    <w:rsid w:val="00DF33E1"/>
    <w:rPr>
      <w:rFonts w:asciiTheme="minorHAnsi" w:hAnsiTheme="minorHAnsi"/>
      <w:b/>
      <w:sz w:val="22"/>
      <w:lang w:eastAsia="en-US"/>
    </w:rPr>
  </w:style>
  <w:style w:type="paragraph" w:customStyle="1" w:styleId="Default">
    <w:name w:val="Default"/>
    <w:rsid w:val="00DF33E1"/>
    <w:pPr>
      <w:autoSpaceDE w:val="0"/>
      <w:autoSpaceDN w:val="0"/>
      <w:adjustRightInd w:val="0"/>
    </w:pPr>
    <w:rPr>
      <w:rFonts w:ascii="Arial" w:hAnsi="Arial" w:cs="Arial"/>
      <w:color w:val="000000"/>
      <w:sz w:val="24"/>
      <w:szCs w:val="24"/>
      <w:lang w:val="en-US" w:eastAsia="en-US"/>
    </w:rPr>
  </w:style>
  <w:style w:type="paragraph" w:styleId="ListBullet">
    <w:name w:val="List Bullet"/>
    <w:basedOn w:val="Normal"/>
    <w:rsid w:val="00DF33E1"/>
    <w:pPr>
      <w:tabs>
        <w:tab w:val="num" w:pos="720"/>
      </w:tabs>
      <w:spacing w:after="60"/>
      <w:ind w:left="720" w:right="28" w:hanging="360"/>
    </w:pPr>
    <w:rPr>
      <w:rFonts w:cs="Arial"/>
      <w:szCs w:val="22"/>
    </w:rPr>
  </w:style>
  <w:style w:type="paragraph" w:styleId="ListBullet2">
    <w:name w:val="List Bullet 2"/>
    <w:basedOn w:val="Normal"/>
    <w:rsid w:val="00DF33E1"/>
    <w:pPr>
      <w:tabs>
        <w:tab w:val="left" w:pos="993"/>
        <w:tab w:val="num" w:pos="1800"/>
      </w:tabs>
      <w:spacing w:after="60"/>
      <w:ind w:left="1800" w:right="28" w:hanging="360"/>
    </w:pPr>
    <w:rPr>
      <w:rFonts w:cs="Arial"/>
      <w:szCs w:val="22"/>
    </w:rPr>
  </w:style>
  <w:style w:type="paragraph" w:styleId="ListBullet3">
    <w:name w:val="List Bullet 3"/>
    <w:basedOn w:val="Normal"/>
    <w:rsid w:val="00DF33E1"/>
    <w:pPr>
      <w:tabs>
        <w:tab w:val="left" w:pos="993"/>
        <w:tab w:val="num" w:pos="2040"/>
      </w:tabs>
      <w:spacing w:after="60"/>
      <w:ind w:left="2040" w:right="28" w:hanging="360"/>
    </w:pPr>
    <w:rPr>
      <w:rFonts w:cs="Arial"/>
      <w:szCs w:val="22"/>
    </w:rPr>
  </w:style>
  <w:style w:type="paragraph" w:styleId="ListContinue2">
    <w:name w:val="List Continue 2"/>
    <w:basedOn w:val="Normal"/>
    <w:rsid w:val="00DF33E1"/>
    <w:pPr>
      <w:ind w:left="566"/>
    </w:pPr>
  </w:style>
  <w:style w:type="paragraph" w:styleId="ListBullet4">
    <w:name w:val="List Bullet 4"/>
    <w:basedOn w:val="BodyText"/>
    <w:rsid w:val="00DF33E1"/>
    <w:pPr>
      <w:numPr>
        <w:numId w:val="1"/>
      </w:numPr>
    </w:pPr>
    <w:rPr>
      <w:color w:val="000000"/>
      <w:sz w:val="18"/>
      <w:szCs w:val="18"/>
    </w:rPr>
  </w:style>
  <w:style w:type="paragraph" w:styleId="ListParagraph">
    <w:name w:val="List Paragraph"/>
    <w:basedOn w:val="Normal"/>
    <w:uiPriority w:val="34"/>
    <w:qFormat/>
    <w:rsid w:val="00DF33E1"/>
    <w:pPr>
      <w:ind w:left="720"/>
      <w:contextualSpacing/>
    </w:pPr>
  </w:style>
  <w:style w:type="paragraph" w:styleId="Revision">
    <w:name w:val="Revision"/>
    <w:hidden/>
    <w:uiPriority w:val="99"/>
    <w:semiHidden/>
    <w:rsid w:val="00DF33E1"/>
    <w:rPr>
      <w:rFonts w:asciiTheme="minorHAnsi" w:hAnsiTheme="minorHAnsi"/>
      <w:sz w:val="22"/>
    </w:rPr>
  </w:style>
  <w:style w:type="character" w:customStyle="1" w:styleId="apple-converted-space">
    <w:name w:val="apple-converted-space"/>
    <w:rsid w:val="00DF33E1"/>
  </w:style>
  <w:style w:type="character" w:styleId="Hyperlink">
    <w:name w:val="Hyperlink"/>
    <w:basedOn w:val="DefaultParagraphFont"/>
    <w:qFormat/>
    <w:rsid w:val="00EC7AEA"/>
    <w:rPr>
      <w:color w:val="0000FF" w:themeColor="hyperlink"/>
      <w:u w:val="single"/>
    </w:rPr>
  </w:style>
  <w:style w:type="character" w:styleId="FootnoteReference">
    <w:name w:val="footnote reference"/>
    <w:basedOn w:val="DefaultParagraphFont"/>
    <w:uiPriority w:val="99"/>
    <w:rsid w:val="00C90F8A"/>
    <w:rPr>
      <w:vertAlign w:val="superscript"/>
    </w:rPr>
  </w:style>
  <w:style w:type="paragraph" w:styleId="Header">
    <w:name w:val="header"/>
    <w:basedOn w:val="Normal"/>
    <w:link w:val="HeaderChar"/>
    <w:rsid w:val="00494B02"/>
    <w:pPr>
      <w:tabs>
        <w:tab w:val="center" w:pos="4513"/>
        <w:tab w:val="right" w:pos="9026"/>
      </w:tabs>
    </w:pPr>
  </w:style>
  <w:style w:type="character" w:customStyle="1" w:styleId="HeaderChar">
    <w:name w:val="Header Char"/>
    <w:basedOn w:val="DefaultParagraphFont"/>
    <w:link w:val="Header"/>
    <w:rsid w:val="00494B02"/>
    <w:rPr>
      <w:rFonts w:asciiTheme="minorHAnsi" w:hAnsiTheme="minorHAnsi"/>
      <w:sz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AU" w:eastAsia="en-AU"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lsdException w:name="heading 8" w:semiHidden="1" w:unhideWhenUsed="1" w:qFormat="1"/>
    <w:lsdException w:name="heading 9" w:semiHidden="1" w:unhideWhenUsed="1" w:qFormat="1"/>
    <w:lsdException w:name="footnote text" w:uiPriority="99"/>
    <w:lsdException w:name="caption" w:semiHidden="1" w:unhideWhenUsed="1" w:qFormat="1"/>
    <w:lsdException w:name="footnote reference" w:uiPriority="99"/>
    <w:lsdException w:name="Title" w:qFormat="1"/>
    <w:lsdException w:name="Subtitle" w:qFormat="1"/>
    <w:lsdException w:name="Salutation" w:qFormat="1"/>
    <w:lsdException w:name="Hyperlink" w:qFormat="1"/>
    <w:lsdException w:name="Strong" w:uiPriority="22" w:qFormat="1"/>
    <w:lsdException w:name="Emphasis" w:qFormat="1"/>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8E3476"/>
    <w:pPr>
      <w:spacing w:after="120"/>
    </w:pPr>
    <w:rPr>
      <w:rFonts w:asciiTheme="minorHAnsi" w:hAnsiTheme="minorHAnsi"/>
      <w:sz w:val="22"/>
    </w:rPr>
  </w:style>
  <w:style w:type="paragraph" w:styleId="Heading1">
    <w:name w:val="heading 1"/>
    <w:basedOn w:val="Normal"/>
    <w:next w:val="Normal"/>
    <w:link w:val="Heading1Char"/>
    <w:qFormat/>
    <w:rsid w:val="00030C59"/>
    <w:pPr>
      <w:keepNext/>
      <w:shd w:val="clear" w:color="auto" w:fill="4F81BD" w:themeFill="accent1"/>
      <w:autoSpaceDE w:val="0"/>
      <w:autoSpaceDN w:val="0"/>
      <w:adjustRightInd w:val="0"/>
      <w:spacing w:before="120" w:after="0"/>
      <w:jc w:val="center"/>
      <w:outlineLvl w:val="0"/>
    </w:pPr>
    <w:rPr>
      <w:rFonts w:cs="Arial"/>
      <w:b/>
      <w:color w:val="FFFFFF" w:themeColor="background1"/>
      <w:sz w:val="28"/>
      <w:szCs w:val="28"/>
      <w:lang w:eastAsia="en-US"/>
    </w:rPr>
  </w:style>
  <w:style w:type="paragraph" w:styleId="Heading2">
    <w:name w:val="heading 2"/>
    <w:basedOn w:val="Heading1"/>
    <w:next w:val="Normal"/>
    <w:link w:val="Heading2Char"/>
    <w:qFormat/>
    <w:rsid w:val="00030C59"/>
    <w:pPr>
      <w:shd w:val="clear" w:color="auto" w:fill="95B3D7" w:themeFill="accent1" w:themeFillTint="99"/>
      <w:jc w:val="left"/>
      <w:outlineLvl w:val="1"/>
    </w:pPr>
    <w:rPr>
      <w:color w:val="auto"/>
    </w:rPr>
  </w:style>
  <w:style w:type="paragraph" w:styleId="Heading3">
    <w:name w:val="heading 3"/>
    <w:basedOn w:val="Heading2"/>
    <w:next w:val="Normal"/>
    <w:link w:val="Heading3Char"/>
    <w:qFormat/>
    <w:rsid w:val="00030C59"/>
    <w:pPr>
      <w:shd w:val="clear" w:color="auto" w:fill="DBE5F1" w:themeFill="accent1" w:themeFillTint="33"/>
      <w:outlineLvl w:val="2"/>
    </w:pPr>
  </w:style>
  <w:style w:type="paragraph" w:styleId="Heading4">
    <w:name w:val="heading 4"/>
    <w:basedOn w:val="Normal"/>
    <w:next w:val="Normal"/>
    <w:link w:val="Heading4Char"/>
    <w:qFormat/>
    <w:rsid w:val="00CB5B1A"/>
    <w:pPr>
      <w:keepNext/>
      <w:spacing w:before="240" w:after="60"/>
      <w:outlineLvl w:val="3"/>
    </w:pPr>
    <w:rPr>
      <w:b/>
      <w:bCs/>
      <w:i/>
      <w:sz w:val="26"/>
      <w:szCs w:val="28"/>
    </w:rPr>
  </w:style>
  <w:style w:type="paragraph" w:styleId="Heading5">
    <w:name w:val="heading 5"/>
    <w:basedOn w:val="Normal"/>
    <w:next w:val="Normal"/>
    <w:link w:val="Heading5Char"/>
    <w:qFormat/>
    <w:rsid w:val="00CB5B1A"/>
    <w:pPr>
      <w:spacing w:before="240" w:after="60"/>
      <w:outlineLvl w:val="4"/>
    </w:pPr>
    <w:rPr>
      <w:b/>
      <w:bCs/>
      <w:iCs/>
      <w:sz w:val="26"/>
      <w:szCs w:val="26"/>
    </w:rPr>
  </w:style>
  <w:style w:type="paragraph" w:styleId="Heading6">
    <w:name w:val="heading 6"/>
    <w:basedOn w:val="Normal"/>
    <w:next w:val="Normal"/>
    <w:link w:val="Heading6Char"/>
    <w:qFormat/>
    <w:rsid w:val="00CB5B1A"/>
    <w:pPr>
      <w:spacing w:before="240" w:after="60"/>
      <w:outlineLvl w:val="5"/>
    </w:pPr>
    <w:rPr>
      <w:b/>
      <w:bCs/>
      <w:i/>
      <w:szCs w:val="22"/>
    </w:rPr>
  </w:style>
  <w:style w:type="paragraph" w:styleId="Heading7">
    <w:name w:val="heading 7"/>
    <w:basedOn w:val="Normal"/>
    <w:next w:val="Normal"/>
    <w:link w:val="Heading7Char1"/>
    <w:autoRedefine/>
    <w:rsid w:val="00DF33E1"/>
    <w:pPr>
      <w:ind w:left="709" w:hanging="709"/>
      <w:jc w:val="right"/>
      <w:outlineLvl w:val="6"/>
    </w:pPr>
    <w:rPr>
      <w:rFonts w:cs="Arial"/>
      <w:sz w:val="16"/>
      <w:szCs w:val="16"/>
    </w:rPr>
  </w:style>
  <w:style w:type="paragraph" w:styleId="Heading8">
    <w:name w:val="heading 8"/>
    <w:basedOn w:val="BodyText"/>
    <w:next w:val="Normal"/>
    <w:link w:val="Heading8Char"/>
    <w:autoRedefine/>
    <w:qFormat/>
    <w:rsid w:val="00DF33E1"/>
    <w:pPr>
      <w:keepNext/>
      <w:numPr>
        <w:numId w:val="2"/>
      </w:numPr>
      <w:ind w:left="284" w:hanging="284"/>
      <w:outlineLvl w:val="7"/>
    </w:pPr>
    <w:rPr>
      <w:b/>
      <w:sz w:val="20"/>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7Char">
    <w:name w:val="Heading 7 Char"/>
    <w:aliases w:val="Footnote Char"/>
    <w:basedOn w:val="DefaultParagraphFont"/>
    <w:semiHidden/>
    <w:rsid w:val="00DF33E1"/>
    <w:rPr>
      <w:rFonts w:asciiTheme="majorHAnsi" w:eastAsiaTheme="majorEastAsia" w:hAnsiTheme="majorHAnsi" w:cstheme="majorBidi"/>
      <w:i/>
      <w:iCs/>
      <w:color w:val="404040" w:themeColor="text1" w:themeTint="BF"/>
      <w:sz w:val="22"/>
    </w:rPr>
  </w:style>
  <w:style w:type="character" w:customStyle="1" w:styleId="Heading8Char">
    <w:name w:val="Heading 8 Char"/>
    <w:basedOn w:val="DefaultParagraphFont"/>
    <w:link w:val="Heading8"/>
    <w:rsid w:val="00DF33E1"/>
    <w:rPr>
      <w:rFonts w:asciiTheme="minorHAnsi" w:hAnsiTheme="minorHAnsi" w:cs="Arial"/>
      <w:b/>
      <w:szCs w:val="24"/>
      <w:lang w:eastAsia="en-US"/>
    </w:rPr>
  </w:style>
  <w:style w:type="character" w:customStyle="1" w:styleId="Heading1Char">
    <w:name w:val="Heading 1 Char"/>
    <w:link w:val="Heading1"/>
    <w:locked/>
    <w:rsid w:val="00030C59"/>
    <w:rPr>
      <w:rFonts w:asciiTheme="minorHAnsi" w:hAnsiTheme="minorHAnsi" w:cs="Arial"/>
      <w:b/>
      <w:color w:val="FFFFFF" w:themeColor="background1"/>
      <w:sz w:val="28"/>
      <w:szCs w:val="28"/>
      <w:shd w:val="clear" w:color="auto" w:fill="4F81BD" w:themeFill="accent1"/>
      <w:lang w:eastAsia="en-US"/>
    </w:rPr>
  </w:style>
  <w:style w:type="paragraph" w:styleId="BodyText">
    <w:name w:val="Body Text"/>
    <w:basedOn w:val="Normal"/>
    <w:link w:val="BodyTextChar"/>
    <w:rsid w:val="00DF33E1"/>
    <w:pPr>
      <w:autoSpaceDE w:val="0"/>
      <w:autoSpaceDN w:val="0"/>
      <w:adjustRightInd w:val="0"/>
    </w:pPr>
    <w:rPr>
      <w:rFonts w:cs="Arial"/>
      <w:szCs w:val="22"/>
      <w:lang w:eastAsia="en-US"/>
    </w:rPr>
  </w:style>
  <w:style w:type="character" w:customStyle="1" w:styleId="BodyTextChar">
    <w:name w:val="Body Text Char"/>
    <w:basedOn w:val="DefaultParagraphFont"/>
    <w:link w:val="BodyText"/>
    <w:rsid w:val="00DF33E1"/>
    <w:rPr>
      <w:rFonts w:asciiTheme="minorHAnsi" w:hAnsiTheme="minorHAnsi" w:cs="Arial"/>
      <w:sz w:val="22"/>
      <w:szCs w:val="22"/>
      <w:lang w:eastAsia="en-US"/>
    </w:rPr>
  </w:style>
  <w:style w:type="character" w:customStyle="1" w:styleId="Heading2Char">
    <w:name w:val="Heading 2 Char"/>
    <w:link w:val="Heading2"/>
    <w:locked/>
    <w:rsid w:val="00030C59"/>
    <w:rPr>
      <w:rFonts w:asciiTheme="minorHAnsi" w:hAnsiTheme="minorHAnsi" w:cs="Arial"/>
      <w:b/>
      <w:sz w:val="28"/>
      <w:szCs w:val="28"/>
      <w:shd w:val="clear" w:color="auto" w:fill="95B3D7" w:themeFill="accent1" w:themeFillTint="99"/>
      <w:lang w:eastAsia="en-US"/>
    </w:rPr>
  </w:style>
  <w:style w:type="character" w:customStyle="1" w:styleId="Heading3Char">
    <w:name w:val="Heading 3 Char"/>
    <w:link w:val="Heading3"/>
    <w:locked/>
    <w:rsid w:val="00030C59"/>
    <w:rPr>
      <w:rFonts w:asciiTheme="minorHAnsi" w:hAnsiTheme="minorHAnsi" w:cs="Arial"/>
      <w:b/>
      <w:sz w:val="28"/>
      <w:szCs w:val="28"/>
      <w:shd w:val="clear" w:color="auto" w:fill="DBE5F1" w:themeFill="accent1" w:themeFillTint="33"/>
      <w:lang w:eastAsia="en-US"/>
    </w:rPr>
  </w:style>
  <w:style w:type="character" w:customStyle="1" w:styleId="Heading4Char">
    <w:name w:val="Heading 4 Char"/>
    <w:link w:val="Heading4"/>
    <w:locked/>
    <w:rsid w:val="00DF33E1"/>
    <w:rPr>
      <w:b/>
      <w:bCs/>
      <w:i/>
      <w:sz w:val="26"/>
      <w:szCs w:val="28"/>
      <w:lang w:eastAsia="en-US"/>
    </w:rPr>
  </w:style>
  <w:style w:type="character" w:customStyle="1" w:styleId="Heading5Char">
    <w:name w:val="Heading 5 Char"/>
    <w:link w:val="Heading5"/>
    <w:locked/>
    <w:rsid w:val="00DF33E1"/>
    <w:rPr>
      <w:b/>
      <w:bCs/>
      <w:iCs/>
      <w:sz w:val="26"/>
      <w:szCs w:val="26"/>
      <w:lang w:eastAsia="en-US"/>
    </w:rPr>
  </w:style>
  <w:style w:type="character" w:customStyle="1" w:styleId="Heading6Char">
    <w:name w:val="Heading 6 Char"/>
    <w:link w:val="Heading6"/>
    <w:locked/>
    <w:rsid w:val="00DF33E1"/>
    <w:rPr>
      <w:b/>
      <w:bCs/>
      <w:i/>
      <w:sz w:val="22"/>
      <w:szCs w:val="22"/>
      <w:lang w:eastAsia="en-US"/>
    </w:rPr>
  </w:style>
  <w:style w:type="character" w:customStyle="1" w:styleId="Heading7Char1">
    <w:name w:val="Heading 7 Char1"/>
    <w:link w:val="Heading7"/>
    <w:locked/>
    <w:rsid w:val="00DF33E1"/>
    <w:rPr>
      <w:rFonts w:asciiTheme="minorHAnsi" w:hAnsiTheme="minorHAnsi" w:cs="Arial"/>
      <w:sz w:val="16"/>
      <w:szCs w:val="16"/>
    </w:rPr>
  </w:style>
  <w:style w:type="paragraph" w:styleId="BalloonText">
    <w:name w:val="Balloon Text"/>
    <w:basedOn w:val="Normal"/>
    <w:link w:val="BalloonTextChar"/>
    <w:rsid w:val="00DF33E1"/>
    <w:rPr>
      <w:rFonts w:ascii="Tahoma" w:hAnsi="Tahoma" w:cs="Tahoma"/>
      <w:sz w:val="16"/>
      <w:szCs w:val="16"/>
    </w:rPr>
  </w:style>
  <w:style w:type="character" w:customStyle="1" w:styleId="BalloonTextChar">
    <w:name w:val="Balloon Text Char"/>
    <w:basedOn w:val="DefaultParagraphFont"/>
    <w:link w:val="BalloonText"/>
    <w:rsid w:val="00DF33E1"/>
    <w:rPr>
      <w:rFonts w:ascii="Tahoma" w:hAnsi="Tahoma" w:cs="Tahoma"/>
      <w:sz w:val="16"/>
      <w:szCs w:val="16"/>
    </w:rPr>
  </w:style>
  <w:style w:type="paragraph" w:styleId="TOC2">
    <w:name w:val="toc 2"/>
    <w:basedOn w:val="Normal"/>
    <w:next w:val="Normal"/>
    <w:autoRedefine/>
    <w:rsid w:val="00DF33E1"/>
    <w:pPr>
      <w:ind w:left="240"/>
    </w:pPr>
    <w:rPr>
      <w:rFonts w:ascii="Calibri" w:hAnsi="Calibri"/>
      <w:b/>
    </w:rPr>
  </w:style>
  <w:style w:type="paragraph" w:styleId="TOC3">
    <w:name w:val="toc 3"/>
    <w:basedOn w:val="Normal"/>
    <w:next w:val="Normal"/>
    <w:autoRedefine/>
    <w:rsid w:val="00DF33E1"/>
    <w:pPr>
      <w:ind w:left="480"/>
    </w:pPr>
    <w:rPr>
      <w:rFonts w:ascii="Calibri" w:hAnsi="Calibri"/>
    </w:rPr>
  </w:style>
  <w:style w:type="paragraph" w:styleId="Footer">
    <w:name w:val="footer"/>
    <w:basedOn w:val="Normal"/>
    <w:link w:val="FooterChar"/>
    <w:rsid w:val="00DF33E1"/>
    <w:pPr>
      <w:tabs>
        <w:tab w:val="center" w:pos="4153"/>
        <w:tab w:val="right" w:pos="8306"/>
      </w:tabs>
    </w:pPr>
  </w:style>
  <w:style w:type="character" w:customStyle="1" w:styleId="FooterChar">
    <w:name w:val="Footer Char"/>
    <w:basedOn w:val="DefaultParagraphFont"/>
    <w:link w:val="Footer"/>
    <w:rsid w:val="00DF33E1"/>
    <w:rPr>
      <w:rFonts w:asciiTheme="minorHAnsi" w:hAnsiTheme="minorHAnsi"/>
      <w:sz w:val="22"/>
    </w:rPr>
  </w:style>
  <w:style w:type="table" w:styleId="TableGrid">
    <w:name w:val="Table Grid"/>
    <w:basedOn w:val="TableNormal"/>
    <w:rsid w:val="00DF33E1"/>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qFormat/>
    <w:rsid w:val="007B32A9"/>
    <w:pPr>
      <w:keepNext/>
      <w:spacing w:before="120"/>
    </w:pPr>
    <w:rPr>
      <w:b/>
      <w:bCs/>
      <w:sz w:val="20"/>
    </w:rPr>
  </w:style>
  <w:style w:type="paragraph" w:styleId="EndnoteText">
    <w:name w:val="endnote text"/>
    <w:basedOn w:val="Normal"/>
    <w:link w:val="EndnoteTextChar"/>
    <w:rsid w:val="00DF33E1"/>
    <w:pPr>
      <w:tabs>
        <w:tab w:val="left" w:pos="340"/>
      </w:tabs>
      <w:ind w:left="340" w:hanging="340"/>
    </w:pPr>
  </w:style>
  <w:style w:type="character" w:customStyle="1" w:styleId="EndnoteTextChar">
    <w:name w:val="Endnote Text Char"/>
    <w:basedOn w:val="DefaultParagraphFont"/>
    <w:link w:val="EndnoteText"/>
    <w:rsid w:val="00DF33E1"/>
    <w:rPr>
      <w:rFonts w:asciiTheme="minorHAnsi" w:hAnsiTheme="minorHAnsi"/>
      <w:sz w:val="22"/>
    </w:rPr>
  </w:style>
  <w:style w:type="character" w:styleId="EndnoteReference">
    <w:name w:val="endnote reference"/>
    <w:rsid w:val="00DF33E1"/>
    <w:rPr>
      <w:rFonts w:ascii="Arial" w:hAnsi="Arial" w:cs="Arial"/>
      <w:sz w:val="22"/>
      <w:szCs w:val="22"/>
      <w:vertAlign w:val="baseline"/>
      <w:lang w:val="en-AU" w:eastAsia="en-US" w:bidi="ar-SA"/>
    </w:rPr>
  </w:style>
  <w:style w:type="paragraph" w:styleId="FootnoteText">
    <w:name w:val="footnote text"/>
    <w:basedOn w:val="Normal"/>
    <w:link w:val="FootnoteTextChar"/>
    <w:uiPriority w:val="99"/>
    <w:rsid w:val="006E1FD9"/>
    <w:pPr>
      <w:jc w:val="right"/>
    </w:pPr>
    <w:rPr>
      <w:sz w:val="20"/>
    </w:rPr>
  </w:style>
  <w:style w:type="character" w:customStyle="1" w:styleId="FootnoteTextChar">
    <w:name w:val="Footnote Text Char"/>
    <w:basedOn w:val="DefaultParagraphFont"/>
    <w:link w:val="FootnoteText"/>
    <w:uiPriority w:val="99"/>
    <w:rsid w:val="006E1FD9"/>
    <w:rPr>
      <w:rFonts w:asciiTheme="minorHAnsi" w:hAnsiTheme="minorHAnsi"/>
    </w:rPr>
  </w:style>
  <w:style w:type="character" w:styleId="FollowedHyperlink">
    <w:name w:val="FollowedHyperlink"/>
    <w:rsid w:val="00DF33E1"/>
    <w:rPr>
      <w:rFonts w:ascii="Arial" w:hAnsi="Arial" w:cs="Arial"/>
      <w:color w:val="008080"/>
      <w:sz w:val="22"/>
      <w:szCs w:val="22"/>
      <w:u w:val="single"/>
      <w:lang w:val="en-AU" w:eastAsia="en-US" w:bidi="ar-SA"/>
    </w:rPr>
  </w:style>
  <w:style w:type="paragraph" w:styleId="TOC4">
    <w:name w:val="toc 4"/>
    <w:basedOn w:val="Normal"/>
    <w:next w:val="Normal"/>
    <w:autoRedefine/>
    <w:rsid w:val="00DF33E1"/>
    <w:pPr>
      <w:ind w:left="720"/>
    </w:pPr>
    <w:rPr>
      <w:rFonts w:ascii="Calibri" w:hAnsi="Calibri"/>
    </w:rPr>
  </w:style>
  <w:style w:type="paragraph" w:customStyle="1" w:styleId="aligncenter1">
    <w:name w:val="aligncenter1"/>
    <w:basedOn w:val="Normal"/>
    <w:rsid w:val="00DF33E1"/>
    <w:pPr>
      <w:spacing w:after="81"/>
      <w:jc w:val="center"/>
    </w:pPr>
    <w:rPr>
      <w:rFonts w:ascii="Verdana" w:hAnsi="Verdana"/>
      <w:color w:val="464646"/>
      <w:szCs w:val="24"/>
      <w:lang w:val="en-US" w:eastAsia="en-US"/>
    </w:rPr>
  </w:style>
  <w:style w:type="character" w:customStyle="1" w:styleId="titre1">
    <w:name w:val="titre1"/>
    <w:rsid w:val="00DF33E1"/>
    <w:rPr>
      <w:rFonts w:ascii="Arial" w:hAnsi="Arial" w:cs="Arial"/>
      <w:b/>
      <w:bCs/>
      <w:color w:val="9E0B0E"/>
      <w:sz w:val="23"/>
      <w:szCs w:val="23"/>
      <w:lang w:val="en-AU" w:eastAsia="en-US" w:bidi="ar-SA"/>
    </w:rPr>
  </w:style>
  <w:style w:type="character" w:styleId="CommentReference">
    <w:name w:val="annotation reference"/>
    <w:rsid w:val="00DF33E1"/>
    <w:rPr>
      <w:rFonts w:ascii="Arial" w:hAnsi="Arial" w:cs="Arial"/>
      <w:sz w:val="16"/>
      <w:szCs w:val="16"/>
      <w:lang w:val="en-AU" w:eastAsia="en-US" w:bidi="ar-SA"/>
    </w:rPr>
  </w:style>
  <w:style w:type="paragraph" w:styleId="CommentText">
    <w:name w:val="annotation text"/>
    <w:basedOn w:val="Normal"/>
    <w:link w:val="CommentTextChar"/>
    <w:rsid w:val="00DF33E1"/>
  </w:style>
  <w:style w:type="character" w:customStyle="1" w:styleId="CommentTextChar">
    <w:name w:val="Comment Text Char"/>
    <w:basedOn w:val="DefaultParagraphFont"/>
    <w:link w:val="CommentText"/>
    <w:rsid w:val="00DF33E1"/>
    <w:rPr>
      <w:rFonts w:asciiTheme="minorHAnsi" w:hAnsiTheme="minorHAnsi"/>
      <w:sz w:val="22"/>
    </w:rPr>
  </w:style>
  <w:style w:type="paragraph" w:styleId="CommentSubject">
    <w:name w:val="annotation subject"/>
    <w:basedOn w:val="CommentText"/>
    <w:next w:val="CommentText"/>
    <w:link w:val="CommentSubjectChar"/>
    <w:rsid w:val="00DF33E1"/>
    <w:rPr>
      <w:b/>
      <w:bCs/>
    </w:rPr>
  </w:style>
  <w:style w:type="character" w:customStyle="1" w:styleId="CommentSubjectChar">
    <w:name w:val="Comment Subject Char"/>
    <w:basedOn w:val="CommentTextChar"/>
    <w:link w:val="CommentSubject"/>
    <w:rsid w:val="00DF33E1"/>
    <w:rPr>
      <w:rFonts w:asciiTheme="minorHAnsi" w:hAnsiTheme="minorHAnsi"/>
      <w:b/>
      <w:bCs/>
      <w:sz w:val="22"/>
    </w:rPr>
  </w:style>
  <w:style w:type="paragraph" w:styleId="BodyText2">
    <w:name w:val="Body Text 2"/>
    <w:basedOn w:val="Normal"/>
    <w:link w:val="BodyText2Char"/>
    <w:rsid w:val="00DF33E1"/>
    <w:pPr>
      <w:spacing w:line="480" w:lineRule="auto"/>
    </w:pPr>
    <w:rPr>
      <w:szCs w:val="24"/>
    </w:rPr>
  </w:style>
  <w:style w:type="character" w:customStyle="1" w:styleId="BodyText2Char">
    <w:name w:val="Body Text 2 Char"/>
    <w:basedOn w:val="DefaultParagraphFont"/>
    <w:link w:val="BodyText2"/>
    <w:rsid w:val="00DF33E1"/>
    <w:rPr>
      <w:rFonts w:asciiTheme="minorHAnsi" w:hAnsiTheme="minorHAnsi"/>
      <w:sz w:val="22"/>
      <w:szCs w:val="24"/>
    </w:rPr>
  </w:style>
  <w:style w:type="paragraph" w:customStyle="1" w:styleId="DefaultParagraphFontPara">
    <w:name w:val="Default Paragraph Font Para"/>
    <w:basedOn w:val="Normal"/>
    <w:rsid w:val="00DF33E1"/>
    <w:pPr>
      <w:spacing w:after="60"/>
    </w:pPr>
    <w:rPr>
      <w:rFonts w:cs="Arial"/>
      <w:szCs w:val="22"/>
      <w:lang w:eastAsia="en-US"/>
    </w:rPr>
  </w:style>
  <w:style w:type="paragraph" w:styleId="Title">
    <w:name w:val="Title"/>
    <w:basedOn w:val="Normal"/>
    <w:link w:val="TitleChar"/>
    <w:qFormat/>
    <w:rsid w:val="00DF33E1"/>
    <w:pPr>
      <w:jc w:val="center"/>
    </w:pPr>
    <w:rPr>
      <w:b/>
      <w:lang w:eastAsia="en-US"/>
    </w:rPr>
  </w:style>
  <w:style w:type="character" w:customStyle="1" w:styleId="TitleChar">
    <w:name w:val="Title Char"/>
    <w:basedOn w:val="DefaultParagraphFont"/>
    <w:link w:val="Title"/>
    <w:rsid w:val="00DF33E1"/>
    <w:rPr>
      <w:rFonts w:asciiTheme="minorHAnsi" w:hAnsiTheme="minorHAnsi"/>
      <w:b/>
      <w:sz w:val="22"/>
      <w:lang w:eastAsia="en-US"/>
    </w:rPr>
  </w:style>
  <w:style w:type="paragraph" w:customStyle="1" w:styleId="Default">
    <w:name w:val="Default"/>
    <w:rsid w:val="00DF33E1"/>
    <w:pPr>
      <w:autoSpaceDE w:val="0"/>
      <w:autoSpaceDN w:val="0"/>
      <w:adjustRightInd w:val="0"/>
    </w:pPr>
    <w:rPr>
      <w:rFonts w:ascii="Arial" w:hAnsi="Arial" w:cs="Arial"/>
      <w:color w:val="000000"/>
      <w:sz w:val="24"/>
      <w:szCs w:val="24"/>
      <w:lang w:val="en-US" w:eastAsia="en-US"/>
    </w:rPr>
  </w:style>
  <w:style w:type="paragraph" w:styleId="ListBullet">
    <w:name w:val="List Bullet"/>
    <w:basedOn w:val="Normal"/>
    <w:rsid w:val="00DF33E1"/>
    <w:pPr>
      <w:tabs>
        <w:tab w:val="num" w:pos="720"/>
      </w:tabs>
      <w:spacing w:after="60"/>
      <w:ind w:left="720" w:right="28" w:hanging="360"/>
    </w:pPr>
    <w:rPr>
      <w:rFonts w:cs="Arial"/>
      <w:szCs w:val="22"/>
    </w:rPr>
  </w:style>
  <w:style w:type="paragraph" w:styleId="ListBullet2">
    <w:name w:val="List Bullet 2"/>
    <w:basedOn w:val="Normal"/>
    <w:rsid w:val="00DF33E1"/>
    <w:pPr>
      <w:tabs>
        <w:tab w:val="left" w:pos="993"/>
        <w:tab w:val="num" w:pos="1800"/>
      </w:tabs>
      <w:spacing w:after="60"/>
      <w:ind w:left="1800" w:right="28" w:hanging="360"/>
    </w:pPr>
    <w:rPr>
      <w:rFonts w:cs="Arial"/>
      <w:szCs w:val="22"/>
    </w:rPr>
  </w:style>
  <w:style w:type="paragraph" w:styleId="ListBullet3">
    <w:name w:val="List Bullet 3"/>
    <w:basedOn w:val="Normal"/>
    <w:rsid w:val="00DF33E1"/>
    <w:pPr>
      <w:tabs>
        <w:tab w:val="left" w:pos="993"/>
        <w:tab w:val="num" w:pos="2040"/>
      </w:tabs>
      <w:spacing w:after="60"/>
      <w:ind w:left="2040" w:right="28" w:hanging="360"/>
    </w:pPr>
    <w:rPr>
      <w:rFonts w:cs="Arial"/>
      <w:szCs w:val="22"/>
    </w:rPr>
  </w:style>
  <w:style w:type="paragraph" w:styleId="ListContinue2">
    <w:name w:val="List Continue 2"/>
    <w:basedOn w:val="Normal"/>
    <w:rsid w:val="00DF33E1"/>
    <w:pPr>
      <w:ind w:left="566"/>
    </w:pPr>
  </w:style>
  <w:style w:type="paragraph" w:styleId="ListBullet4">
    <w:name w:val="List Bullet 4"/>
    <w:basedOn w:val="BodyText"/>
    <w:rsid w:val="00DF33E1"/>
    <w:pPr>
      <w:numPr>
        <w:numId w:val="1"/>
      </w:numPr>
    </w:pPr>
    <w:rPr>
      <w:color w:val="000000"/>
      <w:sz w:val="18"/>
      <w:szCs w:val="18"/>
    </w:rPr>
  </w:style>
  <w:style w:type="paragraph" w:styleId="ListParagraph">
    <w:name w:val="List Paragraph"/>
    <w:basedOn w:val="Normal"/>
    <w:uiPriority w:val="34"/>
    <w:qFormat/>
    <w:rsid w:val="00DF33E1"/>
    <w:pPr>
      <w:ind w:left="720"/>
      <w:contextualSpacing/>
    </w:pPr>
  </w:style>
  <w:style w:type="paragraph" w:styleId="Revision">
    <w:name w:val="Revision"/>
    <w:hidden/>
    <w:uiPriority w:val="99"/>
    <w:semiHidden/>
    <w:rsid w:val="00DF33E1"/>
    <w:rPr>
      <w:rFonts w:asciiTheme="minorHAnsi" w:hAnsiTheme="minorHAnsi"/>
      <w:sz w:val="22"/>
    </w:rPr>
  </w:style>
  <w:style w:type="character" w:customStyle="1" w:styleId="apple-converted-space">
    <w:name w:val="apple-converted-space"/>
    <w:rsid w:val="00DF33E1"/>
  </w:style>
  <w:style w:type="character" w:styleId="Hyperlink">
    <w:name w:val="Hyperlink"/>
    <w:basedOn w:val="DefaultParagraphFont"/>
    <w:qFormat/>
    <w:rsid w:val="00EC7AEA"/>
    <w:rPr>
      <w:color w:val="0000FF" w:themeColor="hyperlink"/>
      <w:u w:val="single"/>
    </w:rPr>
  </w:style>
  <w:style w:type="character" w:styleId="FootnoteReference">
    <w:name w:val="footnote reference"/>
    <w:basedOn w:val="DefaultParagraphFont"/>
    <w:uiPriority w:val="99"/>
    <w:rsid w:val="00C90F8A"/>
    <w:rPr>
      <w:vertAlign w:val="superscript"/>
    </w:rPr>
  </w:style>
  <w:style w:type="paragraph" w:styleId="Header">
    <w:name w:val="header"/>
    <w:basedOn w:val="Normal"/>
    <w:link w:val="HeaderChar"/>
    <w:rsid w:val="00494B02"/>
    <w:pPr>
      <w:tabs>
        <w:tab w:val="center" w:pos="4513"/>
        <w:tab w:val="right" w:pos="9026"/>
      </w:tabs>
    </w:pPr>
  </w:style>
  <w:style w:type="character" w:customStyle="1" w:styleId="HeaderChar">
    <w:name w:val="Header Char"/>
    <w:basedOn w:val="DefaultParagraphFont"/>
    <w:link w:val="Header"/>
    <w:rsid w:val="00494B02"/>
    <w:rPr>
      <w:rFonts w:asciiTheme="minorHAnsi" w:hAnsiTheme="minorHAnsi"/>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2379767">
      <w:bodyDiv w:val="1"/>
      <w:marLeft w:val="0"/>
      <w:marRight w:val="0"/>
      <w:marTop w:val="0"/>
      <w:marBottom w:val="0"/>
      <w:divBdr>
        <w:top w:val="none" w:sz="0" w:space="0" w:color="auto"/>
        <w:left w:val="none" w:sz="0" w:space="0" w:color="auto"/>
        <w:bottom w:val="none" w:sz="0" w:space="0" w:color="auto"/>
        <w:right w:val="none" w:sz="0" w:space="0" w:color="auto"/>
      </w:divBdr>
    </w:div>
    <w:div w:id="299844475">
      <w:bodyDiv w:val="1"/>
      <w:marLeft w:val="0"/>
      <w:marRight w:val="0"/>
      <w:marTop w:val="0"/>
      <w:marBottom w:val="0"/>
      <w:divBdr>
        <w:top w:val="none" w:sz="0" w:space="0" w:color="auto"/>
        <w:left w:val="none" w:sz="0" w:space="0" w:color="auto"/>
        <w:bottom w:val="none" w:sz="0" w:space="0" w:color="auto"/>
        <w:right w:val="none" w:sz="0" w:space="0" w:color="auto"/>
      </w:divBdr>
      <w:divsChild>
        <w:div w:id="715129483">
          <w:marLeft w:val="0"/>
          <w:marRight w:val="0"/>
          <w:marTop w:val="0"/>
          <w:marBottom w:val="0"/>
          <w:divBdr>
            <w:top w:val="none" w:sz="0" w:space="0" w:color="auto"/>
            <w:left w:val="none" w:sz="0" w:space="0" w:color="auto"/>
            <w:bottom w:val="none" w:sz="0" w:space="0" w:color="auto"/>
            <w:right w:val="none" w:sz="0" w:space="0" w:color="auto"/>
          </w:divBdr>
          <w:divsChild>
            <w:div w:id="1209340947">
              <w:marLeft w:val="0"/>
              <w:marRight w:val="0"/>
              <w:marTop w:val="0"/>
              <w:marBottom w:val="0"/>
              <w:divBdr>
                <w:top w:val="none" w:sz="0" w:space="0" w:color="auto"/>
                <w:left w:val="none" w:sz="0" w:space="0" w:color="auto"/>
                <w:bottom w:val="none" w:sz="0" w:space="0" w:color="auto"/>
                <w:right w:val="none" w:sz="0" w:space="0" w:color="auto"/>
              </w:divBdr>
              <w:divsChild>
                <w:div w:id="1532067153">
                  <w:marLeft w:val="0"/>
                  <w:marRight w:val="0"/>
                  <w:marTop w:val="0"/>
                  <w:marBottom w:val="0"/>
                  <w:divBdr>
                    <w:top w:val="none" w:sz="0" w:space="0" w:color="auto"/>
                    <w:left w:val="none" w:sz="0" w:space="0" w:color="auto"/>
                    <w:bottom w:val="none" w:sz="0" w:space="0" w:color="auto"/>
                    <w:right w:val="none" w:sz="0" w:space="0" w:color="auto"/>
                  </w:divBdr>
                  <w:divsChild>
                    <w:div w:id="1071273485">
                      <w:marLeft w:val="0"/>
                      <w:marRight w:val="0"/>
                      <w:marTop w:val="0"/>
                      <w:marBottom w:val="0"/>
                      <w:divBdr>
                        <w:top w:val="none" w:sz="0" w:space="0" w:color="auto"/>
                        <w:left w:val="none" w:sz="0" w:space="0" w:color="auto"/>
                        <w:bottom w:val="none" w:sz="0" w:space="0" w:color="auto"/>
                        <w:right w:val="none" w:sz="0" w:space="0" w:color="auto"/>
                      </w:divBdr>
                      <w:divsChild>
                        <w:div w:id="834805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3665688">
      <w:bodyDiv w:val="1"/>
      <w:marLeft w:val="0"/>
      <w:marRight w:val="0"/>
      <w:marTop w:val="0"/>
      <w:marBottom w:val="0"/>
      <w:divBdr>
        <w:top w:val="none" w:sz="0" w:space="0" w:color="auto"/>
        <w:left w:val="none" w:sz="0" w:space="0" w:color="auto"/>
        <w:bottom w:val="none" w:sz="0" w:space="0" w:color="auto"/>
        <w:right w:val="none" w:sz="0" w:space="0" w:color="auto"/>
      </w:divBdr>
      <w:divsChild>
        <w:div w:id="715619124">
          <w:marLeft w:val="0"/>
          <w:marRight w:val="0"/>
          <w:marTop w:val="0"/>
          <w:marBottom w:val="0"/>
          <w:divBdr>
            <w:top w:val="none" w:sz="0" w:space="0" w:color="auto"/>
            <w:left w:val="none" w:sz="0" w:space="0" w:color="auto"/>
            <w:bottom w:val="none" w:sz="0" w:space="0" w:color="auto"/>
            <w:right w:val="none" w:sz="0" w:space="0" w:color="auto"/>
          </w:divBdr>
          <w:divsChild>
            <w:div w:id="92479841">
              <w:marLeft w:val="0"/>
              <w:marRight w:val="0"/>
              <w:marTop w:val="0"/>
              <w:marBottom w:val="0"/>
              <w:divBdr>
                <w:top w:val="none" w:sz="0" w:space="0" w:color="auto"/>
                <w:left w:val="none" w:sz="0" w:space="0" w:color="auto"/>
                <w:bottom w:val="none" w:sz="0" w:space="0" w:color="auto"/>
                <w:right w:val="none" w:sz="0" w:space="0" w:color="auto"/>
              </w:divBdr>
              <w:divsChild>
                <w:div w:id="1555849840">
                  <w:marLeft w:val="0"/>
                  <w:marRight w:val="0"/>
                  <w:marTop w:val="0"/>
                  <w:marBottom w:val="0"/>
                  <w:divBdr>
                    <w:top w:val="none" w:sz="0" w:space="0" w:color="auto"/>
                    <w:left w:val="none" w:sz="0" w:space="0" w:color="auto"/>
                    <w:bottom w:val="none" w:sz="0" w:space="0" w:color="auto"/>
                    <w:right w:val="none" w:sz="0" w:space="0" w:color="auto"/>
                  </w:divBdr>
                  <w:divsChild>
                    <w:div w:id="281620736">
                      <w:marLeft w:val="0"/>
                      <w:marRight w:val="0"/>
                      <w:marTop w:val="0"/>
                      <w:marBottom w:val="0"/>
                      <w:divBdr>
                        <w:top w:val="none" w:sz="0" w:space="0" w:color="auto"/>
                        <w:left w:val="none" w:sz="0" w:space="0" w:color="auto"/>
                        <w:bottom w:val="none" w:sz="0" w:space="0" w:color="auto"/>
                        <w:right w:val="none" w:sz="0" w:space="0" w:color="auto"/>
                      </w:divBdr>
                      <w:divsChild>
                        <w:div w:id="811025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4478927">
      <w:bodyDiv w:val="1"/>
      <w:marLeft w:val="0"/>
      <w:marRight w:val="0"/>
      <w:marTop w:val="0"/>
      <w:marBottom w:val="0"/>
      <w:divBdr>
        <w:top w:val="none" w:sz="0" w:space="0" w:color="auto"/>
        <w:left w:val="none" w:sz="0" w:space="0" w:color="auto"/>
        <w:bottom w:val="none" w:sz="0" w:space="0" w:color="auto"/>
        <w:right w:val="none" w:sz="0" w:space="0" w:color="auto"/>
      </w:divBdr>
      <w:divsChild>
        <w:div w:id="1928150214">
          <w:marLeft w:val="0"/>
          <w:marRight w:val="0"/>
          <w:marTop w:val="0"/>
          <w:marBottom w:val="0"/>
          <w:divBdr>
            <w:top w:val="none" w:sz="0" w:space="0" w:color="auto"/>
            <w:left w:val="none" w:sz="0" w:space="0" w:color="auto"/>
            <w:bottom w:val="none" w:sz="0" w:space="0" w:color="auto"/>
            <w:right w:val="none" w:sz="0" w:space="0" w:color="auto"/>
          </w:divBdr>
          <w:divsChild>
            <w:div w:id="194316775">
              <w:marLeft w:val="0"/>
              <w:marRight w:val="0"/>
              <w:marTop w:val="0"/>
              <w:marBottom w:val="0"/>
              <w:divBdr>
                <w:top w:val="none" w:sz="0" w:space="0" w:color="auto"/>
                <w:left w:val="none" w:sz="0" w:space="0" w:color="auto"/>
                <w:bottom w:val="none" w:sz="0" w:space="0" w:color="auto"/>
                <w:right w:val="none" w:sz="0" w:space="0" w:color="auto"/>
              </w:divBdr>
              <w:divsChild>
                <w:div w:id="423496204">
                  <w:marLeft w:val="0"/>
                  <w:marRight w:val="0"/>
                  <w:marTop w:val="150"/>
                  <w:marBottom w:val="0"/>
                  <w:divBdr>
                    <w:top w:val="none" w:sz="0" w:space="0" w:color="auto"/>
                    <w:left w:val="none" w:sz="0" w:space="0" w:color="auto"/>
                    <w:bottom w:val="none" w:sz="0" w:space="0" w:color="auto"/>
                    <w:right w:val="none" w:sz="0" w:space="0" w:color="auto"/>
                  </w:divBdr>
                  <w:divsChild>
                    <w:div w:id="2129349351">
                      <w:marLeft w:val="-150"/>
                      <w:marRight w:val="0"/>
                      <w:marTop w:val="0"/>
                      <w:marBottom w:val="0"/>
                      <w:divBdr>
                        <w:top w:val="none" w:sz="0" w:space="0" w:color="auto"/>
                        <w:left w:val="none" w:sz="0" w:space="0" w:color="auto"/>
                        <w:bottom w:val="none" w:sz="0" w:space="0" w:color="auto"/>
                        <w:right w:val="none" w:sz="0" w:space="0" w:color="auto"/>
                      </w:divBdr>
                      <w:divsChild>
                        <w:div w:id="905840851">
                          <w:marLeft w:val="0"/>
                          <w:marRight w:val="0"/>
                          <w:marTop w:val="0"/>
                          <w:marBottom w:val="0"/>
                          <w:divBdr>
                            <w:top w:val="none" w:sz="0" w:space="0" w:color="auto"/>
                            <w:left w:val="none" w:sz="0" w:space="0" w:color="auto"/>
                            <w:bottom w:val="none" w:sz="0" w:space="0" w:color="auto"/>
                            <w:right w:val="none" w:sz="0" w:space="0" w:color="auto"/>
                          </w:divBdr>
                          <w:divsChild>
                            <w:div w:id="37508397">
                              <w:marLeft w:val="0"/>
                              <w:marRight w:val="0"/>
                              <w:marTop w:val="0"/>
                              <w:marBottom w:val="0"/>
                              <w:divBdr>
                                <w:top w:val="none" w:sz="0" w:space="0" w:color="auto"/>
                                <w:left w:val="none" w:sz="0" w:space="0" w:color="auto"/>
                                <w:bottom w:val="none" w:sz="0" w:space="0" w:color="auto"/>
                                <w:right w:val="none" w:sz="0" w:space="0" w:color="auto"/>
                              </w:divBdr>
                              <w:divsChild>
                                <w:div w:id="2136871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88458085">
      <w:bodyDiv w:val="1"/>
      <w:marLeft w:val="0"/>
      <w:marRight w:val="0"/>
      <w:marTop w:val="0"/>
      <w:marBottom w:val="0"/>
      <w:divBdr>
        <w:top w:val="none" w:sz="0" w:space="0" w:color="auto"/>
        <w:left w:val="none" w:sz="0" w:space="0" w:color="auto"/>
        <w:bottom w:val="none" w:sz="0" w:space="0" w:color="auto"/>
        <w:right w:val="none" w:sz="0" w:space="0" w:color="auto"/>
      </w:divBdr>
      <w:divsChild>
        <w:div w:id="601306343">
          <w:marLeft w:val="0"/>
          <w:marRight w:val="0"/>
          <w:marTop w:val="0"/>
          <w:marBottom w:val="0"/>
          <w:divBdr>
            <w:top w:val="none" w:sz="0" w:space="0" w:color="auto"/>
            <w:left w:val="none" w:sz="0" w:space="0" w:color="auto"/>
            <w:bottom w:val="none" w:sz="0" w:space="0" w:color="auto"/>
            <w:right w:val="none" w:sz="0" w:space="0" w:color="auto"/>
          </w:divBdr>
          <w:divsChild>
            <w:div w:id="663824878">
              <w:marLeft w:val="0"/>
              <w:marRight w:val="0"/>
              <w:marTop w:val="0"/>
              <w:marBottom w:val="0"/>
              <w:divBdr>
                <w:top w:val="none" w:sz="0" w:space="0" w:color="auto"/>
                <w:left w:val="none" w:sz="0" w:space="0" w:color="auto"/>
                <w:bottom w:val="none" w:sz="0" w:space="0" w:color="auto"/>
                <w:right w:val="none" w:sz="0" w:space="0" w:color="auto"/>
              </w:divBdr>
              <w:divsChild>
                <w:div w:id="1566646288">
                  <w:marLeft w:val="0"/>
                  <w:marRight w:val="0"/>
                  <w:marTop w:val="0"/>
                  <w:marBottom w:val="0"/>
                  <w:divBdr>
                    <w:top w:val="none" w:sz="0" w:space="0" w:color="auto"/>
                    <w:left w:val="none" w:sz="0" w:space="0" w:color="auto"/>
                    <w:bottom w:val="none" w:sz="0" w:space="0" w:color="auto"/>
                    <w:right w:val="none" w:sz="0" w:space="0" w:color="auto"/>
                  </w:divBdr>
                  <w:divsChild>
                    <w:div w:id="1739354643">
                      <w:marLeft w:val="0"/>
                      <w:marRight w:val="0"/>
                      <w:marTop w:val="0"/>
                      <w:marBottom w:val="0"/>
                      <w:divBdr>
                        <w:top w:val="none" w:sz="0" w:space="0" w:color="auto"/>
                        <w:left w:val="none" w:sz="0" w:space="0" w:color="auto"/>
                        <w:bottom w:val="none" w:sz="0" w:space="0" w:color="auto"/>
                        <w:right w:val="none" w:sz="0" w:space="0" w:color="auto"/>
                      </w:divBdr>
                      <w:divsChild>
                        <w:div w:id="843283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7882940">
      <w:bodyDiv w:val="1"/>
      <w:marLeft w:val="0"/>
      <w:marRight w:val="0"/>
      <w:marTop w:val="0"/>
      <w:marBottom w:val="0"/>
      <w:divBdr>
        <w:top w:val="none" w:sz="0" w:space="0" w:color="auto"/>
        <w:left w:val="none" w:sz="0" w:space="0" w:color="auto"/>
        <w:bottom w:val="none" w:sz="0" w:space="0" w:color="auto"/>
        <w:right w:val="none" w:sz="0" w:space="0" w:color="auto"/>
      </w:divBdr>
    </w:div>
    <w:div w:id="1062294038">
      <w:bodyDiv w:val="1"/>
      <w:marLeft w:val="0"/>
      <w:marRight w:val="0"/>
      <w:marTop w:val="0"/>
      <w:marBottom w:val="0"/>
      <w:divBdr>
        <w:top w:val="none" w:sz="0" w:space="0" w:color="auto"/>
        <w:left w:val="none" w:sz="0" w:space="0" w:color="auto"/>
        <w:bottom w:val="none" w:sz="0" w:space="0" w:color="auto"/>
        <w:right w:val="none" w:sz="0" w:space="0" w:color="auto"/>
      </w:divBdr>
      <w:divsChild>
        <w:div w:id="770972929">
          <w:marLeft w:val="0"/>
          <w:marRight w:val="0"/>
          <w:marTop w:val="0"/>
          <w:marBottom w:val="0"/>
          <w:divBdr>
            <w:top w:val="none" w:sz="0" w:space="0" w:color="auto"/>
            <w:left w:val="none" w:sz="0" w:space="0" w:color="auto"/>
            <w:bottom w:val="none" w:sz="0" w:space="0" w:color="auto"/>
            <w:right w:val="none" w:sz="0" w:space="0" w:color="auto"/>
          </w:divBdr>
          <w:divsChild>
            <w:div w:id="889683955">
              <w:marLeft w:val="0"/>
              <w:marRight w:val="0"/>
              <w:marTop w:val="0"/>
              <w:marBottom w:val="0"/>
              <w:divBdr>
                <w:top w:val="none" w:sz="0" w:space="0" w:color="auto"/>
                <w:left w:val="none" w:sz="0" w:space="0" w:color="auto"/>
                <w:bottom w:val="none" w:sz="0" w:space="0" w:color="auto"/>
                <w:right w:val="none" w:sz="0" w:space="0" w:color="auto"/>
              </w:divBdr>
              <w:divsChild>
                <w:div w:id="1471364919">
                  <w:marLeft w:val="0"/>
                  <w:marRight w:val="0"/>
                  <w:marTop w:val="0"/>
                  <w:marBottom w:val="0"/>
                  <w:divBdr>
                    <w:top w:val="none" w:sz="0" w:space="0" w:color="auto"/>
                    <w:left w:val="none" w:sz="0" w:space="0" w:color="auto"/>
                    <w:bottom w:val="none" w:sz="0" w:space="0" w:color="auto"/>
                    <w:right w:val="none" w:sz="0" w:space="0" w:color="auto"/>
                  </w:divBdr>
                  <w:divsChild>
                    <w:div w:id="1261716924">
                      <w:marLeft w:val="0"/>
                      <w:marRight w:val="0"/>
                      <w:marTop w:val="0"/>
                      <w:marBottom w:val="0"/>
                      <w:divBdr>
                        <w:top w:val="none" w:sz="0" w:space="0" w:color="auto"/>
                        <w:left w:val="none" w:sz="0" w:space="0" w:color="auto"/>
                        <w:bottom w:val="none" w:sz="0" w:space="0" w:color="auto"/>
                        <w:right w:val="none" w:sz="0" w:space="0" w:color="auto"/>
                      </w:divBdr>
                      <w:divsChild>
                        <w:div w:id="467668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2965233">
      <w:bodyDiv w:val="1"/>
      <w:marLeft w:val="0"/>
      <w:marRight w:val="0"/>
      <w:marTop w:val="0"/>
      <w:marBottom w:val="0"/>
      <w:divBdr>
        <w:top w:val="none" w:sz="0" w:space="0" w:color="auto"/>
        <w:left w:val="none" w:sz="0" w:space="0" w:color="auto"/>
        <w:bottom w:val="none" w:sz="0" w:space="0" w:color="auto"/>
        <w:right w:val="none" w:sz="0" w:space="0" w:color="auto"/>
      </w:divBdr>
      <w:divsChild>
        <w:div w:id="1051226872">
          <w:marLeft w:val="0"/>
          <w:marRight w:val="0"/>
          <w:marTop w:val="0"/>
          <w:marBottom w:val="0"/>
          <w:divBdr>
            <w:top w:val="none" w:sz="0" w:space="0" w:color="auto"/>
            <w:left w:val="none" w:sz="0" w:space="0" w:color="auto"/>
            <w:bottom w:val="none" w:sz="0" w:space="0" w:color="auto"/>
            <w:right w:val="none" w:sz="0" w:space="0" w:color="auto"/>
          </w:divBdr>
          <w:divsChild>
            <w:div w:id="540021019">
              <w:marLeft w:val="0"/>
              <w:marRight w:val="0"/>
              <w:marTop w:val="0"/>
              <w:marBottom w:val="0"/>
              <w:divBdr>
                <w:top w:val="none" w:sz="0" w:space="0" w:color="auto"/>
                <w:left w:val="none" w:sz="0" w:space="0" w:color="auto"/>
                <w:bottom w:val="none" w:sz="0" w:space="0" w:color="auto"/>
                <w:right w:val="none" w:sz="0" w:space="0" w:color="auto"/>
              </w:divBdr>
              <w:divsChild>
                <w:div w:id="132908820">
                  <w:marLeft w:val="0"/>
                  <w:marRight w:val="0"/>
                  <w:marTop w:val="0"/>
                  <w:marBottom w:val="0"/>
                  <w:divBdr>
                    <w:top w:val="none" w:sz="0" w:space="0" w:color="auto"/>
                    <w:left w:val="none" w:sz="0" w:space="0" w:color="auto"/>
                    <w:bottom w:val="none" w:sz="0" w:space="0" w:color="auto"/>
                    <w:right w:val="none" w:sz="0" w:space="0" w:color="auto"/>
                  </w:divBdr>
                  <w:divsChild>
                    <w:div w:id="123743939">
                      <w:marLeft w:val="0"/>
                      <w:marRight w:val="0"/>
                      <w:marTop w:val="0"/>
                      <w:marBottom w:val="0"/>
                      <w:divBdr>
                        <w:top w:val="none" w:sz="0" w:space="0" w:color="auto"/>
                        <w:left w:val="none" w:sz="0" w:space="0" w:color="auto"/>
                        <w:bottom w:val="none" w:sz="0" w:space="0" w:color="auto"/>
                        <w:right w:val="none" w:sz="0" w:space="0" w:color="auto"/>
                      </w:divBdr>
                      <w:divsChild>
                        <w:div w:id="247858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0693405">
      <w:bodyDiv w:val="1"/>
      <w:marLeft w:val="0"/>
      <w:marRight w:val="0"/>
      <w:marTop w:val="0"/>
      <w:marBottom w:val="0"/>
      <w:divBdr>
        <w:top w:val="none" w:sz="0" w:space="0" w:color="auto"/>
        <w:left w:val="none" w:sz="0" w:space="0" w:color="auto"/>
        <w:bottom w:val="none" w:sz="0" w:space="0" w:color="auto"/>
        <w:right w:val="none" w:sz="0" w:space="0" w:color="auto"/>
      </w:divBdr>
      <w:divsChild>
        <w:div w:id="1928150379">
          <w:marLeft w:val="0"/>
          <w:marRight w:val="0"/>
          <w:marTop w:val="0"/>
          <w:marBottom w:val="0"/>
          <w:divBdr>
            <w:top w:val="none" w:sz="0" w:space="0" w:color="auto"/>
            <w:left w:val="none" w:sz="0" w:space="0" w:color="auto"/>
            <w:bottom w:val="none" w:sz="0" w:space="0" w:color="auto"/>
            <w:right w:val="none" w:sz="0" w:space="0" w:color="auto"/>
          </w:divBdr>
          <w:divsChild>
            <w:div w:id="1983463662">
              <w:marLeft w:val="0"/>
              <w:marRight w:val="0"/>
              <w:marTop w:val="0"/>
              <w:marBottom w:val="0"/>
              <w:divBdr>
                <w:top w:val="none" w:sz="0" w:space="0" w:color="auto"/>
                <w:left w:val="none" w:sz="0" w:space="0" w:color="auto"/>
                <w:bottom w:val="none" w:sz="0" w:space="0" w:color="auto"/>
                <w:right w:val="none" w:sz="0" w:space="0" w:color="auto"/>
              </w:divBdr>
              <w:divsChild>
                <w:div w:id="1292635580">
                  <w:marLeft w:val="0"/>
                  <w:marRight w:val="0"/>
                  <w:marTop w:val="150"/>
                  <w:marBottom w:val="0"/>
                  <w:divBdr>
                    <w:top w:val="none" w:sz="0" w:space="0" w:color="auto"/>
                    <w:left w:val="none" w:sz="0" w:space="0" w:color="auto"/>
                    <w:bottom w:val="none" w:sz="0" w:space="0" w:color="auto"/>
                    <w:right w:val="none" w:sz="0" w:space="0" w:color="auto"/>
                  </w:divBdr>
                  <w:divsChild>
                    <w:div w:id="50078447">
                      <w:marLeft w:val="-150"/>
                      <w:marRight w:val="0"/>
                      <w:marTop w:val="0"/>
                      <w:marBottom w:val="0"/>
                      <w:divBdr>
                        <w:top w:val="none" w:sz="0" w:space="0" w:color="auto"/>
                        <w:left w:val="none" w:sz="0" w:space="0" w:color="auto"/>
                        <w:bottom w:val="none" w:sz="0" w:space="0" w:color="auto"/>
                        <w:right w:val="none" w:sz="0" w:space="0" w:color="auto"/>
                      </w:divBdr>
                      <w:divsChild>
                        <w:div w:id="2006934725">
                          <w:marLeft w:val="0"/>
                          <w:marRight w:val="0"/>
                          <w:marTop w:val="0"/>
                          <w:marBottom w:val="0"/>
                          <w:divBdr>
                            <w:top w:val="none" w:sz="0" w:space="0" w:color="auto"/>
                            <w:left w:val="none" w:sz="0" w:space="0" w:color="auto"/>
                            <w:bottom w:val="none" w:sz="0" w:space="0" w:color="auto"/>
                            <w:right w:val="none" w:sz="0" w:space="0" w:color="auto"/>
                          </w:divBdr>
                          <w:divsChild>
                            <w:div w:id="41711210">
                              <w:marLeft w:val="0"/>
                              <w:marRight w:val="0"/>
                              <w:marTop w:val="0"/>
                              <w:marBottom w:val="0"/>
                              <w:divBdr>
                                <w:top w:val="none" w:sz="0" w:space="0" w:color="auto"/>
                                <w:left w:val="none" w:sz="0" w:space="0" w:color="auto"/>
                                <w:bottom w:val="none" w:sz="0" w:space="0" w:color="auto"/>
                                <w:right w:val="none" w:sz="0" w:space="0" w:color="auto"/>
                              </w:divBdr>
                              <w:divsChild>
                                <w:div w:id="1030882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33210102">
      <w:bodyDiv w:val="1"/>
      <w:marLeft w:val="0"/>
      <w:marRight w:val="0"/>
      <w:marTop w:val="0"/>
      <w:marBottom w:val="0"/>
      <w:divBdr>
        <w:top w:val="none" w:sz="0" w:space="0" w:color="auto"/>
        <w:left w:val="none" w:sz="0" w:space="0" w:color="auto"/>
        <w:bottom w:val="none" w:sz="0" w:space="0" w:color="auto"/>
        <w:right w:val="none" w:sz="0" w:space="0" w:color="auto"/>
      </w:divBdr>
      <w:divsChild>
        <w:div w:id="354770986">
          <w:marLeft w:val="0"/>
          <w:marRight w:val="0"/>
          <w:marTop w:val="0"/>
          <w:marBottom w:val="0"/>
          <w:divBdr>
            <w:top w:val="none" w:sz="0" w:space="0" w:color="auto"/>
            <w:left w:val="none" w:sz="0" w:space="0" w:color="auto"/>
            <w:bottom w:val="none" w:sz="0" w:space="0" w:color="auto"/>
            <w:right w:val="none" w:sz="0" w:space="0" w:color="auto"/>
          </w:divBdr>
          <w:divsChild>
            <w:div w:id="1037588583">
              <w:marLeft w:val="0"/>
              <w:marRight w:val="0"/>
              <w:marTop w:val="0"/>
              <w:marBottom w:val="0"/>
              <w:divBdr>
                <w:top w:val="none" w:sz="0" w:space="0" w:color="auto"/>
                <w:left w:val="none" w:sz="0" w:space="0" w:color="auto"/>
                <w:bottom w:val="none" w:sz="0" w:space="0" w:color="auto"/>
                <w:right w:val="none" w:sz="0" w:space="0" w:color="auto"/>
              </w:divBdr>
              <w:divsChild>
                <w:div w:id="1318264589">
                  <w:marLeft w:val="0"/>
                  <w:marRight w:val="0"/>
                  <w:marTop w:val="0"/>
                  <w:marBottom w:val="0"/>
                  <w:divBdr>
                    <w:top w:val="none" w:sz="0" w:space="0" w:color="auto"/>
                    <w:left w:val="none" w:sz="0" w:space="0" w:color="auto"/>
                    <w:bottom w:val="none" w:sz="0" w:space="0" w:color="auto"/>
                    <w:right w:val="none" w:sz="0" w:space="0" w:color="auto"/>
                  </w:divBdr>
                  <w:divsChild>
                    <w:div w:id="589119114">
                      <w:marLeft w:val="0"/>
                      <w:marRight w:val="0"/>
                      <w:marTop w:val="0"/>
                      <w:marBottom w:val="0"/>
                      <w:divBdr>
                        <w:top w:val="none" w:sz="0" w:space="0" w:color="auto"/>
                        <w:left w:val="none" w:sz="0" w:space="0" w:color="auto"/>
                        <w:bottom w:val="none" w:sz="0" w:space="0" w:color="auto"/>
                        <w:right w:val="none" w:sz="0" w:space="0" w:color="auto"/>
                      </w:divBdr>
                      <w:divsChild>
                        <w:div w:id="72166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5218815">
      <w:bodyDiv w:val="1"/>
      <w:marLeft w:val="0"/>
      <w:marRight w:val="0"/>
      <w:marTop w:val="0"/>
      <w:marBottom w:val="0"/>
      <w:divBdr>
        <w:top w:val="none" w:sz="0" w:space="0" w:color="auto"/>
        <w:left w:val="none" w:sz="0" w:space="0" w:color="auto"/>
        <w:bottom w:val="none" w:sz="0" w:space="0" w:color="auto"/>
        <w:right w:val="none" w:sz="0" w:space="0" w:color="auto"/>
      </w:divBdr>
      <w:divsChild>
        <w:div w:id="381634290">
          <w:marLeft w:val="0"/>
          <w:marRight w:val="0"/>
          <w:marTop w:val="0"/>
          <w:marBottom w:val="0"/>
          <w:divBdr>
            <w:top w:val="none" w:sz="0" w:space="0" w:color="auto"/>
            <w:left w:val="none" w:sz="0" w:space="0" w:color="auto"/>
            <w:bottom w:val="none" w:sz="0" w:space="0" w:color="auto"/>
            <w:right w:val="none" w:sz="0" w:space="0" w:color="auto"/>
          </w:divBdr>
          <w:divsChild>
            <w:div w:id="70933164">
              <w:marLeft w:val="0"/>
              <w:marRight w:val="0"/>
              <w:marTop w:val="0"/>
              <w:marBottom w:val="0"/>
              <w:divBdr>
                <w:top w:val="none" w:sz="0" w:space="0" w:color="auto"/>
                <w:left w:val="none" w:sz="0" w:space="0" w:color="auto"/>
                <w:bottom w:val="none" w:sz="0" w:space="0" w:color="auto"/>
                <w:right w:val="none" w:sz="0" w:space="0" w:color="auto"/>
              </w:divBdr>
              <w:divsChild>
                <w:div w:id="1095126712">
                  <w:marLeft w:val="0"/>
                  <w:marRight w:val="0"/>
                  <w:marTop w:val="0"/>
                  <w:marBottom w:val="0"/>
                  <w:divBdr>
                    <w:top w:val="none" w:sz="0" w:space="0" w:color="auto"/>
                    <w:left w:val="none" w:sz="0" w:space="0" w:color="auto"/>
                    <w:bottom w:val="none" w:sz="0" w:space="0" w:color="auto"/>
                    <w:right w:val="none" w:sz="0" w:space="0" w:color="auto"/>
                  </w:divBdr>
                  <w:divsChild>
                    <w:div w:id="1768849375">
                      <w:marLeft w:val="0"/>
                      <w:marRight w:val="0"/>
                      <w:marTop w:val="0"/>
                      <w:marBottom w:val="0"/>
                      <w:divBdr>
                        <w:top w:val="none" w:sz="0" w:space="0" w:color="auto"/>
                        <w:left w:val="none" w:sz="0" w:space="0" w:color="auto"/>
                        <w:bottom w:val="none" w:sz="0" w:space="0" w:color="auto"/>
                        <w:right w:val="none" w:sz="0" w:space="0" w:color="auto"/>
                      </w:divBdr>
                      <w:divsChild>
                        <w:div w:id="1407806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9762323">
      <w:bodyDiv w:val="1"/>
      <w:marLeft w:val="0"/>
      <w:marRight w:val="0"/>
      <w:marTop w:val="0"/>
      <w:marBottom w:val="0"/>
      <w:divBdr>
        <w:top w:val="none" w:sz="0" w:space="0" w:color="auto"/>
        <w:left w:val="none" w:sz="0" w:space="0" w:color="auto"/>
        <w:bottom w:val="none" w:sz="0" w:space="0" w:color="auto"/>
        <w:right w:val="none" w:sz="0" w:space="0" w:color="auto"/>
      </w:divBdr>
      <w:divsChild>
        <w:div w:id="388650709">
          <w:marLeft w:val="0"/>
          <w:marRight w:val="0"/>
          <w:marTop w:val="0"/>
          <w:marBottom w:val="0"/>
          <w:divBdr>
            <w:top w:val="none" w:sz="0" w:space="0" w:color="auto"/>
            <w:left w:val="none" w:sz="0" w:space="0" w:color="auto"/>
            <w:bottom w:val="none" w:sz="0" w:space="0" w:color="auto"/>
            <w:right w:val="none" w:sz="0" w:space="0" w:color="auto"/>
          </w:divBdr>
          <w:divsChild>
            <w:div w:id="761224196">
              <w:marLeft w:val="0"/>
              <w:marRight w:val="0"/>
              <w:marTop w:val="0"/>
              <w:marBottom w:val="0"/>
              <w:divBdr>
                <w:top w:val="none" w:sz="0" w:space="0" w:color="auto"/>
                <w:left w:val="none" w:sz="0" w:space="0" w:color="auto"/>
                <w:bottom w:val="none" w:sz="0" w:space="0" w:color="auto"/>
                <w:right w:val="none" w:sz="0" w:space="0" w:color="auto"/>
              </w:divBdr>
              <w:divsChild>
                <w:div w:id="512257636">
                  <w:marLeft w:val="0"/>
                  <w:marRight w:val="0"/>
                  <w:marTop w:val="0"/>
                  <w:marBottom w:val="0"/>
                  <w:divBdr>
                    <w:top w:val="none" w:sz="0" w:space="0" w:color="auto"/>
                    <w:left w:val="none" w:sz="0" w:space="0" w:color="auto"/>
                    <w:bottom w:val="none" w:sz="0" w:space="0" w:color="auto"/>
                    <w:right w:val="none" w:sz="0" w:space="0" w:color="auto"/>
                  </w:divBdr>
                  <w:divsChild>
                    <w:div w:id="1083990494">
                      <w:marLeft w:val="0"/>
                      <w:marRight w:val="0"/>
                      <w:marTop w:val="0"/>
                      <w:marBottom w:val="0"/>
                      <w:divBdr>
                        <w:top w:val="none" w:sz="0" w:space="0" w:color="auto"/>
                        <w:left w:val="none" w:sz="0" w:space="0" w:color="auto"/>
                        <w:bottom w:val="none" w:sz="0" w:space="0" w:color="auto"/>
                        <w:right w:val="none" w:sz="0" w:space="0" w:color="auto"/>
                      </w:divBdr>
                      <w:divsChild>
                        <w:div w:id="1647856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53023867">
      <w:bodyDiv w:val="1"/>
      <w:marLeft w:val="0"/>
      <w:marRight w:val="0"/>
      <w:marTop w:val="0"/>
      <w:marBottom w:val="0"/>
      <w:divBdr>
        <w:top w:val="none" w:sz="0" w:space="0" w:color="auto"/>
        <w:left w:val="none" w:sz="0" w:space="0" w:color="auto"/>
        <w:bottom w:val="none" w:sz="0" w:space="0" w:color="auto"/>
        <w:right w:val="none" w:sz="0" w:space="0" w:color="auto"/>
      </w:divBdr>
      <w:divsChild>
        <w:div w:id="1294751876">
          <w:marLeft w:val="0"/>
          <w:marRight w:val="0"/>
          <w:marTop w:val="0"/>
          <w:marBottom w:val="0"/>
          <w:divBdr>
            <w:top w:val="none" w:sz="0" w:space="0" w:color="auto"/>
            <w:left w:val="none" w:sz="0" w:space="0" w:color="auto"/>
            <w:bottom w:val="none" w:sz="0" w:space="0" w:color="auto"/>
            <w:right w:val="none" w:sz="0" w:space="0" w:color="auto"/>
          </w:divBdr>
          <w:divsChild>
            <w:div w:id="1523591740">
              <w:marLeft w:val="0"/>
              <w:marRight w:val="0"/>
              <w:marTop w:val="0"/>
              <w:marBottom w:val="0"/>
              <w:divBdr>
                <w:top w:val="none" w:sz="0" w:space="0" w:color="auto"/>
                <w:left w:val="none" w:sz="0" w:space="0" w:color="auto"/>
                <w:bottom w:val="none" w:sz="0" w:space="0" w:color="auto"/>
                <w:right w:val="none" w:sz="0" w:space="0" w:color="auto"/>
              </w:divBdr>
              <w:divsChild>
                <w:div w:id="923996303">
                  <w:marLeft w:val="0"/>
                  <w:marRight w:val="0"/>
                  <w:marTop w:val="0"/>
                  <w:marBottom w:val="0"/>
                  <w:divBdr>
                    <w:top w:val="none" w:sz="0" w:space="0" w:color="auto"/>
                    <w:left w:val="none" w:sz="0" w:space="0" w:color="auto"/>
                    <w:bottom w:val="none" w:sz="0" w:space="0" w:color="auto"/>
                    <w:right w:val="none" w:sz="0" w:space="0" w:color="auto"/>
                  </w:divBdr>
                  <w:divsChild>
                    <w:div w:id="1178617472">
                      <w:marLeft w:val="0"/>
                      <w:marRight w:val="0"/>
                      <w:marTop w:val="0"/>
                      <w:marBottom w:val="0"/>
                      <w:divBdr>
                        <w:top w:val="none" w:sz="0" w:space="0" w:color="auto"/>
                        <w:left w:val="none" w:sz="0" w:space="0" w:color="auto"/>
                        <w:bottom w:val="none" w:sz="0" w:space="0" w:color="auto"/>
                        <w:right w:val="none" w:sz="0" w:space="0" w:color="auto"/>
                      </w:divBdr>
                      <w:divsChild>
                        <w:div w:id="499925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2037733">
      <w:bodyDiv w:val="1"/>
      <w:marLeft w:val="0"/>
      <w:marRight w:val="0"/>
      <w:marTop w:val="0"/>
      <w:marBottom w:val="0"/>
      <w:divBdr>
        <w:top w:val="none" w:sz="0" w:space="0" w:color="auto"/>
        <w:left w:val="none" w:sz="0" w:space="0" w:color="auto"/>
        <w:bottom w:val="none" w:sz="0" w:space="0" w:color="auto"/>
        <w:right w:val="none" w:sz="0" w:space="0" w:color="auto"/>
      </w:divBdr>
      <w:divsChild>
        <w:div w:id="880746007">
          <w:marLeft w:val="0"/>
          <w:marRight w:val="0"/>
          <w:marTop w:val="0"/>
          <w:marBottom w:val="0"/>
          <w:divBdr>
            <w:top w:val="none" w:sz="0" w:space="0" w:color="auto"/>
            <w:left w:val="none" w:sz="0" w:space="0" w:color="auto"/>
            <w:bottom w:val="none" w:sz="0" w:space="0" w:color="auto"/>
            <w:right w:val="none" w:sz="0" w:space="0" w:color="auto"/>
          </w:divBdr>
          <w:divsChild>
            <w:div w:id="2116170453">
              <w:marLeft w:val="0"/>
              <w:marRight w:val="0"/>
              <w:marTop w:val="0"/>
              <w:marBottom w:val="0"/>
              <w:divBdr>
                <w:top w:val="none" w:sz="0" w:space="0" w:color="auto"/>
                <w:left w:val="none" w:sz="0" w:space="0" w:color="auto"/>
                <w:bottom w:val="none" w:sz="0" w:space="0" w:color="auto"/>
                <w:right w:val="none" w:sz="0" w:space="0" w:color="auto"/>
              </w:divBdr>
              <w:divsChild>
                <w:div w:id="2059235589">
                  <w:marLeft w:val="0"/>
                  <w:marRight w:val="0"/>
                  <w:marTop w:val="0"/>
                  <w:marBottom w:val="0"/>
                  <w:divBdr>
                    <w:top w:val="none" w:sz="0" w:space="0" w:color="auto"/>
                    <w:left w:val="none" w:sz="0" w:space="0" w:color="auto"/>
                    <w:bottom w:val="none" w:sz="0" w:space="0" w:color="auto"/>
                    <w:right w:val="none" w:sz="0" w:space="0" w:color="auto"/>
                  </w:divBdr>
                  <w:divsChild>
                    <w:div w:id="198666948">
                      <w:marLeft w:val="0"/>
                      <w:marRight w:val="0"/>
                      <w:marTop w:val="0"/>
                      <w:marBottom w:val="0"/>
                      <w:divBdr>
                        <w:top w:val="none" w:sz="0" w:space="0" w:color="auto"/>
                        <w:left w:val="none" w:sz="0" w:space="0" w:color="auto"/>
                        <w:bottom w:val="none" w:sz="0" w:space="0" w:color="auto"/>
                        <w:right w:val="none" w:sz="0" w:space="0" w:color="auto"/>
                      </w:divBdr>
                      <w:divsChild>
                        <w:div w:id="1571771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9964200">
      <w:bodyDiv w:val="1"/>
      <w:marLeft w:val="0"/>
      <w:marRight w:val="0"/>
      <w:marTop w:val="0"/>
      <w:marBottom w:val="0"/>
      <w:divBdr>
        <w:top w:val="none" w:sz="0" w:space="0" w:color="auto"/>
        <w:left w:val="none" w:sz="0" w:space="0" w:color="auto"/>
        <w:bottom w:val="none" w:sz="0" w:space="0" w:color="auto"/>
        <w:right w:val="none" w:sz="0" w:space="0" w:color="auto"/>
      </w:divBdr>
      <w:divsChild>
        <w:div w:id="1464497433">
          <w:marLeft w:val="0"/>
          <w:marRight w:val="0"/>
          <w:marTop w:val="0"/>
          <w:marBottom w:val="0"/>
          <w:divBdr>
            <w:top w:val="none" w:sz="0" w:space="0" w:color="auto"/>
            <w:left w:val="none" w:sz="0" w:space="0" w:color="auto"/>
            <w:bottom w:val="none" w:sz="0" w:space="0" w:color="auto"/>
            <w:right w:val="none" w:sz="0" w:space="0" w:color="auto"/>
          </w:divBdr>
          <w:divsChild>
            <w:div w:id="1656185561">
              <w:marLeft w:val="0"/>
              <w:marRight w:val="0"/>
              <w:marTop w:val="0"/>
              <w:marBottom w:val="0"/>
              <w:divBdr>
                <w:top w:val="none" w:sz="0" w:space="0" w:color="auto"/>
                <w:left w:val="none" w:sz="0" w:space="0" w:color="auto"/>
                <w:bottom w:val="none" w:sz="0" w:space="0" w:color="auto"/>
                <w:right w:val="none" w:sz="0" w:space="0" w:color="auto"/>
              </w:divBdr>
              <w:divsChild>
                <w:div w:id="2011324635">
                  <w:marLeft w:val="0"/>
                  <w:marRight w:val="0"/>
                  <w:marTop w:val="0"/>
                  <w:marBottom w:val="0"/>
                  <w:divBdr>
                    <w:top w:val="none" w:sz="0" w:space="0" w:color="auto"/>
                    <w:left w:val="none" w:sz="0" w:space="0" w:color="auto"/>
                    <w:bottom w:val="none" w:sz="0" w:space="0" w:color="auto"/>
                    <w:right w:val="none" w:sz="0" w:space="0" w:color="auto"/>
                  </w:divBdr>
                  <w:divsChild>
                    <w:div w:id="1186211322">
                      <w:marLeft w:val="0"/>
                      <w:marRight w:val="0"/>
                      <w:marTop w:val="0"/>
                      <w:marBottom w:val="0"/>
                      <w:divBdr>
                        <w:top w:val="none" w:sz="0" w:space="0" w:color="auto"/>
                        <w:left w:val="none" w:sz="0" w:space="0" w:color="auto"/>
                        <w:bottom w:val="none" w:sz="0" w:space="0" w:color="auto"/>
                        <w:right w:val="none" w:sz="0" w:space="0" w:color="auto"/>
                      </w:divBdr>
                      <w:divsChild>
                        <w:div w:id="27142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3648727">
      <w:bodyDiv w:val="1"/>
      <w:marLeft w:val="0"/>
      <w:marRight w:val="0"/>
      <w:marTop w:val="0"/>
      <w:marBottom w:val="0"/>
      <w:divBdr>
        <w:top w:val="none" w:sz="0" w:space="0" w:color="auto"/>
        <w:left w:val="none" w:sz="0" w:space="0" w:color="auto"/>
        <w:bottom w:val="none" w:sz="0" w:space="0" w:color="auto"/>
        <w:right w:val="none" w:sz="0" w:space="0" w:color="auto"/>
      </w:divBdr>
      <w:divsChild>
        <w:div w:id="1425759685">
          <w:marLeft w:val="0"/>
          <w:marRight w:val="0"/>
          <w:marTop w:val="0"/>
          <w:marBottom w:val="0"/>
          <w:divBdr>
            <w:top w:val="none" w:sz="0" w:space="0" w:color="auto"/>
            <w:left w:val="none" w:sz="0" w:space="0" w:color="auto"/>
            <w:bottom w:val="none" w:sz="0" w:space="0" w:color="auto"/>
            <w:right w:val="none" w:sz="0" w:space="0" w:color="auto"/>
          </w:divBdr>
          <w:divsChild>
            <w:div w:id="89394409">
              <w:marLeft w:val="0"/>
              <w:marRight w:val="0"/>
              <w:marTop w:val="0"/>
              <w:marBottom w:val="0"/>
              <w:divBdr>
                <w:top w:val="none" w:sz="0" w:space="0" w:color="auto"/>
                <w:left w:val="none" w:sz="0" w:space="0" w:color="auto"/>
                <w:bottom w:val="none" w:sz="0" w:space="0" w:color="auto"/>
                <w:right w:val="none" w:sz="0" w:space="0" w:color="auto"/>
              </w:divBdr>
              <w:divsChild>
                <w:div w:id="383871567">
                  <w:marLeft w:val="0"/>
                  <w:marRight w:val="0"/>
                  <w:marTop w:val="0"/>
                  <w:marBottom w:val="0"/>
                  <w:divBdr>
                    <w:top w:val="none" w:sz="0" w:space="0" w:color="auto"/>
                    <w:left w:val="none" w:sz="0" w:space="0" w:color="auto"/>
                    <w:bottom w:val="none" w:sz="0" w:space="0" w:color="auto"/>
                    <w:right w:val="none" w:sz="0" w:space="0" w:color="auto"/>
                  </w:divBdr>
                  <w:divsChild>
                    <w:div w:id="1732536838">
                      <w:marLeft w:val="0"/>
                      <w:marRight w:val="0"/>
                      <w:marTop w:val="0"/>
                      <w:marBottom w:val="0"/>
                      <w:divBdr>
                        <w:top w:val="none" w:sz="0" w:space="0" w:color="auto"/>
                        <w:left w:val="none" w:sz="0" w:space="0" w:color="auto"/>
                        <w:bottom w:val="none" w:sz="0" w:space="0" w:color="auto"/>
                        <w:right w:val="none" w:sz="0" w:space="0" w:color="auto"/>
                      </w:divBdr>
                      <w:divsChild>
                        <w:div w:id="827214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emf"/><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mailto:flu@health.gov.au"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mailto:flu@health.gov.au" TargetMode="Externa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hyperlink" Target="http://www.health.gov.au/flureport" TargetMode="External"/><Relationship Id="rId27" Type="http://schemas.openxmlformats.org/officeDocument/2006/relationships/fontTable" Target="fontTable.xml"/></Relationships>
</file>

<file path=word/_rels/endnotes.xml.rels><?xml version="1.0" encoding="UTF-8" standalone="yes"?>
<Relationships xmlns="http://schemas.openxmlformats.org/package/2006/relationships"><Relationship Id="rId1" Type="http://schemas.openxmlformats.org/officeDocument/2006/relationships/hyperlink" Target="http://www.who.int/influenza/surveillance_monitoring/updates/latest_update_GIP_surveillance/e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EABCD30-6793-4951-BDF0-A32CD2330D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2111</Words>
  <Characters>12368</Characters>
  <Application>Microsoft Office Word</Application>
  <DocSecurity>4</DocSecurity>
  <Lines>103</Lines>
  <Paragraphs>28</Paragraphs>
  <ScaleCrop>false</ScaleCrop>
  <HeadingPairs>
    <vt:vector size="2" baseType="variant">
      <vt:variant>
        <vt:lpstr>Title</vt:lpstr>
      </vt:variant>
      <vt:variant>
        <vt:i4>1</vt:i4>
      </vt:variant>
    </vt:vector>
  </HeadingPairs>
  <TitlesOfParts>
    <vt:vector size="1" baseType="lpstr">
      <vt:lpstr>Australian influenza surveillance report 1 to 14 August 2015</vt:lpstr>
    </vt:vector>
  </TitlesOfParts>
  <Company>Dept Health And Ageing</Company>
  <LinksUpToDate>false</LinksUpToDate>
  <CharactersWithSpaces>14451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Australian influenza surveillance report 1 to 14 August 2015</dc:title>
  <dc:creator>Australian Government Department of Health</dc:creator>
  <cp:lastModifiedBy>Keane Laurie</cp:lastModifiedBy>
  <cp:revision>2</cp:revision>
  <cp:lastPrinted>2017-06-08T02:25:00Z</cp:lastPrinted>
  <dcterms:created xsi:type="dcterms:W3CDTF">2017-07-24T00:03:00Z</dcterms:created>
  <dcterms:modified xsi:type="dcterms:W3CDTF">2017-07-24T00:03:00Z</dcterms:modified>
</cp:coreProperties>
</file>