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11" w:rsidRPr="00CB3FEF" w:rsidRDefault="00AE4BCF" w:rsidP="00F605F8">
      <w:pPr>
        <w:pStyle w:val="ProposalBody"/>
      </w:pPr>
      <w:r w:rsidRPr="00CB3FEF">
        <w:t xml:space="preserve">Do you have </w:t>
      </w:r>
      <w:r w:rsidR="00903F6A">
        <w:t>any</w:t>
      </w:r>
      <w:r w:rsidRPr="00CB3FEF">
        <w:t xml:space="preserve"> new or like-new items or antiques packed away, waiting for the perfect occasion?</w:t>
      </w:r>
      <w:r w:rsidR="00B20787" w:rsidRPr="00CB3FEF">
        <w:t xml:space="preserve"> Would </w:t>
      </w:r>
      <w:r w:rsidR="006539B1">
        <w:t xml:space="preserve">you consider donating these items or </w:t>
      </w:r>
      <w:r w:rsidR="006539B1" w:rsidRPr="00F605F8">
        <w:t>volunteering</w:t>
      </w:r>
      <w:r w:rsidR="006539B1">
        <w:t xml:space="preserve"> your time to a cause that will benefit humanity?</w:t>
      </w:r>
    </w:p>
    <w:p w:rsidR="00B20787" w:rsidRDefault="001D4ED6" w:rsidP="00903F6A">
      <w:pPr>
        <w:pStyle w:val="ProposalBody"/>
      </w:pPr>
      <w:r>
        <w:t xml:space="preserve">Join us in making the </w:t>
      </w:r>
      <w:r w:rsidR="008D4BED">
        <w:t>F</w:t>
      </w:r>
      <w:r w:rsidR="00E070F0" w:rsidRPr="00CB3FEF">
        <w:t>ifth</w:t>
      </w:r>
      <w:r w:rsidR="00B20787" w:rsidRPr="00CB3FEF">
        <w:t xml:space="preserve"> </w:t>
      </w:r>
      <w:r w:rsidR="008D4BED">
        <w:t>A</w:t>
      </w:r>
      <w:r w:rsidR="00B20787" w:rsidRPr="00CB3FEF">
        <w:t xml:space="preserve">nnual </w:t>
      </w:r>
      <w:r>
        <w:t xml:space="preserve">Knoll Springs </w:t>
      </w:r>
      <w:r w:rsidR="00B20787" w:rsidRPr="00CB3FEF">
        <w:t>Charity Auction</w:t>
      </w:r>
      <w:r>
        <w:t xml:space="preserve"> a success</w:t>
      </w:r>
      <w:r w:rsidR="00B20787" w:rsidRPr="00CB3FEF">
        <w:t xml:space="preserve">. </w:t>
      </w:r>
      <w:r w:rsidR="00B20787" w:rsidRPr="00CB3FEF">
        <w:rPr>
          <w:u w:val="single"/>
        </w:rPr>
        <w:t>All</w:t>
      </w:r>
      <w:r w:rsidR="00B20787" w:rsidRPr="00CB3FEF">
        <w:t xml:space="preserve"> proceeds of the auction reach </w:t>
      </w:r>
      <w:r>
        <w:t>health-related charities</w:t>
      </w:r>
      <w:r w:rsidR="00B20787" w:rsidRPr="00CB3FEF">
        <w:t xml:space="preserve">. The amount of funds raised at the past </w:t>
      </w:r>
      <w:r w:rsidR="00E070F0" w:rsidRPr="00CB3FEF">
        <w:t>four</w:t>
      </w:r>
      <w:r w:rsidR="00B20787" w:rsidRPr="00CB3FEF">
        <w:t xml:space="preserve"> annual auctions has been phenomenal</w:t>
      </w:r>
      <w:r w:rsidR="00903F6A">
        <w:t>, as shown in t</w:t>
      </w:r>
      <w:r w:rsidR="00790E48">
        <w:t>he following table and chart:</w:t>
      </w:r>
    </w:p>
    <w:p w:rsidR="003F681A" w:rsidRPr="00CB3FEF" w:rsidRDefault="003F681A" w:rsidP="004300BA">
      <w:pPr>
        <w:pStyle w:val="ProposalBody"/>
        <w:ind w:firstLine="0"/>
        <w:jc w:val="center"/>
      </w:pPr>
      <w:r>
        <w:t>Auction Distribution for Selected Charities</w:t>
      </w:r>
    </w:p>
    <w:tbl>
      <w:tblPr>
        <w:tblStyle w:val="TableGrid"/>
        <w:tblW w:w="0" w:type="auto"/>
        <w:jc w:val="center"/>
        <w:tblLook w:val="06E0"/>
      </w:tblPr>
      <w:tblGrid>
        <w:gridCol w:w="1678"/>
        <w:gridCol w:w="2078"/>
        <w:gridCol w:w="1879"/>
        <w:gridCol w:w="1512"/>
        <w:gridCol w:w="1512"/>
      </w:tblGrid>
      <w:tr w:rsidR="00F605F8" w:rsidTr="004300BA">
        <w:trPr>
          <w:jc w:val="center"/>
        </w:trPr>
        <w:tc>
          <w:tcPr>
            <w:tcW w:w="0" w:type="auto"/>
          </w:tcPr>
          <w:p w:rsidR="00F605F8" w:rsidRDefault="00F605F8" w:rsidP="00B20787">
            <w:pPr>
              <w:rPr>
                <w:sz w:val="32"/>
              </w:rPr>
            </w:pPr>
          </w:p>
          <w:p w:rsidR="00F605F8" w:rsidRDefault="00F605F8" w:rsidP="00B20787">
            <w:pPr>
              <w:rPr>
                <w:sz w:val="32"/>
              </w:rPr>
            </w:pPr>
          </w:p>
        </w:tc>
        <w:tc>
          <w:tcPr>
            <w:tcW w:w="2078" w:type="dxa"/>
          </w:tcPr>
          <w:p w:rsidR="00F605F8" w:rsidRDefault="00F605F8" w:rsidP="008B6F54">
            <w:pPr>
              <w:jc w:val="center"/>
              <w:rPr>
                <w:sz w:val="32"/>
              </w:rPr>
            </w:pPr>
          </w:p>
        </w:tc>
        <w:tc>
          <w:tcPr>
            <w:tcW w:w="1879" w:type="dxa"/>
          </w:tcPr>
          <w:p w:rsidR="00F605F8" w:rsidRDefault="00F605F8" w:rsidP="008B6F54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Cancer</w:t>
            </w:r>
          </w:p>
          <w:p w:rsidR="00F605F8" w:rsidRDefault="00F605F8" w:rsidP="008B6F54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Alliance</w:t>
            </w:r>
          </w:p>
        </w:tc>
        <w:tc>
          <w:tcPr>
            <w:tcW w:w="0" w:type="auto"/>
          </w:tcPr>
          <w:p w:rsidR="00F605F8" w:rsidRDefault="00F605F8" w:rsidP="008B6F54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Diabetes</w:t>
            </w:r>
          </w:p>
          <w:p w:rsidR="00F605F8" w:rsidRDefault="00F605F8" w:rsidP="008B6F54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League</w:t>
            </w:r>
          </w:p>
        </w:tc>
        <w:tc>
          <w:tcPr>
            <w:tcW w:w="0" w:type="auto"/>
          </w:tcPr>
          <w:p w:rsidR="00F605F8" w:rsidRDefault="00F605F8" w:rsidP="00CB3F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Heart</w:t>
            </w:r>
          </w:p>
          <w:p w:rsidR="00F605F8" w:rsidRDefault="00F605F8" w:rsidP="00CB3F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Society</w:t>
            </w:r>
          </w:p>
        </w:tc>
      </w:tr>
      <w:tr w:rsidR="00F605F8" w:rsidTr="004300BA">
        <w:trPr>
          <w:jc w:val="center"/>
        </w:trPr>
        <w:tc>
          <w:tcPr>
            <w:tcW w:w="0" w:type="auto"/>
          </w:tcPr>
          <w:p w:rsidR="00F605F8" w:rsidRDefault="00F605F8" w:rsidP="00B207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Pr="009D10B8">
              <w:rPr>
                <w:sz w:val="32"/>
                <w:vertAlign w:val="superscript"/>
              </w:rPr>
              <w:t>st</w:t>
            </w:r>
            <w:r w:rsidRPr="00F605F8">
              <w:rPr>
                <w:sz w:val="32"/>
              </w:rPr>
              <w:t xml:space="preserve"> </w:t>
            </w:r>
            <w:r>
              <w:rPr>
                <w:sz w:val="32"/>
              </w:rPr>
              <w:t>Auction</w:t>
            </w:r>
          </w:p>
        </w:tc>
        <w:tc>
          <w:tcPr>
            <w:tcW w:w="2078" w:type="dxa"/>
          </w:tcPr>
          <w:p w:rsidR="00F605F8" w:rsidRDefault="00F605F8" w:rsidP="008B6F54">
            <w:pPr>
              <w:jc w:val="right"/>
              <w:rPr>
                <w:sz w:val="32"/>
              </w:rPr>
            </w:pPr>
          </w:p>
        </w:tc>
        <w:tc>
          <w:tcPr>
            <w:tcW w:w="1879" w:type="dxa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$4,383.23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$4,286.09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$5,383.38</w:t>
            </w:r>
          </w:p>
        </w:tc>
      </w:tr>
      <w:tr w:rsidR="00F605F8" w:rsidTr="004300BA">
        <w:trPr>
          <w:jc w:val="center"/>
        </w:trPr>
        <w:tc>
          <w:tcPr>
            <w:tcW w:w="0" w:type="auto"/>
          </w:tcPr>
          <w:p w:rsidR="00F605F8" w:rsidRDefault="00F605F8" w:rsidP="00B20787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Pr="009D10B8">
              <w:rPr>
                <w:sz w:val="32"/>
                <w:vertAlign w:val="superscript"/>
              </w:rPr>
              <w:t>nd</w:t>
            </w:r>
            <w:r>
              <w:rPr>
                <w:sz w:val="32"/>
              </w:rPr>
              <w:t xml:space="preserve"> Auction</w:t>
            </w:r>
          </w:p>
        </w:tc>
        <w:tc>
          <w:tcPr>
            <w:tcW w:w="2078" w:type="dxa"/>
          </w:tcPr>
          <w:p w:rsidR="00F605F8" w:rsidRDefault="00F605F8" w:rsidP="008B6F54">
            <w:pPr>
              <w:jc w:val="right"/>
              <w:rPr>
                <w:sz w:val="32"/>
              </w:rPr>
            </w:pPr>
          </w:p>
        </w:tc>
        <w:tc>
          <w:tcPr>
            <w:tcW w:w="1879" w:type="dxa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$5,271.12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$5,091.27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$5,998.86</w:t>
            </w:r>
          </w:p>
        </w:tc>
      </w:tr>
      <w:tr w:rsidR="00F605F8" w:rsidTr="004300BA">
        <w:trPr>
          <w:jc w:val="center"/>
        </w:trPr>
        <w:tc>
          <w:tcPr>
            <w:tcW w:w="0" w:type="auto"/>
          </w:tcPr>
          <w:p w:rsidR="00F605F8" w:rsidRDefault="00F605F8" w:rsidP="00B2078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Pr="009D10B8">
              <w:rPr>
                <w:sz w:val="32"/>
                <w:vertAlign w:val="superscript"/>
              </w:rPr>
              <w:t>rd</w:t>
            </w:r>
            <w:r w:rsidRPr="00F605F8">
              <w:rPr>
                <w:sz w:val="32"/>
              </w:rPr>
              <w:t xml:space="preserve"> </w:t>
            </w:r>
            <w:r>
              <w:rPr>
                <w:sz w:val="32"/>
              </w:rPr>
              <w:t>Auction</w:t>
            </w:r>
          </w:p>
        </w:tc>
        <w:tc>
          <w:tcPr>
            <w:tcW w:w="2078" w:type="dxa"/>
          </w:tcPr>
          <w:p w:rsidR="00F605F8" w:rsidRDefault="00F605F8" w:rsidP="008B6F54">
            <w:pPr>
              <w:jc w:val="right"/>
              <w:rPr>
                <w:sz w:val="32"/>
              </w:rPr>
            </w:pPr>
          </w:p>
        </w:tc>
        <w:tc>
          <w:tcPr>
            <w:tcW w:w="1879" w:type="dxa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$5,889.33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$5,331.67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$6,039.22</w:t>
            </w:r>
          </w:p>
        </w:tc>
      </w:tr>
      <w:tr w:rsidR="00F605F8" w:rsidTr="004300BA">
        <w:trPr>
          <w:jc w:val="center"/>
        </w:trPr>
        <w:tc>
          <w:tcPr>
            <w:tcW w:w="0" w:type="auto"/>
          </w:tcPr>
          <w:p w:rsidR="00F605F8" w:rsidRDefault="00F605F8" w:rsidP="00B20787">
            <w:pPr>
              <w:rPr>
                <w:sz w:val="32"/>
              </w:rPr>
            </w:pPr>
            <w:r>
              <w:rPr>
                <w:sz w:val="32"/>
              </w:rPr>
              <w:t>4</w:t>
            </w:r>
            <w:r w:rsidRPr="009D10B8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Auction</w:t>
            </w:r>
          </w:p>
        </w:tc>
        <w:tc>
          <w:tcPr>
            <w:tcW w:w="2078" w:type="dxa"/>
          </w:tcPr>
          <w:p w:rsidR="00F605F8" w:rsidRDefault="00F605F8" w:rsidP="008B6F54">
            <w:pPr>
              <w:jc w:val="right"/>
              <w:rPr>
                <w:sz w:val="32"/>
              </w:rPr>
            </w:pPr>
          </w:p>
        </w:tc>
        <w:tc>
          <w:tcPr>
            <w:tcW w:w="1879" w:type="dxa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$6,553.21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$6,211.28</w:t>
            </w:r>
          </w:p>
        </w:tc>
        <w:tc>
          <w:tcPr>
            <w:tcW w:w="0" w:type="auto"/>
          </w:tcPr>
          <w:p w:rsidR="00F605F8" w:rsidRDefault="00F605F8" w:rsidP="00F605F8">
            <w:pPr>
              <w:rPr>
                <w:sz w:val="32"/>
              </w:rPr>
            </w:pPr>
            <w:r>
              <w:rPr>
                <w:sz w:val="32"/>
              </w:rPr>
              <w:t>$7,182.32</w:t>
            </w:r>
          </w:p>
        </w:tc>
      </w:tr>
    </w:tbl>
    <w:p w:rsidR="00B20787" w:rsidRDefault="00915720" w:rsidP="00903F6A">
      <w:pPr>
        <w:pStyle w:val="ProposalBody"/>
      </w:pPr>
      <w:r>
        <w:t>For every item sold at the auction, the donor and the buyer each specify a charity to which they want the proceeds directed. If the donor and buyer identify two separate organizations, Knoll Springs Community Club send</w:t>
      </w:r>
      <w:r w:rsidR="00A37511">
        <w:t>s</w:t>
      </w:r>
      <w:r>
        <w:t xml:space="preserve"> 50 percent of the proceeds to each charity. If the donor and buyer identify the same organization, the specified charity receive</w:t>
      </w:r>
      <w:r w:rsidR="00A37511">
        <w:t>s</w:t>
      </w:r>
      <w:r>
        <w:t xml:space="preserve"> 100 percent of the proceeds.</w:t>
      </w:r>
    </w:p>
    <w:p w:rsidR="009D10B8" w:rsidRDefault="009D10B8">
      <w:pPr>
        <w:rPr>
          <w:sz w:val="32"/>
        </w:rPr>
      </w:pPr>
      <w:r>
        <w:br w:type="page"/>
      </w:r>
    </w:p>
    <w:p w:rsidR="00915720" w:rsidRDefault="00915720" w:rsidP="00903F6A">
      <w:pPr>
        <w:pStyle w:val="ProposalBody"/>
      </w:pPr>
      <w:r>
        <w:t>Auctioneers will sell item</w:t>
      </w:r>
      <w:r w:rsidR="00B07329">
        <w:t>s</w:t>
      </w:r>
      <w:r>
        <w:t xml:space="preserve"> that </w:t>
      </w:r>
      <w:r w:rsidR="00B07329">
        <w:t>are</w:t>
      </w:r>
      <w:r>
        <w:t xml:space="preserve"> new or in like-new condition or antique</w:t>
      </w:r>
      <w:r w:rsidR="002040E6">
        <w:t>s</w:t>
      </w:r>
      <w:r>
        <w:t xml:space="preserve">. </w:t>
      </w:r>
      <w:r w:rsidR="00B07329">
        <w:t xml:space="preserve">Auction </w:t>
      </w:r>
      <w:r w:rsidR="007C1026">
        <w:t>categories</w:t>
      </w:r>
      <w:r>
        <w:t xml:space="preserve"> include, but are not limited to, the following:</w:t>
      </w:r>
    </w:p>
    <w:p w:rsidR="00915720" w:rsidRPr="009D10B8" w:rsidRDefault="00915720" w:rsidP="009D10B8">
      <w:pPr>
        <w:pStyle w:val="ListParagraph"/>
        <w:numPr>
          <w:ilvl w:val="0"/>
          <w:numId w:val="3"/>
        </w:numPr>
        <w:rPr>
          <w:sz w:val="32"/>
        </w:rPr>
      </w:pPr>
      <w:r w:rsidRPr="00431A31">
        <w:rPr>
          <w:b/>
          <w:color w:val="AA0042" w:themeColor="accent2" w:themeShade="BF"/>
          <w:sz w:val="32"/>
        </w:rPr>
        <w:t>Art:</w:t>
      </w:r>
      <w:r w:rsidR="000A5962" w:rsidRPr="009D10B8">
        <w:rPr>
          <w:sz w:val="32"/>
        </w:rPr>
        <w:t xml:space="preserve"> figurines, paintings, photographs, pottery, statues</w:t>
      </w:r>
    </w:p>
    <w:p w:rsidR="00915720" w:rsidRPr="009D10B8" w:rsidRDefault="00915720" w:rsidP="009D10B8">
      <w:pPr>
        <w:pStyle w:val="ListParagraph"/>
        <w:numPr>
          <w:ilvl w:val="0"/>
          <w:numId w:val="3"/>
        </w:numPr>
        <w:rPr>
          <w:sz w:val="32"/>
        </w:rPr>
      </w:pPr>
      <w:r w:rsidRPr="009D10B8">
        <w:rPr>
          <w:sz w:val="32"/>
        </w:rPr>
        <w:t>Electronics:</w:t>
      </w:r>
      <w:r w:rsidR="000A5962" w:rsidRPr="009D10B8">
        <w:rPr>
          <w:sz w:val="44"/>
        </w:rPr>
        <w:t xml:space="preserve"> </w:t>
      </w:r>
      <w:r w:rsidR="003C69B2" w:rsidRPr="009D10B8">
        <w:rPr>
          <w:sz w:val="32"/>
        </w:rPr>
        <w:t>computers</w:t>
      </w:r>
      <w:r w:rsidR="005E2E89" w:rsidRPr="009D10B8">
        <w:rPr>
          <w:sz w:val="32"/>
        </w:rPr>
        <w:t xml:space="preserve">, </w:t>
      </w:r>
      <w:r w:rsidR="003C69B2" w:rsidRPr="009D10B8">
        <w:rPr>
          <w:sz w:val="32"/>
        </w:rPr>
        <w:t xml:space="preserve">printers, </w:t>
      </w:r>
      <w:r w:rsidR="00A442FA" w:rsidRPr="009D10B8">
        <w:rPr>
          <w:sz w:val="32"/>
        </w:rPr>
        <w:t xml:space="preserve">scanners, </w:t>
      </w:r>
      <w:r w:rsidR="005E2E89" w:rsidRPr="009D10B8">
        <w:rPr>
          <w:sz w:val="32"/>
        </w:rPr>
        <w:t>cameras</w:t>
      </w:r>
    </w:p>
    <w:p w:rsidR="000A5962" w:rsidRPr="009D10B8" w:rsidRDefault="000A5962" w:rsidP="009D10B8">
      <w:pPr>
        <w:pStyle w:val="ListParagraph"/>
        <w:numPr>
          <w:ilvl w:val="0"/>
          <w:numId w:val="3"/>
        </w:numPr>
        <w:rPr>
          <w:sz w:val="32"/>
        </w:rPr>
      </w:pPr>
      <w:r w:rsidRPr="009D10B8">
        <w:rPr>
          <w:sz w:val="32"/>
        </w:rPr>
        <w:t>Entertainment:</w:t>
      </w:r>
      <w:r w:rsidR="005E2E89" w:rsidRPr="009D10B8">
        <w:rPr>
          <w:b/>
          <w:sz w:val="44"/>
        </w:rPr>
        <w:t xml:space="preserve"> </w:t>
      </w:r>
      <w:r w:rsidR="005E2E89" w:rsidRPr="009D10B8">
        <w:rPr>
          <w:sz w:val="32"/>
        </w:rPr>
        <w:t>books, movies, music</w:t>
      </w:r>
      <w:r w:rsidR="00184791" w:rsidRPr="009D10B8">
        <w:rPr>
          <w:sz w:val="32"/>
        </w:rPr>
        <w:t>, games</w:t>
      </w:r>
    </w:p>
    <w:p w:rsidR="000A5962" w:rsidRPr="009D10B8" w:rsidRDefault="000A5962" w:rsidP="009D10B8">
      <w:pPr>
        <w:pStyle w:val="ListParagraph"/>
        <w:numPr>
          <w:ilvl w:val="0"/>
          <w:numId w:val="3"/>
        </w:numPr>
        <w:rPr>
          <w:sz w:val="32"/>
        </w:rPr>
      </w:pPr>
      <w:r w:rsidRPr="009D10B8">
        <w:rPr>
          <w:sz w:val="32"/>
        </w:rPr>
        <w:t>Home and Garden:</w:t>
      </w:r>
      <w:r w:rsidR="005E2E89" w:rsidRPr="009D10B8">
        <w:rPr>
          <w:sz w:val="44"/>
        </w:rPr>
        <w:t xml:space="preserve"> </w:t>
      </w:r>
      <w:r w:rsidR="005E2E89" w:rsidRPr="009D10B8">
        <w:rPr>
          <w:sz w:val="32"/>
        </w:rPr>
        <w:t>appliances, clocks, tools</w:t>
      </w:r>
    </w:p>
    <w:p w:rsidR="000A5962" w:rsidRPr="009D10B8" w:rsidRDefault="000A5962" w:rsidP="009D10B8">
      <w:pPr>
        <w:pStyle w:val="ListParagraph"/>
        <w:numPr>
          <w:ilvl w:val="0"/>
          <w:numId w:val="3"/>
        </w:numPr>
        <w:rPr>
          <w:sz w:val="32"/>
        </w:rPr>
      </w:pPr>
      <w:r w:rsidRPr="009D10B8">
        <w:rPr>
          <w:sz w:val="32"/>
        </w:rPr>
        <w:t>Outdoor Equipment:</w:t>
      </w:r>
      <w:r w:rsidR="005E2E89" w:rsidRPr="009D10B8">
        <w:rPr>
          <w:sz w:val="44"/>
        </w:rPr>
        <w:t xml:space="preserve"> </w:t>
      </w:r>
      <w:r w:rsidR="005E2E89" w:rsidRPr="009D10B8">
        <w:rPr>
          <w:sz w:val="32"/>
        </w:rPr>
        <w:t>bicycles, golf clubs, tents, boats</w:t>
      </w:r>
    </w:p>
    <w:p w:rsidR="005E2E89" w:rsidRDefault="005E2E89" w:rsidP="003C69B2">
      <w:pPr>
        <w:pStyle w:val="ProposalBody"/>
      </w:pPr>
      <w:r>
        <w:t>We also are requesting the assistance of volunteers before and during the auction</w:t>
      </w:r>
      <w:r w:rsidR="007C1026">
        <w:t>,</w:t>
      </w:r>
      <w:r w:rsidR="00790E48">
        <w:t xml:space="preserve"> as outlined in the table below:</w:t>
      </w:r>
    </w:p>
    <w:p w:rsidR="00915720" w:rsidRPr="00B20787" w:rsidRDefault="007C1026" w:rsidP="009D10B8">
      <w:pPr>
        <w:pStyle w:val="ProposalBody"/>
      </w:pPr>
      <w:r>
        <w:t xml:space="preserve">If you are interested in donating items or volunteering your time for this auction, please contact Mark </w:t>
      </w:r>
      <w:r w:rsidR="002040E6">
        <w:t>Kane</w:t>
      </w:r>
      <w:r>
        <w:t xml:space="preserve"> at 555-3828. Thank you</w:t>
      </w:r>
      <w:r w:rsidR="009D10B8">
        <w:t xml:space="preserve"> very much</w:t>
      </w:r>
      <w:r>
        <w:t>!</w:t>
      </w:r>
    </w:p>
    <w:sectPr w:rsidR="00915720" w:rsidRPr="00B20787" w:rsidSect="00216401">
      <w:footerReference w:type="default" r:id="rId8"/>
      <w:pgSz w:w="12240" w:h="15840" w:code="1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401" w:rsidRDefault="00216401" w:rsidP="0065098E">
      <w:pPr>
        <w:spacing w:after="0" w:line="240" w:lineRule="auto"/>
      </w:pPr>
      <w:r>
        <w:separator/>
      </w:r>
    </w:p>
  </w:endnote>
  <w:endnote w:type="continuationSeparator" w:id="1">
    <w:p w:rsidR="00216401" w:rsidRDefault="00216401" w:rsidP="0065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401" w:rsidRPr="00F314C4" w:rsidRDefault="00216401" w:rsidP="00F314C4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401" w:rsidRDefault="00216401" w:rsidP="0065098E">
      <w:pPr>
        <w:spacing w:after="0" w:line="240" w:lineRule="auto"/>
      </w:pPr>
      <w:r>
        <w:separator/>
      </w:r>
    </w:p>
  </w:footnote>
  <w:footnote w:type="continuationSeparator" w:id="1">
    <w:p w:rsidR="00216401" w:rsidRDefault="00216401" w:rsidP="0065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55" type="#_x0000_t75" style="width:11.15pt;height:11.15pt" o:bullet="t">
        <v:imagedata r:id="rId1" o:title="BD14529_"/>
      </v:shape>
    </w:pict>
  </w:numPicBullet>
  <w:numPicBullet w:numPicBulletId="1">
    <w:pict>
      <v:shape id="_x0000_i2356" type="#_x0000_t75" style="width:8.7pt;height:8.7pt" o:bullet="t">
        <v:imagedata r:id="rId2" o:title="BD14795_"/>
      </v:shape>
    </w:pict>
  </w:numPicBullet>
  <w:abstractNum w:abstractNumId="0">
    <w:nsid w:val="160C6E8E"/>
    <w:multiLevelType w:val="hybridMultilevel"/>
    <w:tmpl w:val="87B0DA9C"/>
    <w:lvl w:ilvl="0" w:tplc="0C569A6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7F7D96"/>
    <w:multiLevelType w:val="hybridMultilevel"/>
    <w:tmpl w:val="3D72AAAA"/>
    <w:lvl w:ilvl="0" w:tplc="E2F08FD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D8434AE"/>
    <w:multiLevelType w:val="hybridMultilevel"/>
    <w:tmpl w:val="5330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0"/>
    <w:footnote w:id="1"/>
  </w:footnotePr>
  <w:endnotePr>
    <w:endnote w:id="0"/>
    <w:endnote w:id="1"/>
  </w:endnotePr>
  <w:compat/>
  <w:rsids>
    <w:rsidRoot w:val="000818AB"/>
    <w:rsid w:val="00032D42"/>
    <w:rsid w:val="00052FA4"/>
    <w:rsid w:val="000617CF"/>
    <w:rsid w:val="000818AB"/>
    <w:rsid w:val="00095F3A"/>
    <w:rsid w:val="000A4EF7"/>
    <w:rsid w:val="000A5962"/>
    <w:rsid w:val="000D3E82"/>
    <w:rsid w:val="000F7E83"/>
    <w:rsid w:val="001012C5"/>
    <w:rsid w:val="00104586"/>
    <w:rsid w:val="0013178B"/>
    <w:rsid w:val="00140F26"/>
    <w:rsid w:val="00153F63"/>
    <w:rsid w:val="001644D6"/>
    <w:rsid w:val="00184791"/>
    <w:rsid w:val="001863D3"/>
    <w:rsid w:val="00193A93"/>
    <w:rsid w:val="001C0C35"/>
    <w:rsid w:val="001D4ED6"/>
    <w:rsid w:val="001E0F75"/>
    <w:rsid w:val="001E4E7D"/>
    <w:rsid w:val="002040E6"/>
    <w:rsid w:val="00210F78"/>
    <w:rsid w:val="00216401"/>
    <w:rsid w:val="00220E8B"/>
    <w:rsid w:val="0024551F"/>
    <w:rsid w:val="00251724"/>
    <w:rsid w:val="00261E97"/>
    <w:rsid w:val="00297C02"/>
    <w:rsid w:val="002B7878"/>
    <w:rsid w:val="002E5A56"/>
    <w:rsid w:val="003C69B2"/>
    <w:rsid w:val="003F1404"/>
    <w:rsid w:val="003F681A"/>
    <w:rsid w:val="004300BA"/>
    <w:rsid w:val="00431A31"/>
    <w:rsid w:val="00452C45"/>
    <w:rsid w:val="004576F0"/>
    <w:rsid w:val="004C706C"/>
    <w:rsid w:val="00537291"/>
    <w:rsid w:val="005A4DD0"/>
    <w:rsid w:val="005C66A0"/>
    <w:rsid w:val="005E2E89"/>
    <w:rsid w:val="0065098E"/>
    <w:rsid w:val="006539B1"/>
    <w:rsid w:val="006B70BA"/>
    <w:rsid w:val="006C1716"/>
    <w:rsid w:val="006D3A08"/>
    <w:rsid w:val="006F7832"/>
    <w:rsid w:val="00751495"/>
    <w:rsid w:val="00754911"/>
    <w:rsid w:val="00761565"/>
    <w:rsid w:val="00765CA4"/>
    <w:rsid w:val="00790E48"/>
    <w:rsid w:val="007C1026"/>
    <w:rsid w:val="00855491"/>
    <w:rsid w:val="00871407"/>
    <w:rsid w:val="008B6F54"/>
    <w:rsid w:val="008D4BED"/>
    <w:rsid w:val="00903F6A"/>
    <w:rsid w:val="00915720"/>
    <w:rsid w:val="00924E26"/>
    <w:rsid w:val="00941C2D"/>
    <w:rsid w:val="00950A7A"/>
    <w:rsid w:val="009D10B8"/>
    <w:rsid w:val="00A07AFB"/>
    <w:rsid w:val="00A15C1B"/>
    <w:rsid w:val="00A15DD2"/>
    <w:rsid w:val="00A31C05"/>
    <w:rsid w:val="00A37511"/>
    <w:rsid w:val="00A442FA"/>
    <w:rsid w:val="00AA378E"/>
    <w:rsid w:val="00AE4BCF"/>
    <w:rsid w:val="00B07329"/>
    <w:rsid w:val="00B20787"/>
    <w:rsid w:val="00B26B89"/>
    <w:rsid w:val="00BB3D35"/>
    <w:rsid w:val="00CB3FEF"/>
    <w:rsid w:val="00CD3EF3"/>
    <w:rsid w:val="00CD4597"/>
    <w:rsid w:val="00D15E8A"/>
    <w:rsid w:val="00D3372F"/>
    <w:rsid w:val="00D54129"/>
    <w:rsid w:val="00DA4CDF"/>
    <w:rsid w:val="00DA5042"/>
    <w:rsid w:val="00E070F0"/>
    <w:rsid w:val="00E35C96"/>
    <w:rsid w:val="00E63811"/>
    <w:rsid w:val="00EB5468"/>
    <w:rsid w:val="00EB7A03"/>
    <w:rsid w:val="00EF0120"/>
    <w:rsid w:val="00F04507"/>
    <w:rsid w:val="00F13869"/>
    <w:rsid w:val="00F314C4"/>
    <w:rsid w:val="00F605F8"/>
    <w:rsid w:val="00FC1F1A"/>
    <w:rsid w:val="00FE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A4"/>
  </w:style>
  <w:style w:type="paragraph" w:styleId="Heading1">
    <w:name w:val="heading 1"/>
    <w:basedOn w:val="Normal"/>
    <w:next w:val="Normal"/>
    <w:link w:val="Heading1Char"/>
    <w:uiPriority w:val="9"/>
    <w:qFormat/>
    <w:rsid w:val="008B6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8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98E"/>
  </w:style>
  <w:style w:type="paragraph" w:styleId="Footer">
    <w:name w:val="footer"/>
    <w:basedOn w:val="Normal"/>
    <w:link w:val="FooterChar"/>
    <w:uiPriority w:val="99"/>
    <w:unhideWhenUsed/>
    <w:rsid w:val="0065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98E"/>
  </w:style>
  <w:style w:type="paragraph" w:styleId="NoSpacing">
    <w:name w:val="No Spacing"/>
    <w:link w:val="NoSpacingChar"/>
    <w:uiPriority w:val="1"/>
    <w:qFormat/>
    <w:rsid w:val="006B70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70BA"/>
    <w:rPr>
      <w:rFonts w:eastAsiaTheme="minorEastAsia"/>
    </w:rPr>
  </w:style>
  <w:style w:type="table" w:styleId="TableGrid">
    <w:name w:val="Table Grid"/>
    <w:basedOn w:val="TableNormal"/>
    <w:uiPriority w:val="59"/>
    <w:rsid w:val="00E07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D541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CFF" w:themeFill="accent5" w:themeFillTint="33"/>
    </w:tcPr>
    <w:tblStylePr w:type="firstRow">
      <w:rPr>
        <w:b/>
        <w:bCs/>
      </w:rPr>
      <w:tblPr/>
      <w:tcPr>
        <w:shd w:val="clear" w:color="auto" w:fill="87BA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shd w:val="clear" w:color="auto" w:fill="6AA9FF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8B6F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B2FF" w:themeFill="accent4" w:themeFillTint="33"/>
    </w:tcPr>
    <w:tblStylePr w:type="firstRow">
      <w:rPr>
        <w:b/>
        <w:bCs/>
      </w:rPr>
      <w:tblPr/>
      <w:tcPr>
        <w:shd w:val="clear" w:color="auto" w:fill="E26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6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shd w:val="clear" w:color="auto" w:fill="DB40FF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6F54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table" w:styleId="MediumGrid3-Accent6">
    <w:name w:val="Medium Grid 3 Accent 6"/>
    <w:basedOn w:val="TableNormal"/>
    <w:uiPriority w:val="69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8C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8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8FF" w:themeFill="accent6" w:themeFillTint="7F"/>
      </w:tcPr>
    </w:tblStylePr>
  </w:style>
  <w:style w:type="table" w:styleId="MediumShading2-Accent2">
    <w:name w:val="Medium Shading 2 Accent 2"/>
    <w:basedOn w:val="TableNormal"/>
    <w:uiPriority w:val="64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0F7E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FFF" w:themeFill="accent6" w:themeFillTint="33"/>
    </w:tcPr>
    <w:tblStylePr w:type="firstRow">
      <w:rPr>
        <w:b/>
        <w:bCs/>
      </w:rPr>
      <w:tblPr/>
      <w:tcPr>
        <w:shd w:val="clear" w:color="auto" w:fill="729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9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shd w:val="clear" w:color="auto" w:fill="4F88FF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2B7D" w:themeColor="accent2" w:themeTint="BF"/>
        <w:left w:val="single" w:sz="8" w:space="0" w:color="FF2B7D" w:themeColor="accent2" w:themeTint="BF"/>
        <w:bottom w:val="single" w:sz="8" w:space="0" w:color="FF2B7D" w:themeColor="accent2" w:themeTint="BF"/>
        <w:right w:val="single" w:sz="8" w:space="0" w:color="FF2B7D" w:themeColor="accent2" w:themeTint="BF"/>
        <w:insideH w:val="single" w:sz="8" w:space="0" w:color="FF2B7D" w:themeColor="accent2" w:themeTint="BF"/>
        <w:insideV w:val="single" w:sz="8" w:space="0" w:color="FF2B7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B7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table" w:styleId="DarkList-Accent2">
    <w:name w:val="Dark List Accent 2"/>
    <w:basedOn w:val="TableNormal"/>
    <w:uiPriority w:val="70"/>
    <w:rsid w:val="000F7E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00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00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004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</w:style>
  <w:style w:type="table" w:styleId="MediumGrid3-Accent2">
    <w:name w:val="Medium Grid 3 Accent 2"/>
    <w:basedOn w:val="TableNormal"/>
    <w:uiPriority w:val="69"/>
    <w:rsid w:val="000F7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2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2A8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0F7E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40059" w:themeColor="accent2"/>
        <w:left w:val="single" w:sz="4" w:space="0" w:color="E40059" w:themeColor="accent2"/>
        <w:bottom w:val="single" w:sz="4" w:space="0" w:color="E40059" w:themeColor="accent2"/>
        <w:right w:val="single" w:sz="4" w:space="0" w:color="E4005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00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0035" w:themeColor="accent2" w:themeShade="99"/>
          <w:insideV w:val="nil"/>
        </w:tcBorders>
        <w:shd w:val="clear" w:color="auto" w:fill="8800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0035" w:themeFill="accent2" w:themeFillShade="99"/>
      </w:tcPr>
    </w:tblStylePr>
    <w:tblStylePr w:type="band1Vert">
      <w:tblPr/>
      <w:tcPr>
        <w:shd w:val="clear" w:color="auto" w:fill="FF8EB9" w:themeFill="accent2" w:themeFillTint="66"/>
      </w:tcPr>
    </w:tblStylePr>
    <w:tblStylePr w:type="band1Horz">
      <w:tblPr/>
      <w:tcPr>
        <w:shd w:val="clear" w:color="auto" w:fill="FF72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2">
    <w:name w:val="Colorful Grid Accent 2"/>
    <w:basedOn w:val="TableNormal"/>
    <w:uiPriority w:val="73"/>
    <w:rsid w:val="000F7E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6DC" w:themeFill="accent2" w:themeFillTint="33"/>
    </w:tcPr>
    <w:tblStylePr w:type="firstRow">
      <w:rPr>
        <w:b/>
        <w:bCs/>
      </w:rPr>
      <w:tblPr/>
      <w:tcPr>
        <w:shd w:val="clear" w:color="auto" w:fill="FF8E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E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table" w:styleId="DarkList-Accent3">
    <w:name w:val="Dark List Accent 3"/>
    <w:basedOn w:val="TableNormal"/>
    <w:uiPriority w:val="70"/>
    <w:rsid w:val="00D3372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007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003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00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</w:style>
  <w:style w:type="table" w:styleId="ColorfulList-Accent4">
    <w:name w:val="Colorful List Accent 4"/>
    <w:basedOn w:val="TableNormal"/>
    <w:uiPriority w:val="72"/>
    <w:rsid w:val="00D3372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9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0065" w:themeFill="accent3" w:themeFillShade="CC"/>
      </w:tcPr>
    </w:tblStylePr>
    <w:tblStylePr w:type="lastRow">
      <w:rPr>
        <w:b/>
        <w:bCs/>
        <w:color w:val="7C006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3372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97E" w:themeFill="accent6" w:themeFillShade="CC"/>
      </w:tcPr>
    </w:tblStylePr>
    <w:tblStylePr w:type="lastRow">
      <w:rPr>
        <w:b/>
        <w:bCs/>
        <w:color w:val="0029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ColorfulList1">
    <w:name w:val="Colorful List1"/>
    <w:basedOn w:val="TableNormal"/>
    <w:uiPriority w:val="72"/>
    <w:rsid w:val="00D3372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A5962"/>
    <w:pPr>
      <w:ind w:left="720"/>
      <w:contextualSpacing/>
    </w:pPr>
  </w:style>
  <w:style w:type="paragraph" w:customStyle="1" w:styleId="ProposalBody">
    <w:name w:val="Proposal Body"/>
    <w:basedOn w:val="Normal"/>
    <w:rsid w:val="00903F6A"/>
    <w:pPr>
      <w:spacing w:after="0" w:line="360" w:lineRule="auto"/>
      <w:ind w:firstLine="720"/>
    </w:pPr>
    <w:rPr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odul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AE05E37-7AE0-458D-896A-380D0E4C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FIFTH ANNUAL KNOLL SPRINGS CHARITY AUCTION</vt:lpstr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FIFTH ANNUAL KNOLL SPRINGS CHARITY AUCTION</dc:title>
  <dc:creator>SC Series</dc:creator>
  <cp:lastModifiedBy>SC Series</cp:lastModifiedBy>
  <cp:revision>15</cp:revision>
  <cp:lastPrinted>2007-02-05T17:13:00Z</cp:lastPrinted>
  <dcterms:created xsi:type="dcterms:W3CDTF">2007-02-05T17:49:00Z</dcterms:created>
  <dcterms:modified xsi:type="dcterms:W3CDTF">2007-02-05T21:11:00Z</dcterms:modified>
</cp:coreProperties>
</file>