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474" w:rsidRDefault="00FF3474" w:rsidP="00245AC7">
      <w:pPr>
        <w:spacing w:line="360" w:lineRule="auto"/>
        <w:rPr>
          <w:sz w:val="24"/>
        </w:rPr>
      </w:pPr>
      <w:r>
        <w:rPr>
          <w:sz w:val="24"/>
        </w:rPr>
        <w:t>***** DRAFT - NEED TO FINISH ****</w:t>
      </w:r>
    </w:p>
    <w:p w:rsidR="00111773" w:rsidRPr="00245AC7" w:rsidRDefault="00DF17E9" w:rsidP="00245AC7">
      <w:pPr>
        <w:spacing w:line="360" w:lineRule="auto"/>
        <w:rPr>
          <w:sz w:val="24"/>
        </w:rPr>
      </w:pPr>
      <w:r w:rsidRPr="00245AC7">
        <w:rPr>
          <w:sz w:val="24"/>
        </w:rPr>
        <w:t xml:space="preserve">On March 10, </w:t>
      </w:r>
      <w:r w:rsidR="00111773" w:rsidRPr="00245AC7">
        <w:rPr>
          <w:sz w:val="24"/>
        </w:rPr>
        <w:t xml:space="preserve">voters will have a voice in an important matter that impacts all the children in the school district. The vote will determine whether </w:t>
      </w:r>
      <w:r w:rsidR="004E7DEB" w:rsidRPr="00245AC7">
        <w:rPr>
          <w:sz w:val="24"/>
        </w:rPr>
        <w:t>Ash</w:t>
      </w:r>
      <w:r w:rsidR="00111773" w:rsidRPr="00245AC7">
        <w:rPr>
          <w:sz w:val="24"/>
        </w:rPr>
        <w:t>ton</w:t>
      </w:r>
      <w:r w:rsidR="00C21B27" w:rsidRPr="00245AC7">
        <w:rPr>
          <w:sz w:val="24"/>
        </w:rPr>
        <w:t xml:space="preserve"> Community Sc</w:t>
      </w:r>
      <w:r w:rsidR="00111773" w:rsidRPr="00245AC7">
        <w:rPr>
          <w:sz w:val="24"/>
        </w:rPr>
        <w:t>hools will be redistricted</w:t>
      </w:r>
      <w:r w:rsidR="004E7DEB" w:rsidRPr="00245AC7">
        <w:rPr>
          <w:sz w:val="24"/>
        </w:rPr>
        <w:t>. By voting yes, you will impact elementary school children in a positive way.</w:t>
      </w:r>
    </w:p>
    <w:p w:rsidR="00111773" w:rsidRPr="00245AC7" w:rsidRDefault="0092581C" w:rsidP="00245AC7">
      <w:pPr>
        <w:spacing w:line="360" w:lineRule="auto"/>
        <w:rPr>
          <w:sz w:val="24"/>
        </w:rPr>
      </w:pPr>
      <w:r w:rsidRPr="00245AC7">
        <w:rPr>
          <w:sz w:val="24"/>
        </w:rPr>
        <w:t xml:space="preserve">In the past 20 years, our community has grown exponentially. As a direct result of that growth, our school system also has grown. Enrollment has increased at all </w:t>
      </w:r>
      <w:r w:rsidR="00FE6854" w:rsidRPr="00245AC7">
        <w:rPr>
          <w:sz w:val="24"/>
        </w:rPr>
        <w:t xml:space="preserve">four </w:t>
      </w:r>
      <w:r w:rsidRPr="00245AC7">
        <w:rPr>
          <w:sz w:val="24"/>
        </w:rPr>
        <w:t xml:space="preserve">elementary schools, </w:t>
      </w:r>
      <w:r w:rsidR="00FE6854" w:rsidRPr="00245AC7">
        <w:rPr>
          <w:sz w:val="24"/>
        </w:rPr>
        <w:t xml:space="preserve">both </w:t>
      </w:r>
      <w:r w:rsidRPr="00245AC7">
        <w:rPr>
          <w:sz w:val="24"/>
        </w:rPr>
        <w:t xml:space="preserve">middle schools, and </w:t>
      </w:r>
      <w:r w:rsidR="00FE6854" w:rsidRPr="00245AC7">
        <w:rPr>
          <w:sz w:val="24"/>
        </w:rPr>
        <w:t xml:space="preserve">the </w:t>
      </w:r>
      <w:r w:rsidRPr="00245AC7">
        <w:rPr>
          <w:sz w:val="24"/>
        </w:rPr>
        <w:t>high school. This period of rapid growth and expansion has taxed our community’s resources dramatically.</w:t>
      </w:r>
      <w:r w:rsidR="00905239" w:rsidRPr="00245AC7">
        <w:rPr>
          <w:sz w:val="24"/>
        </w:rPr>
        <w:t xml:space="preserve"> </w:t>
      </w:r>
      <w:r w:rsidR="007E7CC6" w:rsidRPr="00245AC7">
        <w:rPr>
          <w:sz w:val="24"/>
        </w:rPr>
        <w:t>The following table</w:t>
      </w:r>
      <w:r w:rsidR="0085576D" w:rsidRPr="00245AC7">
        <w:rPr>
          <w:sz w:val="24"/>
        </w:rPr>
        <w:t xml:space="preserve"> and chart </w:t>
      </w:r>
      <w:r w:rsidR="00905239" w:rsidRPr="00245AC7">
        <w:rPr>
          <w:sz w:val="24"/>
        </w:rPr>
        <w:t xml:space="preserve">show the </w:t>
      </w:r>
      <w:r w:rsidR="00A028BB" w:rsidRPr="00245AC7">
        <w:rPr>
          <w:sz w:val="24"/>
        </w:rPr>
        <w:t xml:space="preserve">number of new homes built </w:t>
      </w:r>
      <w:r w:rsidR="00905239" w:rsidRPr="00245AC7">
        <w:rPr>
          <w:sz w:val="24"/>
        </w:rPr>
        <w:t>in the sch</w:t>
      </w:r>
      <w:r w:rsidR="00CB7252" w:rsidRPr="00245AC7">
        <w:rPr>
          <w:sz w:val="24"/>
        </w:rPr>
        <w:t>ool district in the past f</w:t>
      </w:r>
      <w:r w:rsidR="00903367" w:rsidRPr="00245AC7">
        <w:rPr>
          <w:sz w:val="24"/>
        </w:rPr>
        <w:t>our</w:t>
      </w:r>
      <w:r w:rsidR="00CB7252" w:rsidRPr="00245AC7">
        <w:rPr>
          <w:sz w:val="24"/>
        </w:rPr>
        <w:t xml:space="preserve"> years</w:t>
      </w:r>
      <w:r w:rsidR="00B0324F" w:rsidRPr="00245AC7">
        <w:rPr>
          <w:sz w:val="24"/>
        </w:rPr>
        <w:t>, by quadrant</w:t>
      </w:r>
      <w:r w:rsidR="0085576D" w:rsidRPr="00245AC7">
        <w:rPr>
          <w:sz w:val="24"/>
        </w:rPr>
        <w:t xml:space="preserve"> (north, south, east, and west)</w:t>
      </w:r>
      <w:r w:rsidR="00CB7252" w:rsidRPr="00245AC7">
        <w:rPr>
          <w:sz w:val="24"/>
        </w:rPr>
        <w:t>:</w:t>
      </w:r>
    </w:p>
    <w:tbl>
      <w:tblPr>
        <w:tblStyle w:val="TableGrid"/>
        <w:tblW w:w="0" w:type="auto"/>
        <w:tblLook w:val="04A0"/>
      </w:tblPr>
      <w:tblGrid>
        <w:gridCol w:w="1570"/>
        <w:gridCol w:w="1105"/>
        <w:gridCol w:w="1105"/>
        <w:gridCol w:w="1098"/>
        <w:gridCol w:w="1105"/>
        <w:gridCol w:w="1105"/>
        <w:gridCol w:w="991"/>
      </w:tblGrid>
      <w:tr w:rsidR="001637F5" w:rsidRPr="003A0A38" w:rsidTr="001637F5">
        <w:tc>
          <w:tcPr>
            <w:tcW w:w="0" w:type="auto"/>
          </w:tcPr>
          <w:p w:rsidR="001637F5" w:rsidRPr="003A0A38" w:rsidRDefault="001637F5" w:rsidP="007B2928">
            <w:pPr>
              <w:jc w:val="center"/>
              <w:rPr>
                <w:b/>
                <w:sz w:val="24"/>
                <w:szCs w:val="24"/>
              </w:rPr>
            </w:pPr>
            <w:r w:rsidRPr="003A0A38">
              <w:rPr>
                <w:b/>
                <w:sz w:val="24"/>
                <w:szCs w:val="24"/>
              </w:rPr>
              <w:t>Quadrant</w:t>
            </w:r>
          </w:p>
        </w:tc>
        <w:tc>
          <w:tcPr>
            <w:tcW w:w="0" w:type="auto"/>
          </w:tcPr>
          <w:p w:rsidR="001637F5" w:rsidRPr="003A0A38" w:rsidRDefault="001637F5" w:rsidP="007B2928">
            <w:pPr>
              <w:jc w:val="center"/>
              <w:rPr>
                <w:b/>
                <w:sz w:val="24"/>
                <w:szCs w:val="24"/>
              </w:rPr>
            </w:pPr>
            <w:r>
              <w:rPr>
                <w:b/>
                <w:sz w:val="24"/>
                <w:szCs w:val="24"/>
              </w:rPr>
              <w:t>Year 1</w:t>
            </w:r>
          </w:p>
        </w:tc>
        <w:tc>
          <w:tcPr>
            <w:tcW w:w="0" w:type="auto"/>
          </w:tcPr>
          <w:p w:rsidR="001637F5" w:rsidRPr="003A0A38" w:rsidRDefault="001637F5" w:rsidP="007B2928">
            <w:pPr>
              <w:rPr>
                <w:b/>
                <w:sz w:val="24"/>
                <w:szCs w:val="24"/>
              </w:rPr>
            </w:pPr>
            <w:r>
              <w:rPr>
                <w:b/>
                <w:sz w:val="24"/>
                <w:szCs w:val="24"/>
              </w:rPr>
              <w:t>Year 2</w:t>
            </w:r>
          </w:p>
        </w:tc>
        <w:tc>
          <w:tcPr>
            <w:tcW w:w="1098" w:type="dxa"/>
          </w:tcPr>
          <w:p w:rsidR="001637F5" w:rsidRDefault="001637F5" w:rsidP="007B2928">
            <w:pPr>
              <w:jc w:val="center"/>
              <w:rPr>
                <w:b/>
                <w:sz w:val="24"/>
                <w:szCs w:val="24"/>
              </w:rPr>
            </w:pPr>
          </w:p>
        </w:tc>
        <w:tc>
          <w:tcPr>
            <w:tcW w:w="0" w:type="auto"/>
          </w:tcPr>
          <w:p w:rsidR="001637F5" w:rsidRPr="003A0A38" w:rsidRDefault="001637F5" w:rsidP="007B2928">
            <w:pPr>
              <w:jc w:val="center"/>
              <w:rPr>
                <w:b/>
                <w:sz w:val="24"/>
                <w:szCs w:val="24"/>
              </w:rPr>
            </w:pPr>
            <w:r>
              <w:rPr>
                <w:b/>
                <w:sz w:val="24"/>
                <w:szCs w:val="24"/>
              </w:rPr>
              <w:t>Year 3</w:t>
            </w:r>
          </w:p>
        </w:tc>
        <w:tc>
          <w:tcPr>
            <w:tcW w:w="0" w:type="auto"/>
          </w:tcPr>
          <w:p w:rsidR="001637F5" w:rsidRPr="003A0A38" w:rsidRDefault="001637F5" w:rsidP="007B2928">
            <w:pPr>
              <w:jc w:val="center"/>
              <w:rPr>
                <w:b/>
                <w:sz w:val="24"/>
                <w:szCs w:val="24"/>
              </w:rPr>
            </w:pPr>
            <w:r>
              <w:rPr>
                <w:b/>
                <w:sz w:val="24"/>
                <w:szCs w:val="24"/>
              </w:rPr>
              <w:t>Year 4</w:t>
            </w:r>
          </w:p>
        </w:tc>
        <w:tc>
          <w:tcPr>
            <w:tcW w:w="0" w:type="auto"/>
          </w:tcPr>
          <w:p w:rsidR="001637F5" w:rsidRPr="003A0A38" w:rsidRDefault="001637F5" w:rsidP="007B2928">
            <w:pPr>
              <w:jc w:val="center"/>
              <w:rPr>
                <w:b/>
                <w:sz w:val="24"/>
                <w:szCs w:val="24"/>
              </w:rPr>
            </w:pPr>
            <w:r w:rsidRPr="003A0A38">
              <w:rPr>
                <w:b/>
                <w:sz w:val="24"/>
                <w:szCs w:val="24"/>
              </w:rPr>
              <w:t>Total</w:t>
            </w:r>
          </w:p>
        </w:tc>
      </w:tr>
      <w:tr w:rsidR="001637F5" w:rsidRPr="003A0A38" w:rsidTr="001637F5">
        <w:tc>
          <w:tcPr>
            <w:tcW w:w="0" w:type="auto"/>
          </w:tcPr>
          <w:p w:rsidR="001637F5" w:rsidRPr="003A0A38" w:rsidRDefault="001637F5" w:rsidP="007B2928">
            <w:pPr>
              <w:rPr>
                <w:b/>
                <w:sz w:val="24"/>
                <w:szCs w:val="24"/>
              </w:rPr>
            </w:pPr>
            <w:r w:rsidRPr="003A0A38">
              <w:rPr>
                <w:b/>
                <w:sz w:val="24"/>
                <w:szCs w:val="24"/>
              </w:rPr>
              <w:t>North</w:t>
            </w:r>
          </w:p>
        </w:tc>
        <w:tc>
          <w:tcPr>
            <w:tcW w:w="0" w:type="auto"/>
          </w:tcPr>
          <w:p w:rsidR="001637F5" w:rsidRPr="003A0A38" w:rsidRDefault="001637F5" w:rsidP="001637F5">
            <w:pPr>
              <w:rPr>
                <w:b/>
              </w:rPr>
            </w:pPr>
            <w:r w:rsidRPr="003A0A38">
              <w:rPr>
                <w:b/>
              </w:rPr>
              <w:t>95</w:t>
            </w:r>
          </w:p>
        </w:tc>
        <w:tc>
          <w:tcPr>
            <w:tcW w:w="0" w:type="auto"/>
          </w:tcPr>
          <w:p w:rsidR="001637F5" w:rsidRPr="003A0A38" w:rsidRDefault="001637F5" w:rsidP="001637F5">
            <w:pPr>
              <w:rPr>
                <w:b/>
              </w:rPr>
            </w:pPr>
            <w:r w:rsidRPr="003A0A38">
              <w:rPr>
                <w:b/>
              </w:rPr>
              <w:t>144</w:t>
            </w:r>
          </w:p>
        </w:tc>
        <w:tc>
          <w:tcPr>
            <w:tcW w:w="1098" w:type="dxa"/>
          </w:tcPr>
          <w:p w:rsidR="001637F5" w:rsidRPr="003A0A38" w:rsidRDefault="001637F5" w:rsidP="001637F5">
            <w:pPr>
              <w:rPr>
                <w:b/>
              </w:rPr>
            </w:pPr>
          </w:p>
        </w:tc>
        <w:tc>
          <w:tcPr>
            <w:tcW w:w="0" w:type="auto"/>
          </w:tcPr>
          <w:p w:rsidR="001637F5" w:rsidRPr="003A0A38" w:rsidRDefault="001637F5" w:rsidP="001637F5">
            <w:pPr>
              <w:rPr>
                <w:b/>
              </w:rPr>
            </w:pPr>
            <w:r w:rsidRPr="003A0A38">
              <w:rPr>
                <w:b/>
              </w:rPr>
              <w:t>123</w:t>
            </w:r>
          </w:p>
        </w:tc>
        <w:tc>
          <w:tcPr>
            <w:tcW w:w="0" w:type="auto"/>
          </w:tcPr>
          <w:p w:rsidR="001637F5" w:rsidRPr="003A0A38" w:rsidRDefault="001637F5" w:rsidP="001637F5">
            <w:pPr>
              <w:rPr>
                <w:b/>
              </w:rPr>
            </w:pPr>
            <w:r w:rsidRPr="003A0A38">
              <w:rPr>
                <w:b/>
              </w:rPr>
              <w:t>101</w:t>
            </w:r>
          </w:p>
        </w:tc>
        <w:tc>
          <w:tcPr>
            <w:tcW w:w="0" w:type="auto"/>
          </w:tcPr>
          <w:p w:rsidR="001637F5" w:rsidRPr="003A0A38" w:rsidRDefault="001637F5" w:rsidP="001637F5">
            <w:pPr>
              <w:rPr>
                <w:b/>
              </w:rPr>
            </w:pPr>
            <w:r w:rsidRPr="003A0A38">
              <w:rPr>
                <w:b/>
              </w:rPr>
              <w:t>463</w:t>
            </w:r>
          </w:p>
        </w:tc>
      </w:tr>
      <w:tr w:rsidR="001637F5" w:rsidRPr="003A0A38" w:rsidTr="001637F5">
        <w:tc>
          <w:tcPr>
            <w:tcW w:w="0" w:type="auto"/>
          </w:tcPr>
          <w:p w:rsidR="001637F5" w:rsidRPr="003A0A38" w:rsidRDefault="001637F5" w:rsidP="007B2928">
            <w:pPr>
              <w:rPr>
                <w:b/>
                <w:sz w:val="24"/>
                <w:szCs w:val="24"/>
              </w:rPr>
            </w:pPr>
            <w:r w:rsidRPr="003A0A38">
              <w:rPr>
                <w:b/>
                <w:sz w:val="24"/>
                <w:szCs w:val="24"/>
              </w:rPr>
              <w:t>South</w:t>
            </w:r>
          </w:p>
        </w:tc>
        <w:tc>
          <w:tcPr>
            <w:tcW w:w="0" w:type="auto"/>
          </w:tcPr>
          <w:p w:rsidR="001637F5" w:rsidRPr="003A0A38" w:rsidRDefault="001637F5" w:rsidP="001637F5">
            <w:pPr>
              <w:rPr>
                <w:b/>
              </w:rPr>
            </w:pPr>
            <w:r w:rsidRPr="003A0A38">
              <w:rPr>
                <w:b/>
              </w:rPr>
              <w:t>158</w:t>
            </w:r>
          </w:p>
        </w:tc>
        <w:tc>
          <w:tcPr>
            <w:tcW w:w="0" w:type="auto"/>
          </w:tcPr>
          <w:p w:rsidR="001637F5" w:rsidRPr="003A0A38" w:rsidRDefault="001637F5" w:rsidP="001637F5">
            <w:pPr>
              <w:rPr>
                <w:b/>
              </w:rPr>
            </w:pPr>
            <w:r w:rsidRPr="003A0A38">
              <w:rPr>
                <w:b/>
              </w:rPr>
              <w:t>180</w:t>
            </w:r>
          </w:p>
        </w:tc>
        <w:tc>
          <w:tcPr>
            <w:tcW w:w="1098" w:type="dxa"/>
          </w:tcPr>
          <w:p w:rsidR="001637F5" w:rsidRPr="003A0A38" w:rsidRDefault="001637F5" w:rsidP="001637F5">
            <w:pPr>
              <w:rPr>
                <w:b/>
              </w:rPr>
            </w:pPr>
          </w:p>
        </w:tc>
        <w:tc>
          <w:tcPr>
            <w:tcW w:w="0" w:type="auto"/>
          </w:tcPr>
          <w:p w:rsidR="001637F5" w:rsidRPr="003A0A38" w:rsidRDefault="001637F5" w:rsidP="001637F5">
            <w:pPr>
              <w:rPr>
                <w:b/>
              </w:rPr>
            </w:pPr>
            <w:r w:rsidRPr="003A0A38">
              <w:rPr>
                <w:b/>
              </w:rPr>
              <w:t>255</w:t>
            </w:r>
          </w:p>
        </w:tc>
        <w:tc>
          <w:tcPr>
            <w:tcW w:w="0" w:type="auto"/>
          </w:tcPr>
          <w:p w:rsidR="001637F5" w:rsidRPr="003A0A38" w:rsidRDefault="001637F5" w:rsidP="001637F5">
            <w:pPr>
              <w:rPr>
                <w:b/>
              </w:rPr>
            </w:pPr>
            <w:r w:rsidRPr="003A0A38">
              <w:rPr>
                <w:b/>
              </w:rPr>
              <w:t>310</w:t>
            </w:r>
          </w:p>
        </w:tc>
        <w:tc>
          <w:tcPr>
            <w:tcW w:w="0" w:type="auto"/>
          </w:tcPr>
          <w:p w:rsidR="001637F5" w:rsidRPr="003A0A38" w:rsidRDefault="001637F5" w:rsidP="001637F5">
            <w:pPr>
              <w:rPr>
                <w:b/>
              </w:rPr>
            </w:pPr>
            <w:r w:rsidRPr="003A0A38">
              <w:rPr>
                <w:b/>
              </w:rPr>
              <w:t>903</w:t>
            </w:r>
          </w:p>
        </w:tc>
      </w:tr>
      <w:tr w:rsidR="001637F5" w:rsidRPr="003A0A38" w:rsidTr="001637F5">
        <w:tc>
          <w:tcPr>
            <w:tcW w:w="0" w:type="auto"/>
          </w:tcPr>
          <w:p w:rsidR="001637F5" w:rsidRPr="003A0A38" w:rsidRDefault="001637F5" w:rsidP="001637F5">
            <w:pPr>
              <w:rPr>
                <w:b/>
                <w:sz w:val="24"/>
                <w:szCs w:val="24"/>
              </w:rPr>
            </w:pPr>
            <w:r w:rsidRPr="003A0A38">
              <w:rPr>
                <w:b/>
                <w:sz w:val="24"/>
                <w:szCs w:val="24"/>
              </w:rPr>
              <w:t>South</w:t>
            </w:r>
          </w:p>
        </w:tc>
        <w:tc>
          <w:tcPr>
            <w:tcW w:w="0" w:type="auto"/>
          </w:tcPr>
          <w:p w:rsidR="001637F5" w:rsidRPr="003A0A38" w:rsidRDefault="001637F5" w:rsidP="001637F5">
            <w:pPr>
              <w:rPr>
                <w:b/>
              </w:rPr>
            </w:pPr>
            <w:r w:rsidRPr="003A0A38">
              <w:rPr>
                <w:b/>
              </w:rPr>
              <w:t>158</w:t>
            </w:r>
          </w:p>
        </w:tc>
        <w:tc>
          <w:tcPr>
            <w:tcW w:w="0" w:type="auto"/>
          </w:tcPr>
          <w:p w:rsidR="001637F5" w:rsidRPr="003A0A38" w:rsidRDefault="001637F5" w:rsidP="001637F5">
            <w:pPr>
              <w:rPr>
                <w:b/>
              </w:rPr>
            </w:pPr>
            <w:r w:rsidRPr="003A0A38">
              <w:rPr>
                <w:b/>
              </w:rPr>
              <w:t>180</w:t>
            </w:r>
          </w:p>
        </w:tc>
        <w:tc>
          <w:tcPr>
            <w:tcW w:w="1098" w:type="dxa"/>
          </w:tcPr>
          <w:p w:rsidR="001637F5" w:rsidRPr="003A0A38" w:rsidRDefault="001637F5" w:rsidP="001637F5">
            <w:pPr>
              <w:rPr>
                <w:b/>
              </w:rPr>
            </w:pPr>
          </w:p>
        </w:tc>
        <w:tc>
          <w:tcPr>
            <w:tcW w:w="0" w:type="auto"/>
          </w:tcPr>
          <w:p w:rsidR="001637F5" w:rsidRPr="003A0A38" w:rsidRDefault="001637F5" w:rsidP="001637F5">
            <w:pPr>
              <w:rPr>
                <w:b/>
              </w:rPr>
            </w:pPr>
            <w:r w:rsidRPr="003A0A38">
              <w:rPr>
                <w:b/>
              </w:rPr>
              <w:t>255</w:t>
            </w:r>
          </w:p>
        </w:tc>
        <w:tc>
          <w:tcPr>
            <w:tcW w:w="0" w:type="auto"/>
          </w:tcPr>
          <w:p w:rsidR="001637F5" w:rsidRPr="003A0A38" w:rsidRDefault="001637F5" w:rsidP="001637F5">
            <w:pPr>
              <w:rPr>
                <w:b/>
              </w:rPr>
            </w:pPr>
            <w:r w:rsidRPr="003A0A38">
              <w:rPr>
                <w:b/>
              </w:rPr>
              <w:t>310</w:t>
            </w:r>
          </w:p>
        </w:tc>
        <w:tc>
          <w:tcPr>
            <w:tcW w:w="0" w:type="auto"/>
          </w:tcPr>
          <w:p w:rsidR="001637F5" w:rsidRPr="003A0A38" w:rsidRDefault="001637F5" w:rsidP="001637F5">
            <w:pPr>
              <w:rPr>
                <w:b/>
              </w:rPr>
            </w:pPr>
            <w:r w:rsidRPr="003A0A38">
              <w:rPr>
                <w:b/>
              </w:rPr>
              <w:t>903</w:t>
            </w:r>
          </w:p>
        </w:tc>
      </w:tr>
      <w:tr w:rsidR="001637F5" w:rsidRPr="003A0A38" w:rsidTr="001637F5">
        <w:tc>
          <w:tcPr>
            <w:tcW w:w="0" w:type="auto"/>
          </w:tcPr>
          <w:p w:rsidR="001637F5" w:rsidRPr="003A0A38" w:rsidRDefault="001637F5" w:rsidP="007B2928">
            <w:pPr>
              <w:rPr>
                <w:b/>
                <w:sz w:val="24"/>
                <w:szCs w:val="24"/>
              </w:rPr>
            </w:pPr>
            <w:r w:rsidRPr="003A0A38">
              <w:rPr>
                <w:b/>
                <w:sz w:val="24"/>
                <w:szCs w:val="24"/>
              </w:rPr>
              <w:t>East</w:t>
            </w:r>
          </w:p>
        </w:tc>
        <w:tc>
          <w:tcPr>
            <w:tcW w:w="0" w:type="auto"/>
          </w:tcPr>
          <w:p w:rsidR="001637F5" w:rsidRPr="003A0A38" w:rsidRDefault="001637F5" w:rsidP="001637F5">
            <w:pPr>
              <w:rPr>
                <w:b/>
              </w:rPr>
            </w:pPr>
            <w:r w:rsidRPr="003A0A38">
              <w:rPr>
                <w:b/>
              </w:rPr>
              <w:t>55</w:t>
            </w:r>
          </w:p>
        </w:tc>
        <w:tc>
          <w:tcPr>
            <w:tcW w:w="0" w:type="auto"/>
          </w:tcPr>
          <w:p w:rsidR="001637F5" w:rsidRPr="003A0A38" w:rsidRDefault="001637F5" w:rsidP="001637F5">
            <w:pPr>
              <w:rPr>
                <w:b/>
              </w:rPr>
            </w:pPr>
            <w:r w:rsidRPr="003A0A38">
              <w:rPr>
                <w:b/>
              </w:rPr>
              <w:t>70</w:t>
            </w:r>
          </w:p>
        </w:tc>
        <w:tc>
          <w:tcPr>
            <w:tcW w:w="1098" w:type="dxa"/>
          </w:tcPr>
          <w:p w:rsidR="001637F5" w:rsidRPr="003A0A38" w:rsidRDefault="001637F5" w:rsidP="001637F5">
            <w:pPr>
              <w:rPr>
                <w:b/>
              </w:rPr>
            </w:pPr>
          </w:p>
        </w:tc>
        <w:tc>
          <w:tcPr>
            <w:tcW w:w="0" w:type="auto"/>
          </w:tcPr>
          <w:p w:rsidR="001637F5" w:rsidRPr="003A0A38" w:rsidRDefault="001637F5" w:rsidP="001637F5">
            <w:pPr>
              <w:rPr>
                <w:b/>
              </w:rPr>
            </w:pPr>
            <w:r w:rsidRPr="003A0A38">
              <w:rPr>
                <w:b/>
              </w:rPr>
              <w:t>72</w:t>
            </w:r>
          </w:p>
        </w:tc>
        <w:tc>
          <w:tcPr>
            <w:tcW w:w="0" w:type="auto"/>
          </w:tcPr>
          <w:p w:rsidR="001637F5" w:rsidRPr="003A0A38" w:rsidRDefault="001637F5" w:rsidP="001637F5">
            <w:pPr>
              <w:rPr>
                <w:b/>
              </w:rPr>
            </w:pPr>
            <w:r w:rsidRPr="003A0A38">
              <w:rPr>
                <w:b/>
              </w:rPr>
              <w:t>64</w:t>
            </w:r>
          </w:p>
        </w:tc>
        <w:tc>
          <w:tcPr>
            <w:tcW w:w="0" w:type="auto"/>
          </w:tcPr>
          <w:p w:rsidR="001637F5" w:rsidRPr="003A0A38" w:rsidRDefault="001637F5" w:rsidP="001637F5">
            <w:pPr>
              <w:rPr>
                <w:b/>
              </w:rPr>
            </w:pPr>
            <w:r w:rsidRPr="003A0A38">
              <w:rPr>
                <w:b/>
              </w:rPr>
              <w:t>261</w:t>
            </w:r>
          </w:p>
        </w:tc>
      </w:tr>
      <w:tr w:rsidR="001637F5" w:rsidRPr="003A0A38" w:rsidTr="001637F5">
        <w:tc>
          <w:tcPr>
            <w:tcW w:w="0" w:type="auto"/>
          </w:tcPr>
          <w:p w:rsidR="001637F5" w:rsidRPr="003A0A38" w:rsidRDefault="001637F5" w:rsidP="007B2928">
            <w:pPr>
              <w:rPr>
                <w:b/>
                <w:sz w:val="24"/>
                <w:szCs w:val="24"/>
              </w:rPr>
            </w:pPr>
            <w:r w:rsidRPr="003A0A38">
              <w:rPr>
                <w:b/>
                <w:sz w:val="24"/>
                <w:szCs w:val="24"/>
              </w:rPr>
              <w:t>West</w:t>
            </w:r>
          </w:p>
        </w:tc>
        <w:tc>
          <w:tcPr>
            <w:tcW w:w="0" w:type="auto"/>
          </w:tcPr>
          <w:p w:rsidR="001637F5" w:rsidRPr="003A0A38" w:rsidRDefault="001637F5" w:rsidP="001637F5">
            <w:pPr>
              <w:rPr>
                <w:b/>
              </w:rPr>
            </w:pPr>
            <w:r w:rsidRPr="003A0A38">
              <w:rPr>
                <w:b/>
              </w:rPr>
              <w:t>104</w:t>
            </w:r>
          </w:p>
        </w:tc>
        <w:tc>
          <w:tcPr>
            <w:tcW w:w="0" w:type="auto"/>
          </w:tcPr>
          <w:p w:rsidR="001637F5" w:rsidRPr="003A0A38" w:rsidRDefault="001637F5" w:rsidP="001637F5">
            <w:pPr>
              <w:rPr>
                <w:b/>
              </w:rPr>
            </w:pPr>
            <w:r w:rsidRPr="003A0A38">
              <w:rPr>
                <w:b/>
              </w:rPr>
              <w:t>100</w:t>
            </w:r>
          </w:p>
        </w:tc>
        <w:tc>
          <w:tcPr>
            <w:tcW w:w="1098" w:type="dxa"/>
          </w:tcPr>
          <w:p w:rsidR="001637F5" w:rsidRPr="003A0A38" w:rsidRDefault="001637F5" w:rsidP="001637F5">
            <w:pPr>
              <w:rPr>
                <w:b/>
              </w:rPr>
            </w:pPr>
          </w:p>
        </w:tc>
        <w:tc>
          <w:tcPr>
            <w:tcW w:w="0" w:type="auto"/>
          </w:tcPr>
          <w:p w:rsidR="001637F5" w:rsidRPr="003A0A38" w:rsidRDefault="001637F5" w:rsidP="001637F5">
            <w:pPr>
              <w:rPr>
                <w:b/>
              </w:rPr>
            </w:pPr>
            <w:r w:rsidRPr="003A0A38">
              <w:rPr>
                <w:b/>
              </w:rPr>
              <w:t>112</w:t>
            </w:r>
          </w:p>
        </w:tc>
        <w:tc>
          <w:tcPr>
            <w:tcW w:w="0" w:type="auto"/>
          </w:tcPr>
          <w:p w:rsidR="001637F5" w:rsidRPr="003A0A38" w:rsidRDefault="001637F5" w:rsidP="001637F5">
            <w:pPr>
              <w:rPr>
                <w:b/>
              </w:rPr>
            </w:pPr>
            <w:r w:rsidRPr="003A0A38">
              <w:rPr>
                <w:b/>
              </w:rPr>
              <w:t>99</w:t>
            </w:r>
          </w:p>
        </w:tc>
        <w:tc>
          <w:tcPr>
            <w:tcW w:w="0" w:type="auto"/>
          </w:tcPr>
          <w:p w:rsidR="001637F5" w:rsidRPr="003A0A38" w:rsidRDefault="001637F5" w:rsidP="001637F5">
            <w:pPr>
              <w:rPr>
                <w:b/>
              </w:rPr>
            </w:pPr>
            <w:r w:rsidRPr="003A0A38">
              <w:rPr>
                <w:b/>
              </w:rPr>
              <w:t>415</w:t>
            </w:r>
          </w:p>
        </w:tc>
      </w:tr>
    </w:tbl>
    <w:p w:rsidR="00C84DCC" w:rsidRPr="00245AC7" w:rsidRDefault="00FE6854" w:rsidP="00851FC5">
      <w:pPr>
        <w:spacing w:before="240" w:line="360" w:lineRule="auto"/>
        <w:rPr>
          <w:sz w:val="24"/>
        </w:rPr>
      </w:pPr>
      <w:r w:rsidRPr="00245AC7">
        <w:rPr>
          <w:sz w:val="24"/>
        </w:rPr>
        <w:t>While all schools have seen an increase in enrollment, Craft</w:t>
      </w:r>
      <w:r w:rsidR="007E7CC6" w:rsidRPr="00245AC7">
        <w:rPr>
          <w:sz w:val="24"/>
        </w:rPr>
        <w:t>on</w:t>
      </w:r>
      <w:r w:rsidRPr="00245AC7">
        <w:rPr>
          <w:sz w:val="24"/>
        </w:rPr>
        <w:t xml:space="preserve"> Elementary has seen the most dramatic increase. Because most vacant land is in the southern part of the school district, this is the area that has seen the largest number of new neighborhoods being buil</w:t>
      </w:r>
      <w:r w:rsidR="00905239" w:rsidRPr="00245AC7">
        <w:rPr>
          <w:sz w:val="24"/>
        </w:rPr>
        <w:t>t</w:t>
      </w:r>
      <w:r w:rsidRPr="00245AC7">
        <w:rPr>
          <w:sz w:val="24"/>
        </w:rPr>
        <w:t>. As a result, Craft</w:t>
      </w:r>
      <w:r w:rsidR="007E7CC6" w:rsidRPr="00245AC7">
        <w:rPr>
          <w:sz w:val="24"/>
        </w:rPr>
        <w:t>on</w:t>
      </w:r>
      <w:r w:rsidRPr="00245AC7">
        <w:rPr>
          <w:sz w:val="24"/>
        </w:rPr>
        <w:t xml:space="preserve"> – as the school that accommodates these students – has become overcrowded. </w:t>
      </w:r>
      <w:r w:rsidR="00C84DCC" w:rsidRPr="00245AC7">
        <w:rPr>
          <w:sz w:val="24"/>
        </w:rPr>
        <w:t>The following table shows last year’s enrollment, this year’s enrollment, and next year’s projected enrollment for all four elementary schools:</w:t>
      </w:r>
    </w:p>
    <w:p w:rsidR="00FF3474" w:rsidRDefault="00FF3474">
      <w:pPr>
        <w:rPr>
          <w:sz w:val="24"/>
        </w:rPr>
      </w:pPr>
      <w:r>
        <w:rPr>
          <w:sz w:val="24"/>
        </w:rPr>
        <w:br w:type="page"/>
      </w:r>
    </w:p>
    <w:p w:rsidR="004A2504" w:rsidRPr="00245AC7" w:rsidRDefault="004A2504" w:rsidP="00245AC7">
      <w:pPr>
        <w:spacing w:before="240" w:line="360" w:lineRule="auto"/>
        <w:rPr>
          <w:sz w:val="24"/>
        </w:rPr>
      </w:pPr>
      <w:r w:rsidRPr="00245AC7">
        <w:rPr>
          <w:sz w:val="24"/>
        </w:rPr>
        <w:lastRenderedPageBreak/>
        <w:t>By drawing new district boundaries now, before student population increases further, we will have distributed the students more equally among the schools. In addition to easing overcrowding at Craft</w:t>
      </w:r>
      <w:r w:rsidR="007E7CC6" w:rsidRPr="00245AC7">
        <w:rPr>
          <w:sz w:val="24"/>
        </w:rPr>
        <w:t>on</w:t>
      </w:r>
      <w:r w:rsidRPr="00245AC7">
        <w:rPr>
          <w:sz w:val="24"/>
        </w:rPr>
        <w:t>, the new boundaries will help in the areas of</w:t>
      </w:r>
      <w:r w:rsidR="00245AC7" w:rsidRPr="00245AC7">
        <w:rPr>
          <w:sz w:val="24"/>
        </w:rPr>
        <w:t xml:space="preserve"> bus safety, teacher-student ratio, scheduling, and teacher burden</w:t>
      </w:r>
      <w:r w:rsidRPr="00245AC7">
        <w:rPr>
          <w:sz w:val="24"/>
        </w:rPr>
        <w:t>:</w:t>
      </w:r>
    </w:p>
    <w:p w:rsidR="00245AC7" w:rsidRPr="00285460" w:rsidRDefault="008E3725" w:rsidP="003D59D2">
      <w:pPr>
        <w:pStyle w:val="ListParagraph"/>
        <w:numPr>
          <w:ilvl w:val="0"/>
          <w:numId w:val="4"/>
        </w:numPr>
        <w:spacing w:line="360" w:lineRule="auto"/>
        <w:rPr>
          <w:color w:val="835D00" w:themeColor="accent2" w:themeShade="80"/>
          <w:sz w:val="24"/>
          <w:u w:val="single"/>
        </w:rPr>
      </w:pPr>
      <w:r>
        <w:rPr>
          <w:color w:val="835D00" w:themeColor="accent2" w:themeShade="80"/>
          <w:sz w:val="24"/>
          <w:u w:val="single"/>
        </w:rPr>
        <w:t>F</w:t>
      </w:r>
      <w:r w:rsidR="00245AC7" w:rsidRPr="00285460">
        <w:rPr>
          <w:color w:val="835D00" w:themeColor="accent2" w:themeShade="80"/>
          <w:sz w:val="24"/>
          <w:u w:val="single"/>
        </w:rPr>
        <w:t>ewer riders per bus</w:t>
      </w:r>
      <w:r w:rsidR="00066E20">
        <w:rPr>
          <w:color w:val="835D00" w:themeColor="accent2" w:themeShade="80"/>
          <w:sz w:val="24"/>
          <w:u w:val="single"/>
        </w:rPr>
        <w:t xml:space="preserve"> will</w:t>
      </w:r>
      <w:r w:rsidR="00245AC7" w:rsidRPr="00285460">
        <w:rPr>
          <w:color w:val="835D00" w:themeColor="accent2" w:themeShade="80"/>
          <w:sz w:val="24"/>
          <w:u w:val="single"/>
        </w:rPr>
        <w:t xml:space="preserve"> increase bus safety</w:t>
      </w:r>
    </w:p>
    <w:p w:rsidR="00245AC7" w:rsidRPr="00BC2242" w:rsidRDefault="00245AC7" w:rsidP="003D59D2">
      <w:pPr>
        <w:pStyle w:val="ListParagraph"/>
        <w:numPr>
          <w:ilvl w:val="0"/>
          <w:numId w:val="4"/>
        </w:numPr>
        <w:spacing w:line="360" w:lineRule="auto"/>
        <w:rPr>
          <w:rStyle w:val="BulletedList"/>
          <w:color w:val="auto"/>
          <w:u w:val="none"/>
        </w:rPr>
      </w:pPr>
      <w:r w:rsidRPr="00BC2242">
        <w:rPr>
          <w:rStyle w:val="BulletedList"/>
          <w:color w:val="auto"/>
          <w:u w:val="none"/>
        </w:rPr>
        <w:t>Teacher-Student ratio will decrease to 16:1</w:t>
      </w:r>
    </w:p>
    <w:p w:rsidR="00245AC7" w:rsidRPr="00BC2242" w:rsidRDefault="008E3725" w:rsidP="003D59D2">
      <w:pPr>
        <w:pStyle w:val="ListParagraph"/>
        <w:numPr>
          <w:ilvl w:val="0"/>
          <w:numId w:val="4"/>
        </w:numPr>
        <w:spacing w:line="360" w:lineRule="auto"/>
        <w:rPr>
          <w:rStyle w:val="BulletedList"/>
          <w:color w:val="auto"/>
          <w:u w:val="none"/>
        </w:rPr>
      </w:pPr>
      <w:r>
        <w:rPr>
          <w:rStyle w:val="BulletedList"/>
          <w:color w:val="auto"/>
          <w:u w:val="none"/>
        </w:rPr>
        <w:t xml:space="preserve">Scheduling of </w:t>
      </w:r>
      <w:r w:rsidR="00245AC7" w:rsidRPr="00BC2242">
        <w:rPr>
          <w:rStyle w:val="BulletedList"/>
          <w:color w:val="auto"/>
          <w:u w:val="none"/>
        </w:rPr>
        <w:t xml:space="preserve">special events/assemblies </w:t>
      </w:r>
      <w:r>
        <w:rPr>
          <w:rStyle w:val="BulletedList"/>
          <w:color w:val="auto"/>
          <w:u w:val="none"/>
        </w:rPr>
        <w:t xml:space="preserve">will be </w:t>
      </w:r>
      <w:r w:rsidR="00245AC7" w:rsidRPr="00BC2242">
        <w:rPr>
          <w:rStyle w:val="BulletedList"/>
          <w:color w:val="auto"/>
          <w:u w:val="none"/>
        </w:rPr>
        <w:t>easier</w:t>
      </w:r>
    </w:p>
    <w:p w:rsidR="00245AC7" w:rsidRPr="00BC2242" w:rsidRDefault="008E3725" w:rsidP="003D59D2">
      <w:pPr>
        <w:pStyle w:val="ListParagraph"/>
        <w:numPr>
          <w:ilvl w:val="0"/>
          <w:numId w:val="4"/>
        </w:numPr>
        <w:spacing w:line="360" w:lineRule="auto"/>
        <w:rPr>
          <w:rStyle w:val="BulletedList"/>
          <w:color w:val="auto"/>
          <w:u w:val="none"/>
        </w:rPr>
      </w:pPr>
      <w:r>
        <w:rPr>
          <w:rStyle w:val="BulletedList"/>
          <w:color w:val="auto"/>
          <w:u w:val="none"/>
        </w:rPr>
        <w:t>G</w:t>
      </w:r>
      <w:r w:rsidR="00245AC7" w:rsidRPr="00BC2242">
        <w:rPr>
          <w:rStyle w:val="BulletedList"/>
          <w:color w:val="auto"/>
          <w:u w:val="none"/>
        </w:rPr>
        <w:t xml:space="preserve">rading and preparation time </w:t>
      </w:r>
      <w:r>
        <w:rPr>
          <w:rStyle w:val="BulletedList"/>
          <w:color w:val="auto"/>
          <w:u w:val="none"/>
        </w:rPr>
        <w:t xml:space="preserve">will be </w:t>
      </w:r>
      <w:r w:rsidR="00245AC7" w:rsidRPr="00BC2242">
        <w:rPr>
          <w:rStyle w:val="BulletedList"/>
          <w:color w:val="auto"/>
          <w:u w:val="none"/>
        </w:rPr>
        <w:t>lessened</w:t>
      </w:r>
    </w:p>
    <w:p w:rsidR="00FE6854" w:rsidRPr="00245AC7" w:rsidRDefault="00905239" w:rsidP="00245AC7">
      <w:pPr>
        <w:spacing w:line="360" w:lineRule="auto"/>
        <w:rPr>
          <w:sz w:val="24"/>
        </w:rPr>
      </w:pPr>
      <w:r w:rsidRPr="00245AC7">
        <w:rPr>
          <w:sz w:val="24"/>
        </w:rPr>
        <w:t xml:space="preserve">Governing leaders and teachers have risen to the challenge of providing a quality education </w:t>
      </w:r>
      <w:r w:rsidR="00E52E51" w:rsidRPr="00245AC7">
        <w:rPr>
          <w:sz w:val="24"/>
        </w:rPr>
        <w:t>to a rapidly expanding student body</w:t>
      </w:r>
      <w:r w:rsidR="00E52E51">
        <w:rPr>
          <w:sz w:val="24"/>
        </w:rPr>
        <w:t>,</w:t>
      </w:r>
      <w:r w:rsidR="00E52E51" w:rsidRPr="00245AC7">
        <w:rPr>
          <w:sz w:val="24"/>
        </w:rPr>
        <w:t xml:space="preserve"> </w:t>
      </w:r>
      <w:r w:rsidRPr="00245AC7">
        <w:rPr>
          <w:sz w:val="24"/>
        </w:rPr>
        <w:t xml:space="preserve">while meeting new </w:t>
      </w:r>
      <w:r w:rsidR="00C21B27" w:rsidRPr="00245AC7">
        <w:rPr>
          <w:sz w:val="24"/>
        </w:rPr>
        <w:t xml:space="preserve">state and federal </w:t>
      </w:r>
      <w:r w:rsidRPr="00245AC7">
        <w:rPr>
          <w:sz w:val="24"/>
        </w:rPr>
        <w:t>requirements</w:t>
      </w:r>
      <w:r w:rsidR="001D22C1" w:rsidRPr="00245AC7">
        <w:rPr>
          <w:sz w:val="24"/>
        </w:rPr>
        <w:t>. By voting to redistrict now, you can do your part i</w:t>
      </w:r>
      <w:r w:rsidR="00D120D8" w:rsidRPr="00245AC7">
        <w:rPr>
          <w:sz w:val="24"/>
        </w:rPr>
        <w:t xml:space="preserve">n helping our children obtain their </w:t>
      </w:r>
      <w:r w:rsidR="001D22C1" w:rsidRPr="00245AC7">
        <w:rPr>
          <w:sz w:val="24"/>
        </w:rPr>
        <w:t>education</w:t>
      </w:r>
      <w:r w:rsidR="007B2928" w:rsidRPr="00245AC7">
        <w:rPr>
          <w:sz w:val="24"/>
        </w:rPr>
        <w:t xml:space="preserve"> </w:t>
      </w:r>
      <w:r w:rsidR="00D120D8" w:rsidRPr="00245AC7">
        <w:rPr>
          <w:sz w:val="24"/>
        </w:rPr>
        <w:t>in the best environment possible</w:t>
      </w:r>
      <w:r w:rsidR="001D22C1" w:rsidRPr="00245AC7">
        <w:rPr>
          <w:sz w:val="24"/>
        </w:rPr>
        <w:t>.</w:t>
      </w:r>
    </w:p>
    <w:sectPr w:rsidR="00FE6854" w:rsidRPr="00245AC7" w:rsidSect="00851FC5">
      <w:headerReference w:type="even" r:id="rId9"/>
      <w:headerReference w:type="default" r:id="rId10"/>
      <w:footerReference w:type="default" r:id="rId11"/>
      <w:headerReference w:type="first" r:id="rId12"/>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1E6" w:rsidRDefault="00DE31E6" w:rsidP="00CC5114">
      <w:pPr>
        <w:spacing w:after="0" w:line="240" w:lineRule="auto"/>
      </w:pPr>
      <w:r>
        <w:separator/>
      </w:r>
    </w:p>
  </w:endnote>
  <w:endnote w:type="continuationSeparator" w:id="1">
    <w:p w:rsidR="00DE31E6" w:rsidRDefault="00DE31E6" w:rsidP="00CC51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placeholder>
        <w:docPart w:val="B7C600D3F59E4BA0B61071A3A3C2F6D1"/>
      </w:placeholder>
      <w:dataBinding w:prefixMappings="xmlns:ns0='http://schemas.openxmlformats.org/officeDocument/2006/extended-properties'" w:xpath="/ns0:Properties[1]/ns0:Company[1]" w:storeItemID="{6668398D-A668-4E3E-A5EB-62B293D839F1}"/>
      <w:text/>
    </w:sdtPr>
    <w:sdtContent>
      <w:p w:rsidR="00DE31E6" w:rsidRDefault="00DE31E6">
        <w:pPr>
          <w:pStyle w:val="Footer"/>
          <w:pBdr>
            <w:top w:val="single" w:sz="24" w:space="5" w:color="C32D2E" w:themeColor="accent3"/>
          </w:pBdr>
          <w:jc w:val="right"/>
          <w:rPr>
            <w:i/>
            <w:iCs/>
            <w:color w:val="8C8C8C" w:themeColor="background1" w:themeShade="8C"/>
          </w:rPr>
        </w:pPr>
        <w:r>
          <w:rPr>
            <w:i/>
            <w:iCs/>
            <w:color w:val="8C8C8C" w:themeColor="background1" w:themeShade="8C"/>
          </w:rPr>
          <w:t>Vote Yes</w:t>
        </w:r>
      </w:p>
    </w:sdtContent>
  </w:sdt>
  <w:p w:rsidR="00DE31E6" w:rsidRDefault="00DE31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1E6" w:rsidRDefault="00DE31E6" w:rsidP="00CC5114">
      <w:pPr>
        <w:spacing w:after="0" w:line="240" w:lineRule="auto"/>
      </w:pPr>
      <w:r>
        <w:separator/>
      </w:r>
    </w:p>
  </w:footnote>
  <w:footnote w:type="continuationSeparator" w:id="1">
    <w:p w:rsidR="00DE31E6" w:rsidRDefault="00DE31E6" w:rsidP="00CC51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1E6" w:rsidRDefault="0041231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415894" o:spid="_x0000_s2093" type="#_x0000_t75" style="position:absolute;margin-left:0;margin-top:0;width:614.4pt;height:409.4pt;z-index:-251644928;mso-position-horizontal:center;mso-position-horizontal-relative:margin;mso-position-vertical:center;mso-position-vertical-relative:margin" o:allowincell="f">
          <v:imagedata r:id="rId1" o:title="School"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1E6" w:rsidRDefault="00DE31E6">
    <w:pPr>
      <w:pStyle w:val="Header"/>
      <w:ind w:right="-576"/>
      <w:jc w:val="right"/>
      <w:rPr>
        <w:rFonts w:asciiTheme="majorHAnsi" w:eastAsiaTheme="majorEastAsia" w:hAnsiTheme="majorHAnsi" w:cstheme="majorBidi"/>
        <w:sz w:val="28"/>
        <w:szCs w:val="2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1E6" w:rsidRDefault="0041231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415893" o:spid="_x0000_s2092" type="#_x0000_t75" style="position:absolute;margin-left:0;margin-top:0;width:614.4pt;height:409.4pt;z-index:-251645952;mso-position-horizontal:center;mso-position-horizontal-relative:margin;mso-position-vertical:center;mso-position-vertical-relative:margin" o:allowincell="f">
          <v:imagedata r:id="rId1" o:title="School"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9pt;height:9pt" o:bullet="t">
        <v:imagedata r:id="rId1" o:title="BD10255_"/>
      </v:shape>
    </w:pict>
  </w:numPicBullet>
  <w:abstractNum w:abstractNumId="0">
    <w:nsid w:val="4CDC69E3"/>
    <w:multiLevelType w:val="hybridMultilevel"/>
    <w:tmpl w:val="70643BDE"/>
    <w:lvl w:ilvl="0" w:tplc="472A77DC">
      <w:start w:val="1"/>
      <w:numFmt w:val="bullet"/>
      <w:lvlText w:val=""/>
      <w:lvlPicBulletId w:val="0"/>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A324F08"/>
    <w:multiLevelType w:val="hybridMultilevel"/>
    <w:tmpl w:val="7C80BF68"/>
    <w:lvl w:ilvl="0" w:tplc="04090001">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05943F8"/>
    <w:multiLevelType w:val="hybridMultilevel"/>
    <w:tmpl w:val="0E94A21E"/>
    <w:lvl w:ilvl="0" w:tplc="DD801D72">
      <w:start w:val="1"/>
      <w:numFmt w:val="bullet"/>
      <w:lvlText w:val=""/>
      <w:lvlPicBulletId w:val="0"/>
      <w:lvlJc w:val="left"/>
      <w:pPr>
        <w:ind w:left="1440" w:hanging="360"/>
      </w:pPr>
      <w:rPr>
        <w:rFonts w:ascii="Symbol" w:hAnsi="Symbol" w:hint="default"/>
        <w:color w:val="auto"/>
      </w:rPr>
    </w:lvl>
    <w:lvl w:ilvl="1" w:tplc="BFCED300">
      <w:start w:val="1"/>
      <w:numFmt w:val="bullet"/>
      <w:pStyle w:val="Picbullet"/>
      <w:lvlText w:val=""/>
      <w:lvlPicBulletId w:val="0"/>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F607E4"/>
    <w:multiLevelType w:val="hybridMultilevel"/>
    <w:tmpl w:val="C5284178"/>
    <w:lvl w:ilvl="0" w:tplc="DD801D72">
      <w:start w:val="1"/>
      <w:numFmt w:val="bullet"/>
      <w:lvlText w:val=""/>
      <w:lvlPicBulletId w:val="0"/>
      <w:lvlJc w:val="left"/>
      <w:pPr>
        <w:ind w:left="144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094"/>
    <o:shapelayout v:ext="edit">
      <o:idmap v:ext="edit" data="2"/>
    </o:shapelayout>
  </w:hdrShapeDefaults>
  <w:footnotePr>
    <w:footnote w:id="0"/>
    <w:footnote w:id="1"/>
  </w:footnotePr>
  <w:endnotePr>
    <w:endnote w:id="0"/>
    <w:endnote w:id="1"/>
  </w:endnotePr>
  <w:compat/>
  <w:rsids>
    <w:rsidRoot w:val="00263E96"/>
    <w:rsid w:val="00066E20"/>
    <w:rsid w:val="000B604C"/>
    <w:rsid w:val="00111773"/>
    <w:rsid w:val="001637F5"/>
    <w:rsid w:val="0018514A"/>
    <w:rsid w:val="001D22C1"/>
    <w:rsid w:val="00224673"/>
    <w:rsid w:val="00245AC7"/>
    <w:rsid w:val="0024684E"/>
    <w:rsid w:val="00263E96"/>
    <w:rsid w:val="00285460"/>
    <w:rsid w:val="00292E1E"/>
    <w:rsid w:val="0029734F"/>
    <w:rsid w:val="00303E06"/>
    <w:rsid w:val="0037218A"/>
    <w:rsid w:val="003A0A38"/>
    <w:rsid w:val="003B09D0"/>
    <w:rsid w:val="003D59D2"/>
    <w:rsid w:val="00411AD5"/>
    <w:rsid w:val="0041231F"/>
    <w:rsid w:val="004A2504"/>
    <w:rsid w:val="004E7DEB"/>
    <w:rsid w:val="005321CC"/>
    <w:rsid w:val="00632B57"/>
    <w:rsid w:val="00657474"/>
    <w:rsid w:val="006A6629"/>
    <w:rsid w:val="00723635"/>
    <w:rsid w:val="007B2928"/>
    <w:rsid w:val="007E7CC6"/>
    <w:rsid w:val="00825228"/>
    <w:rsid w:val="00851FC5"/>
    <w:rsid w:val="0085576D"/>
    <w:rsid w:val="008A06B1"/>
    <w:rsid w:val="008B5741"/>
    <w:rsid w:val="008E3725"/>
    <w:rsid w:val="00903367"/>
    <w:rsid w:val="00905239"/>
    <w:rsid w:val="00917EDB"/>
    <w:rsid w:val="00924D23"/>
    <w:rsid w:val="0092581C"/>
    <w:rsid w:val="009A5758"/>
    <w:rsid w:val="009B1976"/>
    <w:rsid w:val="00A028BB"/>
    <w:rsid w:val="00AA1AF0"/>
    <w:rsid w:val="00AB4C57"/>
    <w:rsid w:val="00AE432B"/>
    <w:rsid w:val="00B0324F"/>
    <w:rsid w:val="00BB3908"/>
    <w:rsid w:val="00BC0686"/>
    <w:rsid w:val="00BC2242"/>
    <w:rsid w:val="00C10A00"/>
    <w:rsid w:val="00C15E6A"/>
    <w:rsid w:val="00C21B27"/>
    <w:rsid w:val="00C84DCC"/>
    <w:rsid w:val="00CB7252"/>
    <w:rsid w:val="00CC5114"/>
    <w:rsid w:val="00CF0F43"/>
    <w:rsid w:val="00CF7BB1"/>
    <w:rsid w:val="00D120D8"/>
    <w:rsid w:val="00D249D2"/>
    <w:rsid w:val="00DE31E6"/>
    <w:rsid w:val="00DE71E6"/>
    <w:rsid w:val="00DF17E9"/>
    <w:rsid w:val="00E24DE4"/>
    <w:rsid w:val="00E52E51"/>
    <w:rsid w:val="00E87E07"/>
    <w:rsid w:val="00EB7DB4"/>
    <w:rsid w:val="00EC18D5"/>
    <w:rsid w:val="00F12029"/>
    <w:rsid w:val="00F75BB7"/>
    <w:rsid w:val="00F75BFA"/>
    <w:rsid w:val="00FE51C1"/>
    <w:rsid w:val="00FE6854"/>
    <w:rsid w:val="00FF34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8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3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E96"/>
    <w:rPr>
      <w:rFonts w:ascii="Tahoma" w:hAnsi="Tahoma" w:cs="Tahoma"/>
      <w:sz w:val="16"/>
      <w:szCs w:val="16"/>
    </w:rPr>
  </w:style>
  <w:style w:type="paragraph" w:styleId="Header">
    <w:name w:val="header"/>
    <w:basedOn w:val="Normal"/>
    <w:link w:val="HeaderChar"/>
    <w:uiPriority w:val="99"/>
    <w:unhideWhenUsed/>
    <w:rsid w:val="00CC5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114"/>
  </w:style>
  <w:style w:type="paragraph" w:styleId="Footer">
    <w:name w:val="footer"/>
    <w:basedOn w:val="Normal"/>
    <w:link w:val="FooterChar"/>
    <w:uiPriority w:val="99"/>
    <w:unhideWhenUsed/>
    <w:rsid w:val="00CC5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114"/>
  </w:style>
  <w:style w:type="table" w:styleId="TableGrid">
    <w:name w:val="Table Grid"/>
    <w:basedOn w:val="TableNormal"/>
    <w:uiPriority w:val="59"/>
    <w:rsid w:val="007236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6">
    <w:name w:val="Medium Shading 2 Accent 6"/>
    <w:basedOn w:val="TableNormal"/>
    <w:uiPriority w:val="64"/>
    <w:rsid w:val="007236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75A8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75A8D" w:themeFill="accent6"/>
      </w:tcPr>
    </w:tblStylePr>
    <w:tblStylePr w:type="lastCol">
      <w:rPr>
        <w:b/>
        <w:bCs/>
        <w:color w:val="FFFFFF" w:themeColor="background1"/>
      </w:rPr>
      <w:tblPr/>
      <w:tcPr>
        <w:tcBorders>
          <w:left w:val="nil"/>
          <w:right w:val="nil"/>
          <w:insideH w:val="nil"/>
          <w:insideV w:val="nil"/>
        </w:tcBorders>
        <w:shd w:val="clear" w:color="auto" w:fill="475A8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6">
    <w:name w:val="Medium List 2 Accent 6"/>
    <w:basedOn w:val="TableNormal"/>
    <w:uiPriority w:val="66"/>
    <w:rsid w:val="007236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75A8D" w:themeColor="accent6"/>
        <w:left w:val="single" w:sz="8" w:space="0" w:color="475A8D" w:themeColor="accent6"/>
        <w:bottom w:val="single" w:sz="8" w:space="0" w:color="475A8D" w:themeColor="accent6"/>
        <w:right w:val="single" w:sz="8" w:space="0" w:color="475A8D"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75A8D" w:themeColor="accent6"/>
          <w:right w:val="nil"/>
          <w:insideH w:val="nil"/>
          <w:insideV w:val="nil"/>
        </w:tcBorders>
        <w:shd w:val="clear" w:color="auto" w:fill="FFFFFF" w:themeFill="background1"/>
      </w:tcPr>
    </w:tblStylePr>
    <w:tblStylePr w:type="lastRow">
      <w:tblPr/>
      <w:tcPr>
        <w:tcBorders>
          <w:top w:val="single" w:sz="8" w:space="0" w:color="475A8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75A8D" w:themeColor="accent6"/>
          <w:insideH w:val="nil"/>
          <w:insideV w:val="nil"/>
        </w:tcBorders>
        <w:shd w:val="clear" w:color="auto" w:fill="FFFFFF" w:themeFill="background1"/>
      </w:tcPr>
    </w:tblStylePr>
    <w:tblStylePr w:type="lastCol">
      <w:tblPr/>
      <w:tcPr>
        <w:tcBorders>
          <w:top w:val="nil"/>
          <w:left w:val="single" w:sz="8" w:space="0" w:color="475A8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D4E6" w:themeFill="accent6" w:themeFillTint="3F"/>
      </w:tcPr>
    </w:tblStylePr>
    <w:tblStylePr w:type="band1Horz">
      <w:tblPr/>
      <w:tcPr>
        <w:tcBorders>
          <w:top w:val="nil"/>
          <w:bottom w:val="nil"/>
          <w:insideH w:val="nil"/>
          <w:insideV w:val="nil"/>
        </w:tcBorders>
        <w:shd w:val="clear" w:color="auto" w:fill="CED4E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2">
    <w:name w:val="Light List Accent 2"/>
    <w:basedOn w:val="TableNormal"/>
    <w:uiPriority w:val="61"/>
    <w:rsid w:val="00723635"/>
    <w:pPr>
      <w:spacing w:after="0" w:line="240" w:lineRule="auto"/>
    </w:pPr>
    <w:tblPr>
      <w:tblStyleRowBandSize w:val="1"/>
      <w:tblStyleColBandSize w:val="1"/>
      <w:tblInd w:w="0" w:type="dxa"/>
      <w:tblBorders>
        <w:top w:val="single" w:sz="8" w:space="0" w:color="FEB80A" w:themeColor="accent2"/>
        <w:left w:val="single" w:sz="8" w:space="0" w:color="FEB80A" w:themeColor="accent2"/>
        <w:bottom w:val="single" w:sz="8" w:space="0" w:color="FEB80A" w:themeColor="accent2"/>
        <w:right w:val="single" w:sz="8" w:space="0" w:color="FEB80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2"/>
      </w:tcPr>
    </w:tblStylePr>
    <w:tblStylePr w:type="lastRow">
      <w:pPr>
        <w:spacing w:before="0" w:after="0" w:line="240" w:lineRule="auto"/>
      </w:pPr>
      <w:rPr>
        <w:b/>
        <w:bCs/>
      </w:rPr>
      <w:tblPr/>
      <w:tcPr>
        <w:tcBorders>
          <w:top w:val="double" w:sz="6" w:space="0" w:color="FEB80A" w:themeColor="accent2"/>
          <w:left w:val="single" w:sz="8" w:space="0" w:color="FEB80A" w:themeColor="accent2"/>
          <w:bottom w:val="single" w:sz="8" w:space="0" w:color="FEB80A" w:themeColor="accent2"/>
          <w:right w:val="single" w:sz="8" w:space="0" w:color="FEB80A" w:themeColor="accent2"/>
        </w:tcBorders>
      </w:tcPr>
    </w:tblStylePr>
    <w:tblStylePr w:type="firstCol">
      <w:rPr>
        <w:b/>
        <w:bCs/>
      </w:rPr>
    </w:tblStylePr>
    <w:tblStylePr w:type="lastCol">
      <w:rPr>
        <w:b/>
        <w:bCs/>
      </w:rPr>
    </w:tblStylePr>
    <w:tblStylePr w:type="band1Vert">
      <w:tblPr/>
      <w:tcPr>
        <w:tcBorders>
          <w:top w:val="single" w:sz="8" w:space="0" w:color="FEB80A" w:themeColor="accent2"/>
          <w:left w:val="single" w:sz="8" w:space="0" w:color="FEB80A" w:themeColor="accent2"/>
          <w:bottom w:val="single" w:sz="8" w:space="0" w:color="FEB80A" w:themeColor="accent2"/>
          <w:right w:val="single" w:sz="8" w:space="0" w:color="FEB80A" w:themeColor="accent2"/>
        </w:tcBorders>
      </w:tcPr>
    </w:tblStylePr>
    <w:tblStylePr w:type="band1Horz">
      <w:tblPr/>
      <w:tcPr>
        <w:tcBorders>
          <w:top w:val="single" w:sz="8" w:space="0" w:color="FEB80A" w:themeColor="accent2"/>
          <w:left w:val="single" w:sz="8" w:space="0" w:color="FEB80A" w:themeColor="accent2"/>
          <w:bottom w:val="single" w:sz="8" w:space="0" w:color="FEB80A" w:themeColor="accent2"/>
          <w:right w:val="single" w:sz="8" w:space="0" w:color="FEB80A" w:themeColor="accent2"/>
        </w:tcBorders>
      </w:tcPr>
    </w:tblStylePr>
  </w:style>
  <w:style w:type="paragraph" w:styleId="ListParagraph">
    <w:name w:val="List Paragraph"/>
    <w:basedOn w:val="Normal"/>
    <w:link w:val="ListParagraphChar"/>
    <w:uiPriority w:val="34"/>
    <w:qFormat/>
    <w:rsid w:val="00BC0686"/>
    <w:pPr>
      <w:ind w:left="720"/>
      <w:contextualSpacing/>
    </w:pPr>
  </w:style>
  <w:style w:type="paragraph" w:customStyle="1" w:styleId="Picbullet">
    <w:name w:val="Pic bullet"/>
    <w:basedOn w:val="ListParagraph"/>
    <w:link w:val="PicbulletChar"/>
    <w:rsid w:val="00BC0686"/>
    <w:pPr>
      <w:numPr>
        <w:ilvl w:val="1"/>
        <w:numId w:val="2"/>
      </w:numPr>
      <w:spacing w:line="480" w:lineRule="auto"/>
    </w:pPr>
    <w:rPr>
      <w:b/>
      <w:color w:val="4A3E21" w:themeColor="background2" w:themeShade="40"/>
      <w:u w:val="single"/>
    </w:rPr>
  </w:style>
  <w:style w:type="character" w:customStyle="1" w:styleId="ListParagraphChar">
    <w:name w:val="List Paragraph Char"/>
    <w:basedOn w:val="DefaultParagraphFont"/>
    <w:link w:val="ListParagraph"/>
    <w:uiPriority w:val="34"/>
    <w:rsid w:val="00BC0686"/>
  </w:style>
  <w:style w:type="character" w:customStyle="1" w:styleId="PicbulletChar">
    <w:name w:val="Pic bullet Char"/>
    <w:basedOn w:val="ListParagraphChar"/>
    <w:link w:val="Picbullet"/>
    <w:rsid w:val="00BC0686"/>
  </w:style>
  <w:style w:type="paragraph" w:styleId="NoSpacing">
    <w:name w:val="No Spacing"/>
    <w:link w:val="NoSpacingChar"/>
    <w:uiPriority w:val="1"/>
    <w:qFormat/>
    <w:rsid w:val="00DF17E9"/>
    <w:pPr>
      <w:spacing w:after="0" w:line="240" w:lineRule="auto"/>
    </w:pPr>
    <w:rPr>
      <w:rFonts w:eastAsiaTheme="minorEastAsia"/>
    </w:rPr>
  </w:style>
  <w:style w:type="character" w:customStyle="1" w:styleId="NoSpacingChar">
    <w:name w:val="No Spacing Char"/>
    <w:basedOn w:val="DefaultParagraphFont"/>
    <w:link w:val="NoSpacing"/>
    <w:uiPriority w:val="1"/>
    <w:rsid w:val="00DF17E9"/>
    <w:rPr>
      <w:rFonts w:eastAsiaTheme="minorEastAsia"/>
    </w:rPr>
  </w:style>
  <w:style w:type="character" w:customStyle="1" w:styleId="BulletedList">
    <w:name w:val="Bulleted List"/>
    <w:basedOn w:val="DefaultParagraphFont"/>
    <w:uiPriority w:val="1"/>
    <w:rsid w:val="00285460"/>
    <w:rPr>
      <w:color w:val="835D00" w:themeColor="accent2" w:themeShade="80"/>
      <w:sz w:val="24"/>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7C600D3F59E4BA0B61071A3A3C2F6D1"/>
        <w:category>
          <w:name w:val="General"/>
          <w:gallery w:val="placeholder"/>
        </w:category>
        <w:types>
          <w:type w:val="bbPlcHdr"/>
        </w:types>
        <w:behaviors>
          <w:behavior w:val="content"/>
        </w:behaviors>
        <w:guid w:val="{356BD35C-7942-492C-9309-5AA776594371}"/>
      </w:docPartPr>
      <w:docPartBody>
        <w:p w:rsidR="00D9340B" w:rsidRDefault="00D9340B" w:rsidP="00D9340B">
          <w:pPr>
            <w:pStyle w:val="B7C600D3F59E4BA0B61071A3A3C2F6D1"/>
          </w:pPr>
          <w:r>
            <w:rPr>
              <w:i/>
              <w:iCs/>
              <w:color w:val="8C8C8C" w:themeColor="background1" w:themeShade="8C"/>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D20F9"/>
    <w:rsid w:val="001D360D"/>
    <w:rsid w:val="0098036C"/>
    <w:rsid w:val="00D9340B"/>
    <w:rsid w:val="00DD20F9"/>
    <w:rsid w:val="00DF45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5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32C62EA5F490AB74DCB584FF82877">
    <w:name w:val="65E32C62EA5F490AB74DCB584FF82877"/>
    <w:rsid w:val="00DD20F9"/>
  </w:style>
  <w:style w:type="paragraph" w:customStyle="1" w:styleId="D14656FC4410499CBB2A4B370F25716A">
    <w:name w:val="D14656FC4410499CBB2A4B370F25716A"/>
    <w:rsid w:val="00DD20F9"/>
  </w:style>
  <w:style w:type="paragraph" w:customStyle="1" w:styleId="A3A0D440B3734ABBAD420F87C3B8319D">
    <w:name w:val="A3A0D440B3734ABBAD420F87C3B8319D"/>
    <w:rsid w:val="00DD20F9"/>
  </w:style>
  <w:style w:type="paragraph" w:customStyle="1" w:styleId="5840E090D9EE405EA98ECC4BB4C16C4F">
    <w:name w:val="5840E090D9EE405EA98ECC4BB4C16C4F"/>
    <w:rsid w:val="00DD20F9"/>
  </w:style>
  <w:style w:type="paragraph" w:customStyle="1" w:styleId="CC79DAA08ACA42E7B64D994E52A63F56">
    <w:name w:val="CC79DAA08ACA42E7B64D994E52A63F56"/>
    <w:rsid w:val="00D9340B"/>
  </w:style>
  <w:style w:type="paragraph" w:customStyle="1" w:styleId="2741ACE48CCE4BF6A247DFB62117F851">
    <w:name w:val="2741ACE48CCE4BF6A247DFB62117F851"/>
    <w:rsid w:val="00D9340B"/>
  </w:style>
  <w:style w:type="paragraph" w:customStyle="1" w:styleId="89693CB9968542C1BCEFABDE517EB47C">
    <w:name w:val="89693CB9968542C1BCEFABDE517EB47C"/>
    <w:rsid w:val="00D9340B"/>
  </w:style>
  <w:style w:type="paragraph" w:customStyle="1" w:styleId="CF757133502641D5ADD316E23BB51F44">
    <w:name w:val="CF757133502641D5ADD316E23BB51F44"/>
    <w:rsid w:val="00D9340B"/>
  </w:style>
  <w:style w:type="paragraph" w:customStyle="1" w:styleId="DD8E42D96F814853B8CB85B3E9B39252">
    <w:name w:val="DD8E42D96F814853B8CB85B3E9B39252"/>
    <w:rsid w:val="00D9340B"/>
  </w:style>
  <w:style w:type="paragraph" w:customStyle="1" w:styleId="E3497FDF9D2647F8AB0C1209EB7FC957">
    <w:name w:val="E3497FDF9D2647F8AB0C1209EB7FC957"/>
    <w:rsid w:val="00D9340B"/>
  </w:style>
  <w:style w:type="paragraph" w:customStyle="1" w:styleId="110D96DE57FC4861860CFD27B6BDD3BE">
    <w:name w:val="110D96DE57FC4861860CFD27B6BDD3BE"/>
    <w:rsid w:val="00D9340B"/>
  </w:style>
  <w:style w:type="paragraph" w:customStyle="1" w:styleId="B7C600D3F59E4BA0B61071A3A3C2F6D1">
    <w:name w:val="B7C600D3F59E4BA0B61071A3A3C2F6D1"/>
    <w:rsid w:val="00D9340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chool Referendum">
      <a:majorFont>
        <a:latin typeface="Rockwell Extra Bold"/>
        <a:ea typeface=""/>
        <a:cs typeface=""/>
      </a:majorFont>
      <a:minorFont>
        <a:latin typeface="Copperplate Gothic Bol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D5087A-44E2-4B80-BA1B-BBEAF8DF3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School Redistricting Vote</vt:lpstr>
    </vt:vector>
  </TitlesOfParts>
  <Company>Vote Yes</Company>
  <LinksUpToDate>false</LinksUpToDate>
  <CharactersWithSpaces>2280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Redistricting Vote</dc:title>
  <dc:creator>SC Series</dc:creator>
  <cp:lastModifiedBy>SC Series</cp:lastModifiedBy>
  <cp:revision>9</cp:revision>
  <cp:lastPrinted>2007-02-15T09:18:00Z</cp:lastPrinted>
  <dcterms:created xsi:type="dcterms:W3CDTF">2007-02-15T08:49:00Z</dcterms:created>
  <dcterms:modified xsi:type="dcterms:W3CDTF">2007-02-16T08:21:00Z</dcterms:modified>
</cp:coreProperties>
</file>