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Structured Schemas for LLM-Modeler Collaboration in Quantitative Systems Pharmacology Model Calibration</w:t>
      </w:r>
    </w:p>
    <w:p>
      <w:pPr>
        <w:pStyle w:val="Author"/>
      </w:pPr>
      <w:r>
        <w:t xml:space="preserve">Joel Eliason</w:t>
      </w:r>
      <m:oMath>
        <m:sSup>
          <m:e>
            <m:r>
              <m:t>​</m:t>
            </m:r>
          </m:e>
          <m:sup>
            <m:r>
              <m:t>1</m:t>
            </m:r>
            <m:r>
              <m:rPr>
                <m:sty m:val="p"/>
              </m:rPr>
              <m:t>,</m:t>
            </m:r>
            <m:r>
              <m:rPr>
                <m:sty m:val="p"/>
              </m:rPr>
              <m:t>*</m:t>
            </m:r>
          </m:sup>
        </m:sSup>
      </m:oMath>
      <w:r>
        <w:t xml:space="preserve"> </w:t>
      </w:r>
      <w:r>
        <w:t xml:space="preserve">and Aleksander S. Popel</w:t>
      </w:r>
      <m:oMath>
        <m:sSup>
          <m:e>
            <m:r>
              <m:t>​</m:t>
            </m:r>
          </m:e>
          <m:sup>
            <m:r>
              <m:t>1</m:t>
            </m:r>
          </m:sup>
        </m:sSup>
      </m:oMath>
      <w:r>
        <w:br/>
      </w:r>
      <m:oMath>
        <m:sSup>
          <m:e>
            <m:r>
              <m:t>​</m:t>
            </m:r>
          </m:e>
          <m:sup>
            <m:r>
              <m:t>1</m:t>
            </m:r>
          </m:sup>
        </m:sSup>
      </m:oMath>
      <w:r>
        <w:t xml:space="preserve">Department of Biomedical Engineering, Johns Hopkins University, Baltimore, MD, USA</w:t>
      </w:r>
      <w:r>
        <w:br/>
      </w:r>
      <m:oMath>
        <m:sSup>
          <m:e>
            <m:r>
              <m:t>​</m:t>
            </m:r>
          </m:e>
          <m:sup>
            <m:r>
              <m:rPr>
                <m:sty m:val="p"/>
              </m:rPr>
              <m:t>*</m:t>
            </m:r>
          </m:sup>
        </m:sSup>
      </m:oMath>
      <w:r>
        <w:t xml:space="preserve">Corresponding author: jeliaso2@jh.edu</w:t>
      </w:r>
    </w:p>
    <w:p>
      <w:pPr>
        <w:pStyle w:val="AbstractTitle"/>
      </w:pPr>
      <w:r>
        <w:t xml:space="preserve">Abstract</w:t>
      </w:r>
    </w:p>
    <w:p>
      <w:pPr>
        <w:pStyle w:val="Abstract"/>
      </w:pPr>
      <w:r>
        <w:t xml:space="preserve">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w:t>
      </w:r>
    </w:p>
    <w:p>
      <w:pPr>
        <w:pStyle w:val="FirstParagraph"/>
      </w:pPr>
      <w:r>
        <w:rPr>
          <w:i/>
          <w:iCs/>
        </w:rPr>
        <w:t xml:space="preserve">Keywords:</w:t>
      </w:r>
      <w:r>
        <w:t xml:space="preserve"> </w:t>
      </w:r>
      <w:r>
        <w:t xml:space="preserve">quantitative systems pharmacology, model calibration, large language models, parameter extraction, structured validation</w:t>
      </w:r>
    </w:p>
    <w:p>
      <w:pPr>
        <w:pStyle w:val="BodyText"/>
      </w:pPr>
      <w:r>
        <w:rPr>
          <w:i/>
          <w:iCs/>
        </w:rPr>
        <w:t xml:space="preserve">Conflict of Interest:</w:t>
      </w:r>
      <w:r>
        <w:t xml:space="preserve"> </w:t>
      </w:r>
      <w:r>
        <w:t xml:space="preserve">A.S.P. receives research funding from Merck and Pfizer in the area of QSP modeling; he is also a founder and holds equity in OptaNova Pharma and Terebra Therapeutics outside the work described therein. The terms of these arrangements are being managed by the Johns Hopkins University in accordance with its conflict-of-interest policies. J.E. declares that the research was conducted in the absence of any commercial or financial relationships that could be construed as a potential conflict of interest.</w:t>
      </w:r>
    </w:p>
    <w:p>
      <w:pPr>
        <w:pStyle w:val="BodyText"/>
      </w:pPr>
      <w:r>
        <w:rPr>
          <w:i/>
          <w:iCs/>
        </w:rPr>
        <w:t xml:space="preserve">Funding:</w:t>
      </w:r>
      <w:r>
        <w:t xml:space="preserve"> </w:t>
      </w:r>
      <w:r>
        <w:t xml:space="preserve">The research was funded by the Lustgarten Foundation: Pancreatic Cancer Research.</w:t>
      </w:r>
    </w:p>
    <w:bookmarkStart w:id="20" w:name="introduction"/>
    <w:p>
      <w:pPr>
        <w:pStyle w:val="Heading1"/>
      </w:pPr>
      <w:r>
        <w:rPr>
          <w:rStyle w:val="SectionNumber"/>
        </w:rPr>
        <w:t xml:space="preserve">1</w:t>
      </w:r>
      <w:r>
        <w:tab/>
      </w:r>
      <w:r>
        <w:t xml:space="preserve">Introduction</w:t>
      </w:r>
    </w:p>
    <w:p>
      <w:pPr>
        <w:pStyle w:val="FirstParagraph"/>
      </w:pPr>
      <w:r>
        <w:t xml:space="preserve">Quantitative systems pharmacology models translate mechanistic understanding of disease biology into predictions of drug response</w:t>
      </w:r>
      <w:r>
        <w:t xml:space="preserve"> </w:t>
      </w:r>
      <w:r>
        <w:t xml:space="preserve">(Gadkar et al. 2016)</w:t>
      </w:r>
      <w:r>
        <w:t xml:space="preserve">. QSP models can comprise tens to hundreds of ordinary differential equations, and calibration requires data from diverse sources including targeted experimental studies and clinical endpoints</w:t>
      </w:r>
      <w:r>
        <w:t xml:space="preserve"> </w:t>
      </w:r>
      <w:r>
        <w:t xml:space="preserve">(H. Wang et al. 2025, 2024)</w:t>
      </w:r>
      <w:r>
        <w:t xml:space="preserve">. Because virtual population generation and virtual clinical trials depend on parameter distributions rather than point estimates</w:t>
      </w:r>
      <w:r>
        <w:t xml:space="preserve"> </w:t>
      </w:r>
      <w:r>
        <w:t xml:space="preserve">(Rieger et al. 2018; Craig et al. 2023)</w:t>
      </w:r>
      <w:r>
        <w:t xml:space="preserve">, calibration must quantify uncertainty. As QSP increasingly integrates with machine learning</w:t>
      </w:r>
      <w:r>
        <w:t xml:space="preserve"> </w:t>
      </w:r>
      <w:r>
        <w:t xml:space="preserve">(Folguera-Blasco et al. 2024; Terranova et al. 2024; Goryanin, Goryanin, and Demin 2025; Androulakis, Cucurull-Sanchez, et al. 2025; Androulakis, Cheng, et al. 2025)</w:t>
      </w:r>
      <w:r>
        <w:t xml:space="preserve">, the bottleneck of manual parameter extraction becomes more acute.</w:t>
      </w:r>
    </w:p>
    <w:p>
      <w:pPr>
        <w:pStyle w:val="BodyText"/>
      </w:pPr>
      <w:r>
        <w:t xml:space="preserve">Extracting calibration data from literature requires judgment about applicability, uncertainty, and potential biases, with full provenance for reproducibility. We use the term</w:t>
      </w:r>
      <w:r>
        <w:t xml:space="preserve"> </w:t>
      </w:r>
      <w:r>
        <w:rPr>
          <w:i/>
          <w:iCs/>
        </w:rPr>
        <w:t xml:space="preserve">calibration target</w:t>
      </w:r>
      <w:r>
        <w:t xml:space="preserve"> </w:t>
      </w:r>
      <w:r>
        <w:t xml:space="preserve">to refer to a structured representation of published data that captures what was measured, under what conditions, with what uncertainty, and how that measurement relates to model parameters. Some studies isolate specific mechanisms (e.g., in vitro proliferation assays, ex vivo cytotoxicity studies) and directly constrain individual parameters, while clinical and in vivo endpoints constrain the integrated model.</w:t>
      </w:r>
    </w:p>
    <w:p>
      <w:pPr>
        <w:pStyle w:val="BodyText"/>
      </w:pPr>
      <w:r>
        <w:t xml:space="preserve">Manual curation remains the standard approach but is labor-intensive, with inconsistent documentation across individuals and projects. When personnel change, the reasoning behind parameter choices may be lost. Without structured representations, combining constraints from multiple experiments requires ad-hoc scripting with no standard path from extracted data to inference code. Traditional NLP pipelines for automated extraction require task-specific training data</w:t>
      </w:r>
      <w:r>
        <w:t xml:space="preserve"> </w:t>
      </w:r>
      <w:r>
        <w:t xml:space="preserve">(Zhao et al. 2021; Hu et al. 2024; Gonzalez Hernandez et al. 2024)</w:t>
      </w:r>
      <w:r>
        <w:t xml:space="preserve"> </w:t>
      </w:r>
      <w:r>
        <w:t xml:space="preserve">and do not generalize to the diverse parameter types in QSP modeling.</w:t>
      </w:r>
    </w:p>
    <w:p>
      <w:pPr>
        <w:pStyle w:val="BodyText"/>
      </w:pPr>
      <w:r>
        <w:t xml:space="preserve">Large language models offer a more flexible approach. LLMs can identify relevant literature given mechanistic context, read scientific text, and extract information into structured templates</w:t>
      </w:r>
      <w:r>
        <w:t xml:space="preserve"> </w:t>
      </w:r>
      <w:r>
        <w:t xml:space="preserve">(He et al. 2026; Khan et al. 2024; Saini and Farnoud 2025; Hsu and Roberts 2025; X. Wang et al. 2025)</w:t>
      </w:r>
      <w:r>
        <w:t xml:space="preserve">. However, LLMs exhibit hallucination and fabrication errors that are unacceptable for quantitative modeling</w:t>
      </w:r>
      <w:r>
        <w:t xml:space="preserve"> </w:t>
      </w:r>
      <w:r>
        <w:t xml:space="preserve">(Farquhar et al. 2024; Huang et al. 2025; Pandit et al. 2025)</w:t>
      </w:r>
      <w:r>
        <w:t xml:space="preserve">. Many of these failure modes, however, are amenable to systematic detection: hallucinated values can be caught by requiring verbatim source text, fabricated citations through DOI resolution, and internal inconsistencies through schema validation. This suggests a workflow where LLMs handle extraction while automated validators catch characteristic errors, with Pydantic</w:t>
      </w:r>
      <w:r>
        <w:t xml:space="preserve"> </w:t>
      </w:r>
      <w:r>
        <w:t xml:space="preserve">(Colvin et al. 2025)</w:t>
      </w:r>
      <w:r>
        <w:t xml:space="preserve">, a Python data validation library, enabling a self-correcting retry loop.</w:t>
      </w:r>
    </w:p>
    <w:p>
      <w:pPr>
        <w:pStyle w:val="BodyText"/>
      </w:pPr>
      <w:r>
        <w:t xml:space="preserve">We present MAPLE (Model-Aware Parameterization from Literature Evidence), a framework for LLM-assisted QSP model calibration with four components: (1) model-aware literature search using mechanistic context to guide LLM web search; (2) validated YAML schemas for two calibration regimes (isolated experiments constraining individual parameters, and clinical/in vivo endpoints constraining the full model), separating data extraction from model specification while preserving traceability; (3) targeted validators for hallucination detection (value-in-snippet matching), citation verification (DOI resolution), and code correctness; and (4) code generation for Bayesian inference. We evaluate MAPLE on calibration targets for a PDAC QSP model and report metrics on validation performance and extraction reliability.</w:t>
      </w:r>
    </w:p>
    <w:bookmarkEnd w:id="20"/>
    <w:bookmarkStart w:id="37" w:name="methods"/>
    <w:p>
      <w:pPr>
        <w:pStyle w:val="Heading1"/>
      </w:pPr>
      <w:r>
        <w:rPr>
          <w:rStyle w:val="SectionNumber"/>
        </w:rPr>
        <w:t xml:space="preserve">2</w:t>
      </w:r>
      <w:r>
        <w:tab/>
      </w:r>
      <w:r>
        <w:t xml:space="preserve">Methods</w:t>
      </w:r>
    </w:p>
    <w:bookmarkStart w:id="21" w:name="model-aware-literature-search"/>
    <w:p>
      <w:pPr>
        <w:pStyle w:val="Heading2"/>
      </w:pPr>
      <w:r>
        <w:rPr>
          <w:rStyle w:val="SectionNumber"/>
        </w:rPr>
        <w:t xml:space="preserve">2.1</w:t>
      </w:r>
      <w:r>
        <w:tab/>
      </w:r>
      <w:r>
        <w:t xml:space="preserve">Model-Aware Literature Search</w:t>
      </w:r>
    </w:p>
    <w:p>
      <w:pPr>
        <w:pStyle w:val="FirstParagraph"/>
      </w:pPr>
      <w:r>
        <w:t xml:space="preserve">The user specifies which model parameters need calibration, and the system builds a prompt that guides an LLM with web search capability to find relevant experimental literature. The framework supports multiple LLM providers (OpenAI, Anthropic, Google) through a common interface. In this study, we used GPT-5.1 for batch extraction and Claude Opus 4.6 for interactive extraction.</w:t>
      </w:r>
    </w:p>
    <w:p>
      <w:pPr>
        <w:pStyle w:val="BodyText"/>
      </w:pPr>
      <w:r>
        <w:t xml:space="preserve">The prompt injects mechanistic context from the model structure: for each target parameter, the system retrieves the parameter’s name, units, and description; the reactions where it appears with rate laws; the species involved; and the broader reaction network. This context guides the LLM toward experiments that constrain the target parameters. Source exclusion prevents reuse of papers across extractions to promote literature diversity. The prompt also includes the complete schema structure and guidance on common pitfalls (SEM vs. SD conversion, hardcoded constants, source relevance documentation), reducing the retry loop by preventing predictable errors.</w:t>
      </w:r>
    </w:p>
    <w:bookmarkEnd w:id="21"/>
    <w:bookmarkStart w:id="28" w:name="schema-design"/>
    <w:p>
      <w:pPr>
        <w:pStyle w:val="Heading2"/>
      </w:pPr>
      <w:r>
        <w:rPr>
          <w:rStyle w:val="SectionNumber"/>
        </w:rPr>
        <w:t xml:space="preserve">2.2</w:t>
      </w:r>
      <w:r>
        <w:tab/>
      </w:r>
      <w:r>
        <w:t xml:space="preserve">Schema Design</w:t>
      </w:r>
    </w:p>
    <w:p>
      <w:pPr>
        <w:pStyle w:val="FirstParagraph"/>
      </w:pPr>
      <w:r>
        <w:t xml:space="preserve">The framework defines two complementary schemas for two calibration regimes. The</w:t>
      </w:r>
      <w:r>
        <w:t xml:space="preserve"> </w:t>
      </w:r>
      <w:r>
        <w:rPr>
          <w:i/>
          <w:iCs/>
        </w:rPr>
        <w:t xml:space="preserve">SubmodelTarget</w:t>
      </w:r>
      <w:r>
        <w:t xml:space="preserve"> </w:t>
      </w:r>
      <w:r>
        <w:t xml:space="preserve">schema captures isolated experiments (in vitro assays, single-mechanism studies) that constrain individual model parameters through simplified forward models. The</w:t>
      </w:r>
      <w:r>
        <w:t xml:space="preserve"> </w:t>
      </w:r>
      <w:r>
        <w:rPr>
          <w:i/>
          <w:iCs/>
        </w:rPr>
        <w:t xml:space="preserve">CalibrationTarget</w:t>
      </w:r>
      <w:r>
        <w:t xml:space="preserve"> </w:t>
      </w:r>
      <w:r>
        <w:t xml:space="preserve">schema captures clinical and in vivo endpoints that constrain the full model through observables computed over the complete species state. Both schemas share a common design philosophy but differ in how they connect literature data to model parameters.</w:t>
      </w:r>
    </w:p>
    <w:bookmarkStart w:id="22" w:name="shared-design-principles"/>
    <w:p>
      <w:pPr>
        <w:pStyle w:val="Heading3"/>
      </w:pPr>
      <w:r>
        <w:rPr>
          <w:rStyle w:val="SectionNumber"/>
        </w:rPr>
        <w:t xml:space="preserve">2.2.1</w:t>
      </w:r>
      <w:r>
        <w:tab/>
      </w:r>
      <w:r>
        <w:t xml:space="preserve">Shared Design Principles</w:t>
      </w:r>
    </w:p>
    <w:p>
      <w:pPr>
        <w:pStyle w:val="FirstParagraph"/>
      </w:pPr>
      <w:r>
        <w:t xml:space="preserve">Both schemas enforce a data-first architecture: extraction of what the paper reports is separated from specification of how to use it for calibration. Every extracted numeric value must appear verbatim in a quoted text snippet from the source, creating an auditable trail and enabling automated hallucination detection. Both schemas require structured source documentation (DOI, title, authors), source relevance assessment (indication match, species translation, TME compatibility), and experimental context metadata (species, system type, disease stage). When YAML is parsed, the framework validates all constraints automatically, with structured error messages providing actionable feedback for the LLM retry loop.</w:t>
      </w:r>
    </w:p>
    <w:bookmarkEnd w:id="22"/>
    <w:bookmarkStart w:id="24" w:name="Xa0d23945fec2b79573423a926d41eae4b58d918"/>
    <w:p>
      <w:pPr>
        <w:pStyle w:val="Heading3"/>
      </w:pPr>
      <w:r>
        <w:rPr>
          <w:rStyle w:val="SectionNumber"/>
        </w:rPr>
        <w:t xml:space="preserve">2.2.2</w:t>
      </w:r>
      <w:r>
        <w:tab/>
      </w:r>
      <w:r>
        <w:t xml:space="preserve">SubmodelTarget: Parameter Priors from Isolated Experiments</w:t>
      </w:r>
    </w:p>
    <w:p>
      <w:pPr>
        <w:pStyle w:val="FirstParagraph"/>
      </w:pPr>
      <w:r>
        <w:t xml:space="preserve">The SubmodelTarget schema structures calibration targets into two layers: an</w:t>
      </w:r>
      <w:r>
        <w:t xml:space="preserve"> </w:t>
      </w:r>
      <w:r>
        <w:rPr>
          <w:i/>
          <w:iCs/>
        </w:rPr>
        <w:t xml:space="preserve">inputs</w:t>
      </w:r>
      <w:r>
        <w:t xml:space="preserve"> </w:t>
      </w:r>
      <w:r>
        <w:t xml:space="preserve">layer that captures data exactly as reported in the literature (value, units, uncertainty, sample size, source reference, and quoted snippet), and a</w:t>
      </w:r>
      <w:r>
        <w:t xml:space="preserve"> </w:t>
      </w:r>
      <w:r>
        <w:rPr>
          <w:i/>
          <w:iCs/>
        </w:rPr>
        <w:t xml:space="preserve">calibration</w:t>
      </w:r>
      <w:r>
        <w:t xml:space="preserve"> </w:t>
      </w:r>
      <w:r>
        <w:t xml:space="preserve">layer that specifies how that data constrains model parameters through a simplified forward model. For time-course data, this is typically a simplified ODE (e.g., exponential growth</w:t>
      </w:r>
      <w:r>
        <w:t xml:space="preserve"> </w:t>
      </w:r>
      <m:oMath>
        <m:r>
          <m:t>d</m:t>
        </m:r>
        <m:r>
          <m:t>y</m:t>
        </m:r>
        <m:r>
          <m:rPr>
            <m:sty m:val="p"/>
          </m:rPr>
          <m:t>/</m:t>
        </m:r>
        <m:r>
          <m:t>d</m:t>
        </m:r>
        <m:r>
          <m:t>t</m:t>
        </m:r>
        <m:r>
          <m:rPr>
            <m:sty m:val="p"/>
          </m:rPr>
          <m:t>=</m:t>
        </m:r>
        <m:r>
          <m:t>k</m:t>
        </m:r>
        <m:r>
          <m:rPr>
            <m:sty m:val="p"/>
          </m:rPr>
          <m:t>⋅</m:t>
        </m:r>
        <m:r>
          <m:t>y</m:t>
        </m:r>
      </m:oMath>
      <w:r>
        <w:t xml:space="preserve">); for derived measurements, an algebraic model may suffice (e.g.,</w:t>
      </w:r>
      <w:r>
        <w:t xml:space="preserve"> </w:t>
      </w:r>
      <m:oMath>
        <m:sSub>
          <m:e>
            <m:r>
              <m:t>t</m:t>
            </m:r>
          </m:e>
          <m:sub>
            <m:r>
              <m:t>1</m:t>
            </m:r>
            <m:r>
              <m:rPr>
                <m:sty m:val="p"/>
              </m:rPr>
              <m:t>/</m:t>
            </m:r>
            <m:r>
              <m:t>2</m:t>
            </m:r>
          </m:sub>
        </m:sSub>
        <m:r>
          <m:rPr>
            <m:sty m:val="p"/>
          </m:rPr>
          <m:t>=</m:t>
        </m:r>
        <m:r>
          <m:rPr>
            <m:sty m:val="p"/>
          </m:rPr>
          <m:t>ln</m:t>
        </m:r>
        <m:d>
          <m:dPr>
            <m:begChr m:val="("/>
            <m:sepChr m:val=""/>
            <m:endChr m:val=")"/>
            <m:grow/>
          </m:dPr>
          <m:e>
            <m:r>
              <m:t>2</m:t>
            </m:r>
          </m:e>
        </m:d>
        <m:r>
          <m:rPr>
            <m:sty m:val="p"/>
          </m:rPr>
          <m:t>/</m:t>
        </m:r>
        <m:r>
          <m:t>k</m:t>
        </m:r>
      </m:oMath>
      <w:r>
        <w:t xml:space="preserve">). In both cases, the submodel derives from the full QSP model by isolating relevant species. Shared parameter names establish the connection: a proliferation rate named</w:t>
      </w:r>
      <w:r>
        <w:t xml:space="preserve"> </w:t>
      </w:r>
      <w:r>
        <w:rPr>
          <w:rStyle w:val="VerbatimChar"/>
        </w:rPr>
        <w:t xml:space="preserve">k_apsc_prolif</w:t>
      </w:r>
      <w:r>
        <w:t xml:space="preserve"> </w:t>
      </w:r>
      <w:r>
        <w:t xml:space="preserve">in a submodel refers to the same parameter in the full model, allowing posteriors to serve directly as priors for full-model calibration. Each parameter includes a prior distribution with documented rationale, and an error model specifies the likelihood function connecting predictions to data. Supplementary Section S6 provides detailed field descriptions with YAML examples.</w:t>
      </w:r>
    </w:p>
    <w:bookmarkStart w:id="23" w:name="forward-model-type-system."/>
    <w:p>
      <w:pPr>
        <w:pStyle w:val="Heading4"/>
      </w:pPr>
      <w:r>
        <w:rPr>
          <w:rStyle w:val="SectionNumber"/>
        </w:rPr>
        <w:t xml:space="preserve">2.2.2.1</w:t>
      </w:r>
      <w:r>
        <w:tab/>
      </w:r>
      <w:r>
        <w:t xml:space="preserve">Forward model type system.</w:t>
      </w:r>
    </w:p>
    <w:p>
      <w:pPr>
        <w:pStyle w:val="FirstParagraph"/>
      </w:pPr>
      <w:r>
        <w:t xml:space="preserve">The schema provides 15 built-in forward model types organized in four categories: ODE templates (exponential growth, first-order decay, two-state transitions, logistic growth, saturation, Michaelis-Menten), structured steady-state types for equilibrium measurements, a batch accumulation type for secretion assays, and generic fallbacks (algebraic, direct fit, custom). The complete type system is described in Supplementary Table S2. Each structured model declares its fields as typed roles (calibration parameter, extracted input, reference value, or literal) rather than raw values, allowing the same template to serve different estimation scenarios depending on which field is treated as the unknown.</w:t>
      </w:r>
    </w:p>
    <w:p>
      <w:pPr>
        <w:pStyle w:val="BodyText"/>
      </w:pPr>
      <w:r>
        <w:t xml:space="preserve">A complete SubmodelTarget example is provided in Supplementary Section S1.</w:t>
      </w:r>
    </w:p>
    <w:bookmarkEnd w:id="23"/>
    <w:bookmarkEnd w:id="24"/>
    <w:bookmarkStart w:id="25" w:name="X6c02c05def3e69bfcdc77fb47c856927d45ae16"/>
    <w:p>
      <w:pPr>
        <w:pStyle w:val="Heading3"/>
      </w:pPr>
      <w:r>
        <w:rPr>
          <w:rStyle w:val="SectionNumber"/>
        </w:rPr>
        <w:t xml:space="preserve">2.2.3</w:t>
      </w:r>
      <w:r>
        <w:tab/>
      </w:r>
      <w:r>
        <w:t xml:space="preserve">CalibrationTarget: Clinical and In Vivo Endpoints</w:t>
      </w:r>
    </w:p>
    <w:p>
      <w:pPr>
        <w:pStyle w:val="FirstParagraph"/>
      </w:pPr>
      <w:r>
        <w:t xml:space="preserve">Many calibration constraints come from clinical or in vivo studies where the measurement reflects integrated model behavior. For example, intratumoral CD8+ T cell density reflects the net effect of recruitment, proliferation, exhaustion, and death. The CalibrationTarget schema represents these full-model endpoints through three components. The</w:t>
      </w:r>
      <w:r>
        <w:t xml:space="preserve"> </w:t>
      </w:r>
      <w:r>
        <w:rPr>
          <w:i/>
          <w:iCs/>
        </w:rPr>
        <w:t xml:space="preserve">observable</w:t>
      </w:r>
      <w:r>
        <w:t xml:space="preserve"> </w:t>
      </w:r>
      <w:r>
        <w:t xml:space="preserve">specifies how to compute the measurement from model species as a Python function that receives the solved state and returns a quantity with units; named constants carry provenance traced to a curated reference database or literature source. The</w:t>
      </w:r>
      <w:r>
        <w:t xml:space="preserve"> </w:t>
      </w:r>
      <w:r>
        <w:rPr>
          <w:i/>
          <w:iCs/>
        </w:rPr>
        <w:t xml:space="preserve">empirical data</w:t>
      </w:r>
      <w:r>
        <w:t xml:space="preserve"> </w:t>
      </w:r>
      <w:r>
        <w:t xml:space="preserve">block derives summary statistics (median and 95% CI) from literature inputs via Monte Carlo simulation, handling complications like subgroup mixing, SEM-to-SD conversion, and non-Gaussian uncertainty. For intervention studies, a</w:t>
      </w:r>
      <w:r>
        <w:t xml:space="preserve"> </w:t>
      </w:r>
      <w:r>
        <w:rPr>
          <w:i/>
          <w:iCs/>
        </w:rPr>
        <w:t xml:space="preserve">scenario</w:t>
      </w:r>
      <w:r>
        <w:t xml:space="preserve"> </w:t>
      </w:r>
      <w:r>
        <w:t xml:space="preserve">block captures treatment context (agents, doses, schedules). Complete examples and schema definitions are provided in Supplementary Sections S7 and S5.</w:t>
      </w:r>
    </w:p>
    <w:bookmarkEnd w:id="25"/>
    <w:bookmarkStart w:id="26" w:name="sec:source-relevance"/>
    <w:p>
      <w:pPr>
        <w:pStyle w:val="Heading3"/>
      </w:pPr>
      <w:r>
        <w:rPr>
          <w:rStyle w:val="SectionNumber"/>
        </w:rPr>
        <w:t xml:space="preserve">2.2.4</w:t>
      </w:r>
      <w:r>
        <w:tab/>
      </w:r>
      <w:r>
        <w:t xml:space="preserve">Source Relevance Assessment</w:t>
      </w:r>
    </w:p>
    <w:p>
      <w:pPr>
        <w:pStyle w:val="FirstParagraph"/>
      </w:pPr>
      <w:r>
        <w:t xml:space="preserve">Experimental data rarely matches the target model perfectly. The</w:t>
      </w:r>
      <w:r>
        <w:t xml:space="preserve"> </w:t>
      </w:r>
      <w:r>
        <w:rPr>
          <w:rStyle w:val="VerbatimChar"/>
        </w:rPr>
        <w:t xml:space="preserve">source_relevance</w:t>
      </w:r>
      <w:r>
        <w:t xml:space="preserve"> </w:t>
      </w:r>
      <w:r>
        <w:t xml:space="preserve">block documents the translation from source context to model context across several dimensions: indication match (exact, related, proxy, or unrelated), species translation (e.g., mouse to human), evidence type (clinical, in vitro, animal, review), and tumor microenvironment compatibility. Each dimension requires justification when the source deviates from the target model. An</w:t>
      </w:r>
      <w:r>
        <w:t xml:space="preserve"> </w:t>
      </w:r>
      <w:r>
        <w:rPr>
          <w:rStyle w:val="VerbatimChar"/>
        </w:rPr>
        <w:t xml:space="preserve">estimated_translation_uncertainty_fold</w:t>
      </w:r>
      <w:r>
        <w:t xml:space="preserve"> </w:t>
      </w:r>
      <w:r>
        <w:t xml:space="preserve">field quantifies the combined expected uncertainty from all translation factors, which propagates to prior width during inference (e.g., cross-species extraction from a proxy indication might warrant 10-fold uncertainty). Supplementary Section S13 provides detailed field descriptions.</w:t>
      </w:r>
    </w:p>
    <w:bookmarkEnd w:id="26"/>
    <w:bookmarkStart w:id="27" w:name="schema-implementation"/>
    <w:p>
      <w:pPr>
        <w:pStyle w:val="Heading3"/>
      </w:pPr>
      <w:r>
        <w:rPr>
          <w:rStyle w:val="SectionNumber"/>
        </w:rPr>
        <w:t xml:space="preserve">2.2.5</w:t>
      </w:r>
      <w:r>
        <w:tab/>
      </w:r>
      <w:r>
        <w:t xml:space="preserve">Schema Implementation</w:t>
      </w:r>
    </w:p>
    <w:p>
      <w:pPr>
        <w:pStyle w:val="FirstParagraph"/>
      </w:pPr>
      <w:r>
        <w:t xml:space="preserve">Both schemas are implemented using Pydantic</w:t>
      </w:r>
      <w:r>
        <w:t xml:space="preserve"> </w:t>
      </w:r>
      <w:r>
        <w:t xml:space="preserve">(Colvin et al. 2025)</w:t>
      </w:r>
      <w:r>
        <w:t xml:space="preserve"> </w:t>
      </w:r>
      <w:r>
        <w:t xml:space="preserve">with typed fields and constraints validated automatically during YAML parsing. Validation error messages are detailed and structured (e.g., reporting field path, expected type, and actual value), providing actionable feedback for the LLM retry loop. SubmodelTarget uses discriminated unions for its 15 forward model types; CalibrationTarget uses a class hierarchy with shared base models. Supplementary Section S5 provides the complete schema definitions and Supplementary Section S12 provides implementation details.</w:t>
      </w:r>
    </w:p>
    <w:bookmarkEnd w:id="27"/>
    <w:bookmarkEnd w:id="28"/>
    <w:bookmarkStart w:id="33" w:name="validation-framework"/>
    <w:p>
      <w:pPr>
        <w:pStyle w:val="Heading2"/>
      </w:pPr>
      <w:r>
        <w:rPr>
          <w:rStyle w:val="SectionNumber"/>
        </w:rPr>
        <w:t xml:space="preserve">2.3</w:t>
      </w:r>
      <w:r>
        <w:tab/>
      </w:r>
      <w:r>
        <w:t xml:space="preserve">Validation Framework</w:t>
      </w:r>
    </w:p>
    <w:p>
      <w:pPr>
        <w:pStyle w:val="FirstParagraph"/>
      </w:pPr>
      <w:r>
        <w:t xml:space="preserve">Both schemas share a common validation core (DOI resolution, value-in-snippet matching, unit parsing, source relevance checks) with schema-specific extensions. Each validator runs independently, and a target must pass all validators before proceeding to downstream use.</w:t>
      </w:r>
    </w:p>
    <w:bookmarkStart w:id="29" w:name="reference-validation"/>
    <w:p>
      <w:pPr>
        <w:pStyle w:val="Heading3"/>
      </w:pPr>
      <w:r>
        <w:rPr>
          <w:rStyle w:val="SectionNumber"/>
        </w:rPr>
        <w:t xml:space="preserve">2.3.1</w:t>
      </w:r>
      <w:r>
        <w:tab/>
      </w:r>
      <w:r>
        <w:t xml:space="preserve">Reference Validation</w:t>
      </w:r>
    </w:p>
    <w:p>
      <w:pPr>
        <w:pStyle w:val="FirstParagraph"/>
      </w:pPr>
      <w:r>
        <w:t xml:space="preserve">LLMs sometimes generate references to entities that do not exist elsewhere in the document. Reference validators check that every</w:t>
      </w:r>
      <w:r>
        <w:t xml:space="preserve"> </w:t>
      </w:r>
      <w:r>
        <w:rPr>
          <w:rStyle w:val="VerbatimChar"/>
        </w:rPr>
        <w:t xml:space="preserve">uses_inputs</w:t>
      </w:r>
      <w:r>
        <w:t xml:space="preserve"> </w:t>
      </w:r>
      <w:r>
        <w:t xml:space="preserve">reference matches a defined input name, every</w:t>
      </w:r>
      <w:r>
        <w:t xml:space="preserve"> </w:t>
      </w:r>
      <w:r>
        <w:rPr>
          <w:rStyle w:val="VerbatimChar"/>
        </w:rPr>
        <w:t xml:space="preserve">source_ref</w:t>
      </w:r>
      <w:r>
        <w:t xml:space="preserve"> </w:t>
      </w:r>
      <w:r>
        <w:t xml:space="preserve">matches a defined source, parameters referenced in the model exist in the parameter list, and observable definitions reference valid state variables.</w:t>
      </w:r>
    </w:p>
    <w:bookmarkEnd w:id="29"/>
    <w:bookmarkStart w:id="30" w:name="content-validation"/>
    <w:p>
      <w:pPr>
        <w:pStyle w:val="Heading3"/>
      </w:pPr>
      <w:r>
        <w:rPr>
          <w:rStyle w:val="SectionNumber"/>
        </w:rPr>
        <w:t xml:space="preserve">2.3.2</w:t>
      </w:r>
      <w:r>
        <w:tab/>
      </w:r>
      <w:r>
        <w:t xml:space="preserve">Content Validation</w:t>
      </w:r>
    </w:p>
    <w:p>
      <w:pPr>
        <w:pStyle w:val="FirstParagraph"/>
      </w:pPr>
      <w:r>
        <w:t xml:space="preserve">Content validators address fabrication of values, citations, and other factual claims.</w:t>
      </w:r>
      <w:r>
        <w:t xml:space="preserve"> </w:t>
      </w:r>
      <w:r>
        <w:rPr>
          <w:i/>
          <w:iCs/>
        </w:rPr>
        <w:t xml:space="preserve">DOI validation</w:t>
      </w:r>
      <w:r>
        <w:t xml:space="preserve"> </w:t>
      </w:r>
      <w:r>
        <w:t xml:space="preserve">queries CrossRef for every DOI; title validation further checks that the extracted paper title fuzzy-matches the CrossRef metadata (75% similarity threshold), catching cases where a valid DOI is paired with fabricated bibliographic details.</w:t>
      </w:r>
      <w:r>
        <w:t xml:space="preserve"> </w:t>
      </w:r>
      <w:r>
        <w:rPr>
          <w:i/>
          <w:iCs/>
        </w:rPr>
        <w:t xml:space="preserve">Value-in-snippet validation</w:t>
      </w:r>
      <w:r>
        <w:t xml:space="preserve"> </w:t>
      </w:r>
      <w:r>
        <w:t xml:space="preserve">compares each extracted numeric value against its associated source text, providing the primary anti-hallucination defense: when an LLM hallucinates a number, it rarely fabricates a consistent snippet, and the mismatch provides a reliable detection signal. A separate external validator (Section </w:t>
      </w:r>
      <w:hyperlink w:anchor="sec:external-validation">
        <w:r>
          <w:rPr>
            <w:rStyle w:val="Hyperlink"/>
          </w:rPr>
          <w:t xml:space="preserve">2.3.3</w:t>
        </w:r>
      </w:hyperlink>
      <w:r>
        <w:t xml:space="preserve">) further verifies that snippets appear in the cited papers.</w:t>
      </w:r>
      <w:r>
        <w:t xml:space="preserve"> </w:t>
      </w:r>
      <w:r>
        <w:rPr>
          <w:i/>
          <w:iCs/>
        </w:rPr>
        <w:t xml:space="preserve">Unit validation</w:t>
      </w:r>
      <w:r>
        <w:t xml:space="preserve"> </w:t>
      </w:r>
      <w:r>
        <w:t xml:space="preserve">parses all unit strings using Pint</w:t>
      </w:r>
      <w:r>
        <w:t xml:space="preserve"> </w:t>
      </w:r>
      <w:r>
        <w:t xml:space="preserve">(Grecco 2025)</w:t>
      </w:r>
      <w:r>
        <w:t xml:space="preserve"> </w:t>
      </w:r>
      <w:r>
        <w:t xml:space="preserve">to verify dimensional validity.</w:t>
      </w:r>
      <w:r>
        <w:t xml:space="preserve"> </w:t>
      </w:r>
      <w:r>
        <w:rPr>
          <w:i/>
          <w:iCs/>
        </w:rPr>
        <w:t xml:space="preserve">Code validation</w:t>
      </w:r>
      <w:r>
        <w:t xml:space="preserve"> </w:t>
      </w:r>
      <w:r>
        <w:t xml:space="preserve">executes observation and observable code with mock data to verify correct behavior, catching logic errors and signature mismatches before inference.</w:t>
      </w:r>
      <w:r>
        <w:t xml:space="preserve"> </w:t>
      </w:r>
      <w:r>
        <w:rPr>
          <w:i/>
          <w:iCs/>
        </w:rPr>
        <w:t xml:space="preserve">Hardcoded constant detection</w:t>
      </w:r>
      <w:r>
        <w:t xml:space="preserve"> </w:t>
      </w:r>
      <w:r>
        <w:t xml:space="preserve">scans code blocks for undocumented numeric literals that should be traced to inputs or reference values.</w:t>
      </w:r>
      <w:r>
        <w:t xml:space="preserve"> </w:t>
      </w:r>
      <w:r>
        <w:rPr>
          <w:i/>
          <w:iCs/>
        </w:rPr>
        <w:t xml:space="preserve">Scale consistency validation</w:t>
      </w:r>
      <w:r>
        <w:t xml:space="preserve"> </w:t>
      </w:r>
      <w:r>
        <w:t xml:space="preserve">checks that observable outputs respond appropriately to varying inputs and have expected magnitudes.</w:t>
      </w:r>
      <w:r>
        <w:t xml:space="preserve"> </w:t>
      </w:r>
      <w:r>
        <w:rPr>
          <w:i/>
          <w:iCs/>
        </w:rPr>
        <w:t xml:space="preserve">Source relevance validators</w:t>
      </w:r>
      <w:r>
        <w:t xml:space="preserve"> </w:t>
      </w:r>
      <w:r>
        <w:t xml:space="preserve">enforce minimum uncertainty thresholds for cross-species (2-fold), cross-indication (3-fold), and low TME compatibility (10-fold) extractions, ensuring translation uncertainty propagates to prior widths.</w:t>
      </w:r>
    </w:p>
    <w:p>
      <w:pPr>
        <w:pStyle w:val="BodyText"/>
      </w:pPr>
      <w:r>
        <w:t xml:space="preserve">Each validator raises a specific exception class with a</w:t>
      </w:r>
      <w:r>
        <w:t xml:space="preserve"> </w:t>
      </w:r>
      <w:r>
        <w:rPr>
          <w:rStyle w:val="VerbatimChar"/>
        </w:rPr>
        <w:t xml:space="preserve">category</w:t>
      </w:r>
      <w:r>
        <w:t xml:space="preserve"> </w:t>
      </w:r>
      <w:r>
        <w:t xml:space="preserve">attribute (hallucination, fabrication, code, units, reference, structural, prior) that enables aggregation across extraction runs and feeds into the metrics reported in Section </w:t>
      </w:r>
      <w:hyperlink w:anchor="sec:results">
        <w:r>
          <w:rPr>
            <w:rStyle w:val="Hyperlink"/>
          </w:rPr>
          <w:t xml:space="preserve">3</w:t>
        </w:r>
      </w:hyperlink>
      <w:r>
        <w:t xml:space="preserve">. Exception messages are designed for the LLM retry loop, including both the specific failure and guidance for correction. Optional Logfire instrumentation</w:t>
      </w:r>
      <w:r>
        <w:t xml:space="preserve"> </w:t>
      </w:r>
      <w:r>
        <w:t xml:space="preserve">(Pydantic 2025)</w:t>
      </w:r>
      <w:r>
        <w:t xml:space="preserve"> </w:t>
      </w:r>
      <w:r>
        <w:t xml:space="preserve">provides OpenTelemetry-based tracing for debugging extraction failures. Supplementary Section S3 provides implementation details for each validator.</w:t>
      </w:r>
    </w:p>
    <w:bookmarkEnd w:id="30"/>
    <w:bookmarkStart w:id="31" w:name="sec:external-validation"/>
    <w:p>
      <w:pPr>
        <w:pStyle w:val="Heading3"/>
      </w:pPr>
      <w:r>
        <w:rPr>
          <w:rStyle w:val="SectionNumber"/>
        </w:rPr>
        <w:t xml:space="preserve">2.3.3</w:t>
      </w:r>
      <w:r>
        <w:tab/>
      </w:r>
      <w:r>
        <w:t xml:space="preserve">External Validation</w:t>
      </w:r>
    </w:p>
    <w:p>
      <w:pPr>
        <w:pStyle w:val="FirstParagraph"/>
      </w:pPr>
      <w:r>
        <w:t xml:space="preserve">An additional external validator verifies that value snippets actually appear in the cited source papers by fetching paper text from Europe PMC and Unpaywall using the DOI, then using fuzzy matching (80% similarity threshold) to locate each snippet. This catches a subtle failure mode where the LLM fabricates plausible-looking snippets that contain the correct value but do not actually appear in the cited paper. Because this requires network access to external APIs, it runs as a separate manual step.</w:t>
      </w:r>
    </w:p>
    <w:bookmarkEnd w:id="31"/>
    <w:bookmarkStart w:id="32" w:name="X101502c901c55e934415d66409a9a442968d947"/>
    <w:p>
      <w:pPr>
        <w:pStyle w:val="Heading3"/>
      </w:pPr>
      <w:r>
        <w:rPr>
          <w:rStyle w:val="SectionNumber"/>
        </w:rPr>
        <w:t xml:space="preserve">2.3.4</w:t>
      </w:r>
      <w:r>
        <w:tab/>
      </w:r>
      <w:r>
        <w:t xml:space="preserve">Structural and CalibrationTarget-Specific Validation</w:t>
      </w:r>
    </w:p>
    <w:p>
      <w:pPr>
        <w:pStyle w:val="FirstParagraph"/>
      </w:pPr>
      <w:r>
        <w:t xml:space="preserve">Structural validators check schema-level constraints (time span ordering, required fields per model type, array dimension consistency). CalibrationTarget adds validators for full-model observables: observable code execution against mock species data, a denominator audit for density/fraction observables (catching a common source of order-of-magnitude errors), species existence checks, and distribution code verification that computed summary statistics match reported empirical data within tolerance (1% for median, 10% for CI bounds). Supplementary Section S3 provides implementation details for all validators.</w:t>
      </w:r>
    </w:p>
    <w:bookmarkEnd w:id="32"/>
    <w:bookmarkEnd w:id="33"/>
    <w:bookmarkStart w:id="34" w:name="code-generation"/>
    <w:p>
      <w:pPr>
        <w:pStyle w:val="Heading2"/>
      </w:pPr>
      <w:r>
        <w:rPr>
          <w:rStyle w:val="SectionNumber"/>
        </w:rPr>
        <w:t xml:space="preserve">2.4</w:t>
      </w:r>
      <w:r>
        <w:tab/>
      </w:r>
      <w:r>
        <w:t xml:space="preserve">Code Generation</w:t>
      </w:r>
    </w:p>
    <w:p>
      <w:pPr>
        <w:pStyle w:val="FirstParagraph"/>
      </w:pPr>
      <w:r>
        <w:t xml:space="preserve">Validated SubmodelTarget specifications can be automatically translated into Julia scripts for Bayesian inference using Turing.jl</w:t>
      </w:r>
      <w:r>
        <w:t xml:space="preserve"> </w:t>
      </w:r>
      <w:r>
        <w:t xml:space="preserve">(Ge, Xu, and Ghahramani 2018)</w:t>
      </w:r>
      <w:r>
        <w:t xml:space="preserve">. The translator generates self-contained scripts with observed data constants, forward model functions, prior distributions, and likelihood terms. When multiple targets share parameters (identified by matching parameter names), the translator generates a joint model that declares each shared parameter once and constrains it from all relevant data sources simultaneously, yielding tighter posteriors than independent calibration. We chose to generate complete, readable scripts rather than provide a library abstraction, so that users can inspect, modify, and debug the inference model directly. Supplementary Section S4 provides details on the generated code structure, forward model handling, and inference diagnostics.</w:t>
      </w:r>
    </w:p>
    <w:p>
      <w:pPr>
        <w:pStyle w:val="BodyText"/>
      </w:pPr>
      <w:r>
        <w:t xml:space="preserve">The two schemas connect through a natural calibration pipeline: SubmodelTarget posteriors from isolated experiments become informative priors for full-model calibration against CalibrationTarget endpoints. Because SubmodelTarget parameter names match the full model, the posterior distributions transfer directly without post-hoc mapping.</w:t>
      </w:r>
    </w:p>
    <w:bookmarkEnd w:id="34"/>
    <w:bookmarkStart w:id="36" w:name="application-pdac-qsp-model"/>
    <w:p>
      <w:pPr>
        <w:pStyle w:val="Heading2"/>
      </w:pPr>
      <w:r>
        <w:rPr>
          <w:rStyle w:val="SectionNumber"/>
        </w:rPr>
        <w:t xml:space="preserve">2.5</w:t>
      </w:r>
      <w:r>
        <w:tab/>
      </w:r>
      <w:r>
        <w:t xml:space="preserve">Application: PDAC QSP Model</w:t>
      </w:r>
    </w:p>
    <w:p>
      <w:pPr>
        <w:pStyle w:val="FirstParagraph"/>
      </w:pPr>
      <w:r>
        <w:t xml:space="preserve">The PDAC QSP model used in this study is adapted from a spatial QSP model of hepatocellular carcinoma</w:t>
      </w:r>
      <w:r>
        <w:t xml:space="preserve"> </w:t>
      </w:r>
      <w:r>
        <w:t xml:space="preserve">(Zhang et al. 2025)</w:t>
      </w:r>
      <w:r>
        <w:t xml:space="preserve"> </w:t>
      </w:r>
      <w:r>
        <w:t xml:space="preserve">that first incorporated fibroblast dynamics into the tumor microenvironment. We evaluate MAPLE on this model using both schemas: 18 SubmodelTargets for individual parameter calibration from isolated experiments (spanning tumor growth, stromal dynamics, immune recruitment, and cytokine signaling), and 59 CalibrationTargets for full-model endpoints (baseline tumor microenvironment composition, neoadjuvant immunotherapy response, and clinical progression).</w:t>
      </w:r>
    </w:p>
    <w:bookmarkStart w:id="35" w:name="evaluation-metrics"/>
    <w:p>
      <w:pPr>
        <w:pStyle w:val="Heading3"/>
      </w:pPr>
      <w:r>
        <w:rPr>
          <w:rStyle w:val="SectionNumber"/>
        </w:rPr>
        <w:t xml:space="preserve">2.5.1</w:t>
      </w:r>
      <w:r>
        <w:tab/>
      </w:r>
      <w:r>
        <w:t xml:space="preserve">Evaluation Metrics</w:t>
      </w:r>
    </w:p>
    <w:p>
      <w:pPr>
        <w:pStyle w:val="FirstParagraph"/>
      </w:pPr>
      <w:r>
        <w:t xml:space="preserve">We report metrics across four workflow stages: extraction performance (pass rate, retries, time, tokens), error analysis (failures by category and tool usage), source characteristics (source types, species translation, indication match), and curation analysis (revision rates for batch vs. interactive modes, edit classification by content type).</w:t>
      </w:r>
    </w:p>
    <w:bookmarkEnd w:id="35"/>
    <w:bookmarkEnd w:id="36"/>
    <w:bookmarkEnd w:id="37"/>
    <w:bookmarkStart w:id="50" w:name="sec:results"/>
    <w:p>
      <w:pPr>
        <w:pStyle w:val="Heading1"/>
      </w:pPr>
      <w:r>
        <w:rPr>
          <w:rStyle w:val="SectionNumber"/>
        </w:rPr>
        <w:t xml:space="preserve">3</w:t>
      </w:r>
      <w:r>
        <w:tab/>
      </w:r>
      <w:r>
        <w:t xml:space="preserve">Results</w:t>
      </w:r>
    </w:p>
    <w:bookmarkStart w:id="45" w:name="submodeltarget-extraction-and-validation"/>
    <w:p>
      <w:pPr>
        <w:pStyle w:val="Heading2"/>
      </w:pPr>
      <w:r>
        <w:rPr>
          <w:rStyle w:val="SectionNumber"/>
        </w:rPr>
        <w:t xml:space="preserve">3.1</w:t>
      </w:r>
      <w:r>
        <w:tab/>
      </w:r>
      <w:r>
        <w:t xml:space="preserve">SubmodelTarget Extraction and Validation</w:t>
      </w:r>
    </w:p>
    <w:p>
      <w:pPr>
        <w:pStyle w:val="FirstParagraph"/>
      </w:pPr>
      <w:r>
        <w:t xml:space="preserve">We applied MAPLE to extract SubmodelTargets for a PDAC QSP model, covering tumor growth, stromal dynamics, immune recruitment, and cytokine signaling. An initial batch of 18 targets was extracted through the automated retry loop (Table </w:t>
      </w:r>
      <w:hyperlink w:anchor="tab:extraction">
        <w:r>
          <w:rPr>
            <w:rStyle w:val="Hyperlink"/>
          </w:rPr>
          <w:t xml:space="preserve">1</w:t>
        </w:r>
      </w:hyperlink>
      <w:r>
        <w:t xml:space="preserve">); additional targets were extracted interactively during curation, yielding a final curated set of 37 SubmodelTargets used for joint inference. The metrics below characterize the automated first pass; Section </w:t>
      </w:r>
      <w:hyperlink w:anchor="sec:curation">
        <w:r>
          <w:rPr>
            <w:rStyle w:val="Hyperlink"/>
          </w:rPr>
          <w:t xml:space="preserve">3.2</w:t>
        </w:r>
      </w:hyperlink>
      <w:r>
        <w:t xml:space="preserve"> </w:t>
      </w:r>
      <w:r>
        <w:t xml:space="preserve">discusses the subsequent human curation step.</w:t>
      </w:r>
    </w:p>
    <w:bookmarkStart w:id="38" w:name="tab:extraction"/>
    <w:p>
      <w:pPr>
        <w:pStyle w:val="TableCaption"/>
      </w:pPr>
      <w:r>
        <w:t xml:space="preserve">Extraction metrics per calibration target.</w:t>
      </w:r>
    </w:p>
    <w:tbl>
      <w:tblPr>
        <w:tblStyle w:val="Table"/>
        <w:tblW w:type="auto" w:w="0"/>
        <w:tblLook w:firstRow="1" w:lastRow="0" w:firstColumn="0" w:lastColumn="0" w:noHBand="0" w:noVBand="0" w:val="0020"/>
        <w:tblCaption w:val="Extraction metrics per calibration target."/>
      </w:tblPr>
      <w:tblGrid>
        <w:gridCol w:w="1980"/>
        <w:gridCol w:w="1980"/>
        <w:gridCol w:w="1980"/>
        <w:gridCol w:w="1980"/>
      </w:tblGrid>
      <w:tr>
        <w:trPr>
          <w:tblHeader w:val="on"/>
        </w:trPr>
        <w:tc>
          <w:tcPr/>
          <w:p>
            <w:pPr>
              <w:pStyle w:val="Compact"/>
              <w:jc w:val="left"/>
            </w:pPr>
            <w:r>
              <w:t xml:space="preserve">Target</w:t>
            </w:r>
          </w:p>
        </w:tc>
        <w:tc>
          <w:tcPr/>
          <w:p>
            <w:pPr>
              <w:pStyle w:val="Compact"/>
              <w:jc w:val="center"/>
            </w:pPr>
            <w:r>
              <w:t xml:space="preserve">Retries</w:t>
            </w:r>
          </w:p>
        </w:tc>
        <w:tc>
          <w:tcPr/>
          <w:p>
            <w:pPr>
              <w:pStyle w:val="Compact"/>
              <w:jc w:val="center"/>
            </w:pPr>
            <w:r>
              <w:t xml:space="preserve">Duration (min)</w:t>
            </w:r>
          </w:p>
        </w:tc>
        <w:tc>
          <w:tcPr/>
          <w:p>
            <w:pPr>
              <w:pStyle w:val="Compact"/>
              <w:jc w:val="center"/>
            </w:pPr>
            <w:r>
              <w:t xml:space="preserve">Tokens</w:t>
            </w:r>
          </w:p>
        </w:tc>
      </w:tr>
      <w:tr>
        <w:tc>
          <w:tcPr/>
          <w:p>
            <w:pPr>
              <w:pStyle w:val="Compact"/>
              <w:jc w:val="left"/>
            </w:pPr>
            <w:r>
              <w:rPr>
                <w:rStyle w:val="VerbatimChar"/>
              </w:rPr>
              <w:t xml:space="preserve">N_IL2_CD4</w:t>
            </w:r>
          </w:p>
        </w:tc>
        <w:tc>
          <w:tcPr/>
          <w:p>
            <w:pPr>
              <w:pStyle w:val="Compact"/>
              <w:jc w:val="center"/>
            </w:pPr>
            <w:r>
              <w:t xml:space="preserve">3</w:t>
            </w:r>
          </w:p>
        </w:tc>
        <w:tc>
          <w:tcPr/>
          <w:p>
            <w:pPr>
              <w:pStyle w:val="Compact"/>
              <w:jc w:val="center"/>
            </w:pPr>
            <w:r>
              <w:t xml:space="preserve">6.5</w:t>
            </w:r>
          </w:p>
        </w:tc>
        <w:tc>
          <w:tcPr/>
          <w:p>
            <w:pPr>
              <w:pStyle w:val="Compact"/>
              <w:jc w:val="center"/>
            </w:pPr>
            <w:r>
              <w:t xml:space="preserve">198,267</w:t>
            </w:r>
          </w:p>
        </w:tc>
      </w:tr>
      <w:tr>
        <w:tc>
          <w:tcPr/>
          <w:p>
            <w:pPr>
              <w:pStyle w:val="Compact"/>
              <w:jc w:val="left"/>
            </w:pPr>
            <w:r>
              <w:rPr>
                <w:rStyle w:val="VerbatimChar"/>
              </w:rPr>
              <w:t xml:space="preserve">N_IL2_CD8</w:t>
            </w:r>
          </w:p>
        </w:tc>
        <w:tc>
          <w:tcPr/>
          <w:p>
            <w:pPr>
              <w:pStyle w:val="Compact"/>
              <w:jc w:val="center"/>
            </w:pPr>
            <w:r>
              <w:t xml:space="preserve">1</w:t>
            </w:r>
          </w:p>
        </w:tc>
        <w:tc>
          <w:tcPr/>
          <w:p>
            <w:pPr>
              <w:pStyle w:val="Compact"/>
              <w:jc w:val="center"/>
            </w:pPr>
            <w:r>
              <w:t xml:space="preserve">3.4</w:t>
            </w:r>
          </w:p>
        </w:tc>
        <w:tc>
          <w:tcPr/>
          <w:p>
            <w:pPr>
              <w:pStyle w:val="Compact"/>
              <w:jc w:val="center"/>
            </w:pPr>
            <w:r>
              <w:t xml:space="preserve">98,233</w:t>
            </w:r>
          </w:p>
        </w:tc>
      </w:tr>
      <w:tr>
        <w:tc>
          <w:tcPr/>
          <w:p>
            <w:pPr>
              <w:pStyle w:val="Compact"/>
              <w:jc w:val="left"/>
            </w:pPr>
            <w:r>
              <w:rPr>
                <w:rStyle w:val="VerbatimChar"/>
              </w:rPr>
              <w:t xml:space="preserve">initial_tumour_diameter</w:t>
            </w:r>
          </w:p>
        </w:tc>
        <w:tc>
          <w:tcPr/>
          <w:p>
            <w:pPr>
              <w:pStyle w:val="Compact"/>
              <w:jc w:val="center"/>
            </w:pPr>
            <w:r>
              <w:t xml:space="preserve">1</w:t>
            </w:r>
          </w:p>
        </w:tc>
        <w:tc>
          <w:tcPr/>
          <w:p>
            <w:pPr>
              <w:pStyle w:val="Compact"/>
              <w:jc w:val="center"/>
            </w:pPr>
            <w:r>
              <w:t xml:space="preserve">3.0</w:t>
            </w:r>
          </w:p>
        </w:tc>
        <w:tc>
          <w:tcPr/>
          <w:p>
            <w:pPr>
              <w:pStyle w:val="Compact"/>
              <w:jc w:val="center"/>
            </w:pPr>
            <w:r>
              <w:t xml:space="preserve">70,219</w:t>
            </w:r>
          </w:p>
        </w:tc>
      </w:tr>
      <w:tr>
        <w:tc>
          <w:tcPr/>
          <w:p>
            <w:pPr>
              <w:pStyle w:val="Compact"/>
              <w:jc w:val="left"/>
            </w:pPr>
            <w:r>
              <w:rPr>
                <w:rStyle w:val="VerbatimChar"/>
              </w:rPr>
              <w:t xml:space="preserve">k_C1_growth</w:t>
            </w:r>
          </w:p>
        </w:tc>
        <w:tc>
          <w:tcPr/>
          <w:p>
            <w:pPr>
              <w:pStyle w:val="Compact"/>
              <w:jc w:val="center"/>
            </w:pPr>
            <w:r>
              <w:t xml:space="preserve">1</w:t>
            </w:r>
          </w:p>
        </w:tc>
        <w:tc>
          <w:tcPr/>
          <w:p>
            <w:pPr>
              <w:pStyle w:val="Compact"/>
              <w:jc w:val="center"/>
            </w:pPr>
            <w:r>
              <w:t xml:space="preserve">4.1</w:t>
            </w:r>
          </w:p>
        </w:tc>
        <w:tc>
          <w:tcPr/>
          <w:p>
            <w:pPr>
              <w:pStyle w:val="Compact"/>
              <w:jc w:val="center"/>
            </w:pPr>
            <w:r>
              <w:t xml:space="preserve">81,606</w:t>
            </w:r>
          </w:p>
        </w:tc>
      </w:tr>
      <w:tr>
        <w:tc>
          <w:tcPr/>
          <w:p>
            <w:pPr>
              <w:pStyle w:val="Compact"/>
              <w:jc w:val="left"/>
            </w:pPr>
            <w:r>
              <w:rPr>
                <w:rStyle w:val="VerbatimChar"/>
              </w:rPr>
              <w:t xml:space="preserve">k_CCL2_sec</w:t>
            </w:r>
          </w:p>
        </w:tc>
        <w:tc>
          <w:tcPr/>
          <w:p>
            <w:pPr>
              <w:pStyle w:val="Compact"/>
              <w:jc w:val="center"/>
            </w:pPr>
            <w:r>
              <w:t xml:space="preserve">5</w:t>
            </w:r>
          </w:p>
        </w:tc>
        <w:tc>
          <w:tcPr/>
          <w:p>
            <w:pPr>
              <w:pStyle w:val="Compact"/>
              <w:jc w:val="center"/>
            </w:pPr>
            <w:r>
              <w:t xml:space="preserve">9.2</w:t>
            </w:r>
          </w:p>
        </w:tc>
        <w:tc>
          <w:tcPr/>
          <w:p>
            <w:pPr>
              <w:pStyle w:val="Compact"/>
              <w:jc w:val="center"/>
            </w:pPr>
            <w:r>
              <w:t xml:space="preserve">367,754</w:t>
            </w:r>
          </w:p>
        </w:tc>
      </w:tr>
      <w:tr>
        <w:tc>
          <w:tcPr/>
          <w:p>
            <w:pPr>
              <w:pStyle w:val="Compact"/>
              <w:jc w:val="left"/>
            </w:pPr>
            <w:r>
              <w:rPr>
                <w:rStyle w:val="VerbatimChar"/>
              </w:rPr>
              <w:t xml:space="preserve">k_ECM_apsc_sec</w:t>
            </w:r>
          </w:p>
        </w:tc>
        <w:tc>
          <w:tcPr/>
          <w:p>
            <w:pPr>
              <w:pStyle w:val="Compact"/>
              <w:jc w:val="center"/>
            </w:pPr>
            <w:r>
              <w:t xml:space="preserve">5</w:t>
            </w:r>
          </w:p>
        </w:tc>
        <w:tc>
          <w:tcPr/>
          <w:p>
            <w:pPr>
              <w:pStyle w:val="Compact"/>
              <w:jc w:val="center"/>
            </w:pPr>
            <w:r>
              <w:t xml:space="preserve">10.8</w:t>
            </w:r>
          </w:p>
        </w:tc>
        <w:tc>
          <w:tcPr/>
          <w:p>
            <w:pPr>
              <w:pStyle w:val="Compact"/>
              <w:jc w:val="center"/>
            </w:pPr>
            <w:r>
              <w:t xml:space="preserve">285,309</w:t>
            </w:r>
          </w:p>
        </w:tc>
      </w:tr>
      <w:tr>
        <w:tc>
          <w:tcPr/>
          <w:p>
            <w:pPr>
              <w:pStyle w:val="Compact"/>
              <w:jc w:val="left"/>
            </w:pPr>
            <w:r>
              <w:rPr>
                <w:rStyle w:val="VerbatimChar"/>
              </w:rPr>
              <w:t xml:space="preserve">k_ECM_deg</w:t>
            </w:r>
          </w:p>
        </w:tc>
        <w:tc>
          <w:tcPr/>
          <w:p>
            <w:pPr>
              <w:pStyle w:val="Compact"/>
              <w:jc w:val="center"/>
            </w:pPr>
            <w:r>
              <w:t xml:space="preserve">1</w:t>
            </w:r>
          </w:p>
        </w:tc>
        <w:tc>
          <w:tcPr/>
          <w:p>
            <w:pPr>
              <w:pStyle w:val="Compact"/>
              <w:jc w:val="center"/>
            </w:pPr>
            <w:r>
              <w:t xml:space="preserve">5.8</w:t>
            </w:r>
          </w:p>
        </w:tc>
        <w:tc>
          <w:tcPr/>
          <w:p>
            <w:pPr>
              <w:pStyle w:val="Compact"/>
              <w:jc w:val="center"/>
            </w:pPr>
            <w:r>
              <w:t xml:space="preserve">135,317</w:t>
            </w:r>
          </w:p>
        </w:tc>
      </w:tr>
      <w:tr>
        <w:tc>
          <w:tcPr/>
          <w:p>
            <w:pPr>
              <w:pStyle w:val="Compact"/>
              <w:jc w:val="left"/>
            </w:pPr>
            <w:r>
              <w:rPr>
                <w:rStyle w:val="VerbatimChar"/>
              </w:rPr>
              <w:t xml:space="preserve">k_ECM_qpsc_sec</w:t>
            </w:r>
          </w:p>
        </w:tc>
        <w:tc>
          <w:tcPr/>
          <w:p>
            <w:pPr>
              <w:pStyle w:val="Compact"/>
              <w:jc w:val="center"/>
            </w:pPr>
            <w:r>
              <w:t xml:space="preserve">5</w:t>
            </w:r>
          </w:p>
        </w:tc>
        <w:tc>
          <w:tcPr/>
          <w:p>
            <w:pPr>
              <w:pStyle w:val="Compact"/>
              <w:jc w:val="center"/>
            </w:pPr>
            <w:r>
              <w:t xml:space="preserve">12.0</w:t>
            </w:r>
          </w:p>
        </w:tc>
        <w:tc>
          <w:tcPr/>
          <w:p>
            <w:pPr>
              <w:pStyle w:val="Compact"/>
              <w:jc w:val="center"/>
            </w:pPr>
            <w:r>
              <w:t xml:space="preserve">406,891</w:t>
            </w:r>
          </w:p>
        </w:tc>
      </w:tr>
      <w:tr>
        <w:tc>
          <w:tcPr/>
          <w:p>
            <w:pPr>
              <w:pStyle w:val="Compact"/>
              <w:jc w:val="left"/>
            </w:pPr>
            <w:r>
              <w:rPr>
                <w:rStyle w:val="VerbatimChar"/>
              </w:rPr>
              <w:t xml:space="preserve">k_M1_pol</w:t>
            </w:r>
          </w:p>
        </w:tc>
        <w:tc>
          <w:tcPr/>
          <w:p>
            <w:pPr>
              <w:pStyle w:val="Compact"/>
              <w:jc w:val="center"/>
            </w:pPr>
            <w:r>
              <w:t xml:space="preserve">1</w:t>
            </w:r>
          </w:p>
        </w:tc>
        <w:tc>
          <w:tcPr/>
          <w:p>
            <w:pPr>
              <w:pStyle w:val="Compact"/>
              <w:jc w:val="center"/>
            </w:pPr>
            <w:r>
              <w:t xml:space="preserve">7.1</w:t>
            </w:r>
          </w:p>
        </w:tc>
        <w:tc>
          <w:tcPr/>
          <w:p>
            <w:pPr>
              <w:pStyle w:val="Compact"/>
              <w:jc w:val="center"/>
            </w:pPr>
            <w:r>
              <w:t xml:space="preserve">190,149</w:t>
            </w:r>
          </w:p>
        </w:tc>
      </w:tr>
      <w:tr>
        <w:tc>
          <w:tcPr/>
          <w:p>
            <w:pPr>
              <w:pStyle w:val="Compact"/>
              <w:jc w:val="left"/>
            </w:pPr>
            <w:r>
              <w:rPr>
                <w:rStyle w:val="VerbatimChar"/>
              </w:rPr>
              <w:t xml:space="preserve">k_MDSC_rec</w:t>
            </w:r>
          </w:p>
        </w:tc>
        <w:tc>
          <w:tcPr/>
          <w:p>
            <w:pPr>
              <w:pStyle w:val="Compact"/>
              <w:jc w:val="center"/>
            </w:pPr>
            <w:r>
              <w:t xml:space="preserve">3</w:t>
            </w:r>
          </w:p>
        </w:tc>
        <w:tc>
          <w:tcPr/>
          <w:p>
            <w:pPr>
              <w:pStyle w:val="Compact"/>
              <w:jc w:val="center"/>
            </w:pPr>
            <w:r>
              <w:t xml:space="preserve">8.4</w:t>
            </w:r>
          </w:p>
        </w:tc>
        <w:tc>
          <w:tcPr/>
          <w:p>
            <w:pPr>
              <w:pStyle w:val="Compact"/>
              <w:jc w:val="center"/>
            </w:pPr>
            <w:r>
              <w:t xml:space="preserve">221,048</w:t>
            </w:r>
          </w:p>
        </w:tc>
      </w:tr>
      <w:tr>
        <w:tc>
          <w:tcPr/>
          <w:p>
            <w:pPr>
              <w:pStyle w:val="Compact"/>
              <w:jc w:val="left"/>
            </w:pPr>
            <w:r>
              <w:rPr>
                <w:rStyle w:val="VerbatimChar"/>
              </w:rPr>
              <w:t xml:space="preserve">k_Mac_rec</w:t>
            </w:r>
          </w:p>
        </w:tc>
        <w:tc>
          <w:tcPr/>
          <w:p>
            <w:pPr>
              <w:pStyle w:val="Compact"/>
              <w:jc w:val="center"/>
            </w:pPr>
            <w:r>
              <w:t xml:space="preserve">3</w:t>
            </w:r>
          </w:p>
        </w:tc>
        <w:tc>
          <w:tcPr/>
          <w:p>
            <w:pPr>
              <w:pStyle w:val="Compact"/>
              <w:jc w:val="center"/>
            </w:pPr>
            <w:r>
              <w:t xml:space="preserve">10.0</w:t>
            </w:r>
          </w:p>
        </w:tc>
        <w:tc>
          <w:tcPr/>
          <w:p>
            <w:pPr>
              <w:pStyle w:val="Compact"/>
              <w:jc w:val="center"/>
            </w:pPr>
            <w:r>
              <w:t xml:space="preserve">239,265</w:t>
            </w:r>
          </w:p>
        </w:tc>
      </w:tr>
      <w:tr>
        <w:tc>
          <w:tcPr/>
          <w:p>
            <w:pPr>
              <w:pStyle w:val="Compact"/>
              <w:jc w:val="left"/>
            </w:pPr>
            <w:r>
              <w:rPr>
                <w:rStyle w:val="VerbatimChar"/>
              </w:rPr>
              <w:t xml:space="preserve">k_apsc_death</w:t>
            </w:r>
          </w:p>
        </w:tc>
        <w:tc>
          <w:tcPr/>
          <w:p>
            <w:pPr>
              <w:pStyle w:val="Compact"/>
              <w:jc w:val="center"/>
            </w:pPr>
            <w:r>
              <w:t xml:space="preserve">2</w:t>
            </w:r>
          </w:p>
        </w:tc>
        <w:tc>
          <w:tcPr/>
          <w:p>
            <w:pPr>
              <w:pStyle w:val="Compact"/>
              <w:jc w:val="center"/>
            </w:pPr>
            <w:r>
              <w:t xml:space="preserve">5.4</w:t>
            </w:r>
          </w:p>
        </w:tc>
        <w:tc>
          <w:tcPr/>
          <w:p>
            <w:pPr>
              <w:pStyle w:val="Compact"/>
              <w:jc w:val="center"/>
            </w:pPr>
            <w:r>
              <w:t xml:space="preserve">134,626</w:t>
            </w:r>
          </w:p>
        </w:tc>
      </w:tr>
      <w:tr>
        <w:tc>
          <w:tcPr/>
          <w:p>
            <w:pPr>
              <w:pStyle w:val="Compact"/>
              <w:jc w:val="left"/>
            </w:pPr>
            <w:r>
              <w:rPr>
                <w:rStyle w:val="VerbatimChar"/>
              </w:rPr>
              <w:t xml:space="preserve">k_psc_activation</w:t>
            </w:r>
          </w:p>
        </w:tc>
        <w:tc>
          <w:tcPr/>
          <w:p>
            <w:pPr>
              <w:pStyle w:val="Compact"/>
              <w:jc w:val="center"/>
            </w:pPr>
            <w:r>
              <w:t xml:space="preserve">7</w:t>
            </w:r>
          </w:p>
        </w:tc>
        <w:tc>
          <w:tcPr/>
          <w:p>
            <w:pPr>
              <w:pStyle w:val="Compact"/>
              <w:jc w:val="center"/>
            </w:pPr>
            <w:r>
              <w:t xml:space="preserve">9.9</w:t>
            </w:r>
          </w:p>
        </w:tc>
        <w:tc>
          <w:tcPr/>
          <w:p>
            <w:pPr>
              <w:pStyle w:val="Compact"/>
              <w:jc w:val="center"/>
            </w:pPr>
            <w:r>
              <w:t xml:space="preserve">354,840</w:t>
            </w:r>
          </w:p>
        </w:tc>
      </w:tr>
      <w:tr>
        <w:tc>
          <w:tcPr/>
          <w:p>
            <w:pPr>
              <w:pStyle w:val="Compact"/>
              <w:jc w:val="left"/>
            </w:pPr>
            <w:r>
              <w:rPr>
                <w:rStyle w:val="VerbatimChar"/>
              </w:rPr>
              <w:t xml:space="preserve">k_psc_const</w:t>
            </w:r>
          </w:p>
        </w:tc>
        <w:tc>
          <w:tcPr/>
          <w:p>
            <w:pPr>
              <w:pStyle w:val="Compact"/>
              <w:jc w:val="center"/>
            </w:pPr>
            <w:r>
              <w:t xml:space="preserve">2</w:t>
            </w:r>
          </w:p>
        </w:tc>
        <w:tc>
          <w:tcPr/>
          <w:p>
            <w:pPr>
              <w:pStyle w:val="Compact"/>
              <w:jc w:val="center"/>
            </w:pPr>
            <w:r>
              <w:t xml:space="preserve">7.7</w:t>
            </w:r>
          </w:p>
        </w:tc>
        <w:tc>
          <w:tcPr/>
          <w:p>
            <w:pPr>
              <w:pStyle w:val="Compact"/>
              <w:jc w:val="center"/>
            </w:pPr>
            <w:r>
              <w:t xml:space="preserve">209,064</w:t>
            </w:r>
          </w:p>
        </w:tc>
      </w:tr>
      <w:tr>
        <w:tc>
          <w:tcPr/>
          <w:p>
            <w:pPr>
              <w:pStyle w:val="Compact"/>
              <w:jc w:val="left"/>
            </w:pPr>
            <w:r>
              <w:rPr>
                <w:rStyle w:val="VerbatimChar"/>
              </w:rPr>
              <w:t xml:space="preserve">k_qpsc_death</w:t>
            </w:r>
          </w:p>
        </w:tc>
        <w:tc>
          <w:tcPr/>
          <w:p>
            <w:pPr>
              <w:pStyle w:val="Compact"/>
              <w:jc w:val="center"/>
            </w:pPr>
            <w:r>
              <w:t xml:space="preserve">1</w:t>
            </w:r>
          </w:p>
        </w:tc>
        <w:tc>
          <w:tcPr/>
          <w:p>
            <w:pPr>
              <w:pStyle w:val="Compact"/>
              <w:jc w:val="center"/>
            </w:pPr>
            <w:r>
              <w:t xml:space="preserve">3.8</w:t>
            </w:r>
          </w:p>
        </w:tc>
        <w:tc>
          <w:tcPr/>
          <w:p>
            <w:pPr>
              <w:pStyle w:val="Compact"/>
              <w:jc w:val="center"/>
            </w:pPr>
            <w:r>
              <w:t xml:space="preserve">91,974</w:t>
            </w:r>
          </w:p>
        </w:tc>
      </w:tr>
      <w:tr>
        <w:tc>
          <w:tcPr/>
          <w:p>
            <w:pPr>
              <w:pStyle w:val="Compact"/>
              <w:jc w:val="left"/>
            </w:pPr>
            <w:r>
              <w:rPr>
                <w:rStyle w:val="VerbatimChar"/>
              </w:rPr>
              <w:t xml:space="preserve">n_CD8_clones</w:t>
            </w:r>
          </w:p>
        </w:tc>
        <w:tc>
          <w:tcPr/>
          <w:p>
            <w:pPr>
              <w:pStyle w:val="Compact"/>
              <w:jc w:val="center"/>
            </w:pPr>
            <w:r>
              <w:t xml:space="preserve">1</w:t>
            </w:r>
          </w:p>
        </w:tc>
        <w:tc>
          <w:tcPr/>
          <w:p>
            <w:pPr>
              <w:pStyle w:val="Compact"/>
              <w:jc w:val="center"/>
            </w:pPr>
            <w:r>
              <w:t xml:space="preserve">5.3</w:t>
            </w:r>
          </w:p>
        </w:tc>
        <w:tc>
          <w:tcPr/>
          <w:p>
            <w:pPr>
              <w:pStyle w:val="Compact"/>
              <w:jc w:val="center"/>
            </w:pPr>
            <w:r>
              <w:t xml:space="preserve">114,839</w:t>
            </w:r>
          </w:p>
        </w:tc>
      </w:tr>
      <w:tr>
        <w:tc>
          <w:tcPr/>
          <w:p>
            <w:pPr>
              <w:pStyle w:val="Compact"/>
              <w:jc w:val="left"/>
            </w:pPr>
            <w:r>
              <w:rPr>
                <w:rStyle w:val="VerbatimChar"/>
              </w:rPr>
              <w:t xml:space="preserve">n_Treg_clones</w:t>
            </w:r>
          </w:p>
        </w:tc>
        <w:tc>
          <w:tcPr/>
          <w:p>
            <w:pPr>
              <w:pStyle w:val="Compact"/>
              <w:jc w:val="center"/>
            </w:pPr>
            <w:r>
              <w:t xml:space="preserve">2</w:t>
            </w:r>
          </w:p>
        </w:tc>
        <w:tc>
          <w:tcPr/>
          <w:p>
            <w:pPr>
              <w:pStyle w:val="Compact"/>
              <w:jc w:val="center"/>
            </w:pPr>
            <w:r>
              <w:t xml:space="preserve">5.7</w:t>
            </w:r>
          </w:p>
        </w:tc>
        <w:tc>
          <w:tcPr/>
          <w:p>
            <w:pPr>
              <w:pStyle w:val="Compact"/>
              <w:jc w:val="center"/>
            </w:pPr>
            <w:r>
              <w:t xml:space="preserve">133,558</w:t>
            </w:r>
          </w:p>
        </w:tc>
      </w:tr>
      <w:tr>
        <w:tc>
          <w:tcPr/>
          <w:p>
            <w:pPr>
              <w:pStyle w:val="Compact"/>
              <w:jc w:val="left"/>
            </w:pPr>
            <w:r>
              <w:rPr>
                <w:rStyle w:val="VerbatimChar"/>
              </w:rPr>
              <w:t xml:space="preserve">q_Treg_T_in</w:t>
            </w:r>
          </w:p>
        </w:tc>
        <w:tc>
          <w:tcPr/>
          <w:p>
            <w:pPr>
              <w:pStyle w:val="Compact"/>
              <w:jc w:val="center"/>
            </w:pPr>
            <w:r>
              <w:t xml:space="preserve">6</w:t>
            </w:r>
          </w:p>
        </w:tc>
        <w:tc>
          <w:tcPr/>
          <w:p>
            <w:pPr>
              <w:pStyle w:val="Compact"/>
              <w:jc w:val="center"/>
            </w:pPr>
            <w:r>
              <w:t xml:space="preserve">23.9</w:t>
            </w:r>
          </w:p>
        </w:tc>
        <w:tc>
          <w:tcPr/>
          <w:p>
            <w:pPr>
              <w:pStyle w:val="Compact"/>
              <w:jc w:val="center"/>
            </w:pPr>
            <w:r>
              <w:t xml:space="preserve">586,283</w:t>
            </w:r>
          </w:p>
        </w:tc>
      </w:tr>
      <w:tr>
        <w:tc>
          <w:tcPr/>
          <w:p>
            <w:pPr>
              <w:pStyle w:val="Compact"/>
              <w:jc w:val="left"/>
            </w:pPr>
            <w:r>
              <w:rPr>
                <w:b/>
                <w:bCs/>
              </w:rPr>
              <w:t xml:space="preserve">Average</w:t>
            </w:r>
          </w:p>
        </w:tc>
        <w:tc>
          <w:tcPr/>
          <w:p>
            <w:pPr>
              <w:pStyle w:val="Compact"/>
              <w:jc w:val="center"/>
            </w:pPr>
            <w:r>
              <w:rPr>
                <w:b/>
                <w:bCs/>
              </w:rPr>
              <w:t xml:space="preserve">2.8</w:t>
            </w:r>
          </w:p>
        </w:tc>
        <w:tc>
          <w:tcPr/>
          <w:p>
            <w:pPr>
              <w:pStyle w:val="Compact"/>
              <w:jc w:val="center"/>
            </w:pPr>
            <w:r>
              <w:rPr>
                <w:b/>
                <w:bCs/>
              </w:rPr>
              <w:t xml:space="preserve">7.9</w:t>
            </w:r>
          </w:p>
        </w:tc>
        <w:tc>
          <w:tcPr/>
          <w:p>
            <w:pPr>
              <w:pStyle w:val="Compact"/>
              <w:jc w:val="center"/>
            </w:pPr>
            <w:r>
              <w:rPr>
                <w:b/>
                <w:bCs/>
              </w:rPr>
              <w:t xml:space="preserve">217,735</w:t>
            </w:r>
          </w:p>
        </w:tc>
      </w:tr>
    </w:tbl>
    <w:bookmarkEnd w:id="38"/>
    <w:p>
      <w:pPr>
        <w:pStyle w:val="BodyText"/>
      </w:pPr>
      <w:r>
        <w:t xml:space="preserve">None of the extractions passed validation on the first attempt; all required at least one automated retry (Figure </w:t>
      </w:r>
      <w:hyperlink w:anchor="fig:retry-distribution">
        <w:r>
          <w:rPr>
            <w:rStyle w:val="Hyperlink"/>
          </w:rPr>
          <w:t xml:space="preserve">1</w:t>
        </w:r>
      </w:hyperlink>
      <w:r>
        <w:t xml:space="preserve">). Seven targets succeeded after a single retry, while parameters like CCL2 secretion and PSC activation required up to 7 iterations to resolve unit ambiguities or conflicting literature. Each extraction took 7.9 minutes on average, consuming 217,735 tokens per target (3.9M total). The validators caught 24 errors during extraction (Table </w:t>
      </w:r>
      <w:hyperlink w:anchor="tab:error-categories">
        <w:r>
          <w:rPr>
            <w:rStyle w:val="Hyperlink"/>
          </w:rPr>
          <w:t xml:space="preserve">2</w:t>
        </w:r>
      </w:hyperlink>
      <w:r>
        <w:t xml:space="preserve">), with unit errors most common, followed by fabrication (invalid DOIs), prior specification, and code errors. The LLM used 210 web searches and 22 code executions.</w:t>
      </w:r>
    </w:p>
    <w:bookmarkStart w:id="42" w:name="fig:retry-distribution"/>
    <w:p>
      <w:pPr>
        <w:pStyle w:val="CaptionedFigure"/>
      </w:pPr>
      <w:r>
        <w:drawing>
          <wp:inline>
            <wp:extent cx="3200400" cy="2105923"/>
            <wp:effectExtent b="0" l="0" r="0" t="0"/>
            <wp:docPr descr="" title="" id="40" name="Picture"/>
            <a:graphic>
              <a:graphicData uri="http://schemas.openxmlformats.org/drawingml/2006/picture">
                <pic:pic>
                  <pic:nvPicPr>
                    <pic:cNvPr descr="generated/figures/retry_distribution.pdf" id="41" name="Picture"/>
                    <pic:cNvPicPr>
                      <a:picLocks noChangeArrowheads="1" noChangeAspect="1"/>
                    </pic:cNvPicPr>
                  </pic:nvPicPr>
                  <pic:blipFill>
                    <a:blip r:embed="rId39"/>
                    <a:stretch>
                      <a:fillRect/>
                    </a:stretch>
                  </pic:blipFill>
                  <pic:spPr bwMode="auto">
                    <a:xfrm>
                      <a:off x="0" y="0"/>
                      <a:ext cx="3200400" cy="2105923"/>
                    </a:xfrm>
                    <a:prstGeom prst="rect">
                      <a:avLst/>
                    </a:prstGeom>
                    <a:noFill/>
                    <a:ln w="9525">
                      <a:noFill/>
                      <a:headEnd/>
                      <a:tailEnd/>
                    </a:ln>
                  </pic:spPr>
                </pic:pic>
              </a:graphicData>
            </a:graphic>
          </wp:inline>
        </w:drawing>
      </w:r>
    </w:p>
    <w:p>
      <w:pPr>
        <w:pStyle w:val="ImageCaption"/>
      </w:pPr>
      <w:r>
        <w:t xml:space="preserve">Distribution of automated retry counts across 18 extraction attempts.</w:t>
      </w:r>
    </w:p>
    <w:bookmarkEnd w:id="42"/>
    <w:bookmarkStart w:id="43" w:name="tab:error-categories"/>
    <w:p>
      <w:pPr>
        <w:pStyle w:val="TableCaption"/>
      </w:pPr>
      <w:r>
        <w:t xml:space="preserve">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w:t>
      </w:r>
    </w:p>
    <w:tbl>
      <w:tblPr>
        <w:tblStyle w:val="Table"/>
        <w:tblW w:type="auto" w:w="0"/>
        <w:tblLook w:firstRow="1" w:lastRow="0" w:firstColumn="0" w:lastColumn="0" w:noHBand="0" w:noVBand="0" w:val="0020"/>
        <w:tblCaption w:val="Error categories caught by validators during batch extraction. Units: incorrect or inconsistent unit conversions. Prior: proposed uncertainty range incompatible with stated translation context. Fabrication: LLM-generated DOIs or citations that do not resolve to real publications. Code: observation function fails unit checks or execution. Hallucination: extracted values not found in the cited source text. Each target may trigger multiple errors."/>
      </w:tblPr>
      <w:tblGrid>
        <w:gridCol w:w="2640"/>
        <w:gridCol w:w="2640"/>
        <w:gridCol w:w="2640"/>
      </w:tblGrid>
      <w:tr>
        <w:trPr>
          <w:tblHeader w:val="on"/>
        </w:trPr>
        <w:tc>
          <w:tcPr/>
          <w:p>
            <w:pPr>
              <w:pStyle w:val="Compact"/>
              <w:jc w:val="left"/>
            </w:pPr>
            <w:r>
              <w:t xml:space="preserve">Error Category</w:t>
            </w:r>
          </w:p>
        </w:tc>
        <w:tc>
          <w:tcPr/>
          <w:p>
            <w:pPr>
              <w:pStyle w:val="Compact"/>
              <w:jc w:val="center"/>
            </w:pPr>
            <w:r>
              <w:t xml:space="preserve">Count</w:t>
            </w:r>
          </w:p>
        </w:tc>
        <w:tc>
          <w:tcPr/>
          <w:p>
            <w:pPr>
              <w:pStyle w:val="Compact"/>
              <w:jc w:val="center"/>
            </w:pPr>
            <w:r>
              <w:t xml:space="preserve">%</w:t>
            </w:r>
          </w:p>
        </w:tc>
      </w:tr>
      <w:tr>
        <w:tc>
          <w:tcPr/>
          <w:p>
            <w:pPr>
              <w:pStyle w:val="Compact"/>
              <w:jc w:val="left"/>
            </w:pPr>
            <w:r>
              <w:t xml:space="preserve">units</w:t>
            </w:r>
          </w:p>
        </w:tc>
        <w:tc>
          <w:tcPr/>
          <w:p>
            <w:pPr>
              <w:pStyle w:val="Compact"/>
              <w:jc w:val="center"/>
            </w:pPr>
            <w:r>
              <w:t xml:space="preserve">9</w:t>
            </w:r>
          </w:p>
        </w:tc>
        <w:tc>
          <w:tcPr/>
          <w:p>
            <w:pPr>
              <w:pStyle w:val="Compact"/>
              <w:jc w:val="center"/>
            </w:pPr>
            <w:r>
              <w:t xml:space="preserve">38%</w:t>
            </w:r>
          </w:p>
        </w:tc>
      </w:tr>
      <w:tr>
        <w:tc>
          <w:tcPr/>
          <w:p>
            <w:pPr>
              <w:pStyle w:val="Compact"/>
              <w:jc w:val="left"/>
            </w:pPr>
            <w:r>
              <w:t xml:space="preserve">prior</w:t>
            </w:r>
          </w:p>
        </w:tc>
        <w:tc>
          <w:tcPr/>
          <w:p>
            <w:pPr>
              <w:pStyle w:val="Compact"/>
              <w:jc w:val="center"/>
            </w:pPr>
            <w:r>
              <w:t xml:space="preserve">5</w:t>
            </w:r>
          </w:p>
        </w:tc>
        <w:tc>
          <w:tcPr/>
          <w:p>
            <w:pPr>
              <w:pStyle w:val="Compact"/>
              <w:jc w:val="center"/>
            </w:pPr>
            <w:r>
              <w:t xml:space="preserve">21%</w:t>
            </w:r>
          </w:p>
        </w:tc>
      </w:tr>
      <w:tr>
        <w:tc>
          <w:tcPr/>
          <w:p>
            <w:pPr>
              <w:pStyle w:val="Compact"/>
              <w:jc w:val="left"/>
            </w:pPr>
            <w:r>
              <w:t xml:space="preserve">fabrication</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code</w:t>
            </w:r>
          </w:p>
        </w:tc>
        <w:tc>
          <w:tcPr/>
          <w:p>
            <w:pPr>
              <w:pStyle w:val="Compact"/>
              <w:jc w:val="center"/>
            </w:pPr>
            <w:r>
              <w:t xml:space="preserve">4</w:t>
            </w:r>
          </w:p>
        </w:tc>
        <w:tc>
          <w:tcPr/>
          <w:p>
            <w:pPr>
              <w:pStyle w:val="Compact"/>
              <w:jc w:val="center"/>
            </w:pPr>
            <w:r>
              <w:t xml:space="preserve">17%</w:t>
            </w:r>
          </w:p>
        </w:tc>
      </w:tr>
      <w:tr>
        <w:tc>
          <w:tcPr/>
          <w:p>
            <w:pPr>
              <w:pStyle w:val="Compact"/>
              <w:jc w:val="left"/>
            </w:pPr>
            <w:r>
              <w:t xml:space="preserve">other</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hallucination</w:t>
            </w:r>
          </w:p>
        </w:tc>
        <w:tc>
          <w:tcPr/>
          <w:p>
            <w:pPr>
              <w:pStyle w:val="Compact"/>
              <w:jc w:val="center"/>
            </w:pPr>
            <w:r>
              <w:t xml:space="preserve">1</w:t>
            </w:r>
          </w:p>
        </w:tc>
        <w:tc>
          <w:tcPr/>
          <w:p>
            <w:pPr>
              <w:pStyle w:val="Compact"/>
              <w:jc w:val="center"/>
            </w:pPr>
            <w:r>
              <w:t xml:space="preserve">4%</w:t>
            </w:r>
          </w:p>
        </w:tc>
      </w:tr>
      <w:tr>
        <w:tc>
          <w:tcPr/>
          <w:p>
            <w:pPr>
              <w:pStyle w:val="Compact"/>
              <w:jc w:val="left"/>
            </w:pPr>
            <w:r>
              <w:rPr>
                <w:b/>
                <w:bCs/>
              </w:rPr>
              <w:t xml:space="preserve">Total</w:t>
            </w:r>
          </w:p>
        </w:tc>
        <w:tc>
          <w:tcPr/>
          <w:p>
            <w:pPr>
              <w:pStyle w:val="Compact"/>
              <w:jc w:val="center"/>
            </w:pPr>
            <w:r>
              <w:rPr>
                <w:b/>
                <w:bCs/>
              </w:rPr>
              <w:t xml:space="preserve">24</w:t>
            </w:r>
          </w:p>
        </w:tc>
        <w:tc>
          <w:tcPr/>
          <w:p>
            <w:pPr>
              <w:pStyle w:val="Compact"/>
            </w:pPr>
          </w:p>
        </w:tc>
      </w:tr>
    </w:tbl>
    <w:bookmarkEnd w:id="43"/>
    <w:bookmarkStart w:id="44" w:name="source-characteristics"/>
    <w:p>
      <w:pPr>
        <w:pStyle w:val="Heading3"/>
      </w:pPr>
      <w:r>
        <w:rPr>
          <w:rStyle w:val="SectionNumber"/>
        </w:rPr>
        <w:t xml:space="preserve">3.1.1</w:t>
      </w:r>
      <w:r>
        <w:tab/>
      </w:r>
      <w:r>
        <w:t xml:space="preserve">Source Characteristics</w:t>
      </w:r>
    </w:p>
    <w:p>
      <w:pPr>
        <w:pStyle w:val="FirstParagraph"/>
      </w:pPr>
      <w:r>
        <w:t xml:space="preserve">The 37 curated targets drew from diverse sources (Supplementary Section S8): 45% human clinical, with the remainder from animal studies. About 56% used human data directly; the rest required cross-species scaling from mouse (35%) or rat (8%). Only 45% came from PDAC-specific experiments; most (43%) relied on proxy indications.</w:t>
      </w:r>
    </w:p>
    <w:bookmarkEnd w:id="44"/>
    <w:bookmarkEnd w:id="45"/>
    <w:bookmarkStart w:id="46" w:name="sec:curation"/>
    <w:p>
      <w:pPr>
        <w:pStyle w:val="Heading2"/>
      </w:pPr>
      <w:r>
        <w:rPr>
          <w:rStyle w:val="SectionNumber"/>
        </w:rPr>
        <w:t xml:space="preserve">3.2</w:t>
      </w:r>
      <w:r>
        <w:tab/>
      </w:r>
      <w:r>
        <w:t xml:space="preserve">Human Curation</w:t>
      </w:r>
    </w:p>
    <w:p>
      <w:pPr>
        <w:pStyle w:val="FirstParagraph"/>
      </w:pPr>
      <w:r>
        <w:t xml:space="preserve">To quantify human curation, we compared raw LLM output against final curated versions. All curation was performed interactively with Claude Code (claude-opus-4-6), with the modeler directing edits and modeling decisions while the LLM handled text generation, code writing, and literature comprehension. No batch extraction was used without modification; in a documented review of one batch (12 CalibrationTarget files), 58% were rejected outright.</w:t>
      </w:r>
    </w:p>
    <w:p>
      <w:pPr>
        <w:pStyle w:val="BodyText"/>
      </w:pPr>
      <w:r>
        <w:t xml:space="preserve">For the 37 batch-extracted SubmodelTarget files, the modeler changed the forward model type in 65% of files (24/37), adjusted prior distribution parameters in 46%, changed input data values in 46%, and revised source relevance assessments in every file. For the 22 batch-extracted CalibrationTargets, the modeler revised observable code in 32% of files, changed species lists in 23%, and adjusted empirical data in 18%.</w:t>
      </w:r>
    </w:p>
    <w:p>
      <w:pPr>
        <w:pStyle w:val="BodyText"/>
      </w:pPr>
      <w:r>
        <w:t xml:space="preserve">The remaining 27 CalibrationTargets were extracted interactively with Claude Code using source PDFs loaded directly into the session. The modeler provided domain guidance (species mapping, denominator definitions, distribution choices) while the LLM handled literature comprehension and code generation. These files required minimal subsequent revision (a single shared reference value correction across 7,483 total lines); modeler judgment was embedded in the extraction process rather than applied post-hoc.</w:t>
      </w:r>
    </w:p>
    <w:bookmarkEnd w:id="46"/>
    <w:bookmarkStart w:id="48" w:name="calibrationtarget-extraction"/>
    <w:p>
      <w:pPr>
        <w:pStyle w:val="Heading2"/>
      </w:pPr>
      <w:r>
        <w:rPr>
          <w:rStyle w:val="SectionNumber"/>
        </w:rPr>
        <w:t xml:space="preserve">3.3</w:t>
      </w:r>
      <w:r>
        <w:tab/>
      </w:r>
      <w:r>
        <w:t xml:space="preserve">CalibrationTarget Extraction</w:t>
      </w:r>
    </w:p>
    <w:p>
      <w:pPr>
        <w:pStyle w:val="FirstParagraph"/>
      </w:pPr>
      <w:r>
        <w:t xml:space="preserve">We applied the CalibrationTarget schema to 59 full-model endpoints for the same PDAC QSP model, organized into three scenario groups: 35 baseline (no treatment) targets capturing the untreated tumor microenvironment, 18 neoadjuvant immunotherapy targets (GVAX</w:t>
      </w:r>
      <w:r>
        <w:t xml:space="preserve"> </w:t>
      </w:r>
      <m:oMath>
        <m:r>
          <m:rPr>
            <m:sty m:val="p"/>
          </m:rPr>
          <m:t>±</m:t>
        </m:r>
      </m:oMath>
      <w:r>
        <w:t xml:space="preserve"> </w:t>
      </w:r>
      <w:r>
        <w:t xml:space="preserve">nivolumab), and 1 clinical progression target (Table </w:t>
      </w:r>
      <w:hyperlink w:anchor="tab:ct-summary">
        <w:r>
          <w:rPr>
            <w:rStyle w:val="Hyperlink"/>
          </w:rPr>
          <w:t xml:space="preserve">3</w:t>
        </w:r>
      </w:hyperlink>
      <w:r>
        <w:t xml:space="preserve">). All 59 targets pass schema validation including observable code execution, distribution code verification, and unit consistency checks.</w:t>
      </w:r>
    </w:p>
    <w:bookmarkStart w:id="47" w:name="tab:ct-summary"/>
    <w:p>
      <w:pPr>
        <w:pStyle w:val="TableCaption"/>
      </w:pPr>
      <w:r>
        <w:t xml:space="preserve">CalibrationTarget summary by scenario group.</w:t>
      </w:r>
    </w:p>
    <w:tbl>
      <w:tblPr>
        <w:tblStyle w:val="Table"/>
        <w:tblW w:type="auto" w:w="0"/>
        <w:tblLook w:firstRow="1" w:lastRow="0" w:firstColumn="0" w:lastColumn="0" w:noHBand="0" w:noVBand="0" w:val="0020"/>
        <w:tblCaption w:val="CalibrationTarget summary by scenario group."/>
      </w:tblPr>
      <w:tblGrid>
        <w:gridCol w:w="3960"/>
        <w:gridCol w:w="3960"/>
      </w:tblGrid>
      <w:tr>
        <w:trPr>
          <w:tblHeader w:val="on"/>
        </w:trPr>
        <w:tc>
          <w:tcPr/>
          <w:p>
            <w:pPr>
              <w:pStyle w:val="Compact"/>
              <w:jc w:val="left"/>
            </w:pPr>
            <w:r>
              <w:t xml:space="preserve">Scenario Group</w:t>
            </w:r>
          </w:p>
        </w:tc>
        <w:tc>
          <w:tcPr/>
          <w:p>
            <w:pPr>
              <w:pStyle w:val="Compact"/>
              <w:jc w:val="right"/>
            </w:pPr>
            <w:r>
              <w:t xml:space="preserve">Targets</w:t>
            </w:r>
          </w:p>
        </w:tc>
      </w:tr>
      <w:tr>
        <w:tc>
          <w:tcPr/>
          <w:p>
            <w:pPr>
              <w:pStyle w:val="Compact"/>
              <w:jc w:val="left"/>
            </w:pPr>
            <w:r>
              <w:t xml:space="preserve">Baseline (no treatment)</w:t>
            </w:r>
          </w:p>
        </w:tc>
        <w:tc>
          <w:tcPr/>
          <w:p>
            <w:pPr>
              <w:pStyle w:val="Compact"/>
              <w:jc w:val="right"/>
            </w:pPr>
            <w:r>
              <w:t xml:space="preserve">35</w:t>
            </w:r>
          </w:p>
        </w:tc>
      </w:tr>
      <w:tr>
        <w:tc>
          <w:tcPr/>
          <w:p>
            <w:pPr>
              <w:pStyle w:val="Compact"/>
              <w:jc w:val="left"/>
            </w:pPr>
            <w:r>
              <w:t xml:space="preserve">Neoadjuvant immunotherapy (GVAX</w:t>
            </w:r>
            <w:r>
              <w:t xml:space="preserve"> </w:t>
            </w:r>
            <m:oMath>
              <m:r>
                <m:rPr>
                  <m:sty m:val="p"/>
                </m:rPr>
                <m:t>±</m:t>
              </m:r>
            </m:oMath>
            <w:r>
              <w:t xml:space="preserve"> </w:t>
            </w:r>
            <w:r>
              <w:t xml:space="preserve">nivolumab)</w:t>
            </w:r>
          </w:p>
        </w:tc>
        <w:tc>
          <w:tcPr/>
          <w:p>
            <w:pPr>
              <w:pStyle w:val="Compact"/>
              <w:jc w:val="right"/>
            </w:pPr>
            <w:r>
              <w:t xml:space="preserve">18</w:t>
            </w:r>
          </w:p>
        </w:tc>
      </w:tr>
      <w:tr>
        <w:tc>
          <w:tcPr/>
          <w:p>
            <w:pPr>
              <w:pStyle w:val="Compact"/>
              <w:jc w:val="left"/>
            </w:pPr>
            <w:r>
              <w:t xml:space="preserve">Clinical progression</w:t>
            </w:r>
          </w:p>
        </w:tc>
        <w:tc>
          <w:tcPr/>
          <w:p>
            <w:pPr>
              <w:pStyle w:val="Compact"/>
              <w:jc w:val="right"/>
            </w:pPr>
            <w:r>
              <w:t xml:space="preserve">1</w:t>
            </w:r>
          </w:p>
        </w:tc>
      </w:tr>
      <w:tr>
        <w:tc>
          <w:tcPr/>
          <w:p>
            <w:pPr>
              <w:pStyle w:val="Compact"/>
              <w:jc w:val="left"/>
            </w:pPr>
            <w:r>
              <w:rPr>
                <w:b/>
                <w:bCs/>
              </w:rPr>
              <w:t xml:space="preserve">Total</w:t>
            </w:r>
          </w:p>
        </w:tc>
        <w:tc>
          <w:tcPr/>
          <w:p>
            <w:pPr>
              <w:pStyle w:val="Compact"/>
              <w:jc w:val="right"/>
            </w:pPr>
            <w:r>
              <w:rPr>
                <w:b/>
                <w:bCs/>
              </w:rPr>
              <w:t xml:space="preserve">59</w:t>
            </w:r>
          </w:p>
        </w:tc>
      </w:tr>
    </w:tbl>
    <w:bookmarkEnd w:id="47"/>
    <w:p>
      <w:pPr>
        <w:pStyle w:val="BodyText"/>
      </w:pPr>
      <w:r>
        <w:t xml:space="preserve">Of the 59 targets, 22 were extracted by GPT-5.1 through the batch pipeline, 27 interactively with Claude Opus 4 using source PDFs, and 10 manually. The 18 neoadjuvant immunotherapy targets include per-patient data digitized from scatter plots (25% of all CalibrationTargets). Curation metrics for both extraction modes are reported in Section </w:t>
      </w:r>
      <w:hyperlink w:anchor="sec:curation">
        <w:r>
          <w:rPr>
            <w:rStyle w:val="Hyperlink"/>
          </w:rPr>
          <w:t xml:space="preserve">3.2</w:t>
        </w:r>
      </w:hyperlink>
      <w:r>
        <w:t xml:space="preserve">.</w:t>
      </w:r>
    </w:p>
    <w:p>
      <w:pPr>
        <w:pStyle w:val="BodyText"/>
      </w:pPr>
      <w:r>
        <w:t xml:space="preserve">The observables span 25 unique model species, with complexity ranging from 1 to 19 species per target (mean 7.2). The targets drew from 25 unique primary sources (from years 2000–2026). Supplementary Section S9 provides detailed per-target metrics.</w:t>
      </w:r>
    </w:p>
    <w:bookmarkEnd w:id="48"/>
    <w:bookmarkStart w:id="49" w:name="code-generation-and-inference"/>
    <w:p>
      <w:pPr>
        <w:pStyle w:val="Heading2"/>
      </w:pPr>
      <w:r>
        <w:rPr>
          <w:rStyle w:val="SectionNumber"/>
        </w:rPr>
        <w:t xml:space="preserve">3.4</w:t>
      </w:r>
      <w:r>
        <w:tab/>
      </w:r>
      <w:r>
        <w:t xml:space="preserve">Code Generation and Inference</w:t>
      </w:r>
    </w:p>
    <w:p>
      <w:pPr>
        <w:pStyle w:val="FirstParagraph"/>
      </w:pPr>
      <w:r>
        <w:t xml:space="preserve">All 18 SubmodelTargets were translated to a joint Julia inference script targeting Turing.jl</w:t>
      </w:r>
      <w:r>
        <w:t xml:space="preserve"> </w:t>
      </w:r>
      <w:r>
        <w:t xml:space="preserve">(Ge, Xu, and Ghahramani 2018)</w:t>
      </w:r>
      <w:r>
        <w:t xml:space="preserve">. The translator identified 19 unique parameters and generated corresponding priors and likelihood terms. All parameters converged (</w:t>
      </w:r>
      <m:oMath>
        <m:acc>
          <m:accPr>
            <m:chr m:val="̂"/>
          </m:accPr>
          <m:e>
            <m:r>
              <m:t>R</m:t>
            </m:r>
          </m:e>
        </m:acc>
        <m:r>
          <m:rPr>
            <m:sty m:val="p"/>
          </m:rPr>
          <m:t>&lt;</m:t>
        </m:r>
        <m:r>
          <m:t>1.01</m:t>
        </m:r>
      </m:oMath>
      <w:r>
        <w:t xml:space="preserve">, ESS</w:t>
      </w:r>
      <w:r>
        <w:t xml:space="preserve"> </w:t>
      </w:r>
      <m:oMath>
        <m:r>
          <m:rPr>
            <m:sty m:val="p"/>
          </m:rPr>
          <m:t>&gt;</m:t>
        </m:r>
        <m:r>
          <m:t>3000</m:t>
        </m:r>
      </m:oMath>
      <w:r>
        <w:t xml:space="preserve">), with posterior estimates yielding biologically plausible values (e.g., tumor doubling time of</w:t>
      </w:r>
      <w:r>
        <w:t xml:space="preserve"> </w:t>
      </w:r>
      <m:oMath>
        <m:r>
          <m:rPr>
            <m:sty m:val="p"/>
          </m:rPr>
          <m:t>∼</m:t>
        </m:r>
      </m:oMath>
      <w:r>
        <w:t xml:space="preserve">130 days, consistent with clinical PDAC observations). Full inference results including convergence diagnostics, posterior distributions, and model type breakdown are reported in Supplementary Section S10.</w:t>
      </w:r>
    </w:p>
    <w:bookmarkEnd w:id="49"/>
    <w:bookmarkEnd w:id="50"/>
    <w:bookmarkStart w:id="56" w:name="discussion"/>
    <w:p>
      <w:pPr>
        <w:pStyle w:val="Heading1"/>
      </w:pPr>
      <w:r>
        <w:rPr>
          <w:rStyle w:val="SectionNumber"/>
        </w:rPr>
        <w:t xml:space="preserve">4</w:t>
      </w:r>
      <w:r>
        <w:tab/>
      </w:r>
      <w:r>
        <w:t xml:space="preserve">Discussion</w:t>
      </w:r>
    </w:p>
    <w:p>
      <w:pPr>
        <w:pStyle w:val="FirstParagraph"/>
      </w:pPr>
      <w:r>
        <w:t xml:space="preserve">MAPLE demonstrates that structured schemas can serve as a productive collaboration interface between LLMs and modelers for QSP model calibration. The curation analysis reveals that modeler judgment contributes roughly half of the final calibration target content. Rather than automating away the modeler, the framework restructures the collaboration: the schema defines what must be captured, validators catch errors from both LLM and human sources, and the separation of data extraction from modeling decisions clarifies where different types of expertise are needed.</w:t>
      </w:r>
    </w:p>
    <w:bookmarkStart w:id="51" w:name="validation-as-the-core-mechanism"/>
    <w:p>
      <w:pPr>
        <w:pStyle w:val="Heading2"/>
      </w:pPr>
      <w:r>
        <w:rPr>
          <w:rStyle w:val="SectionNumber"/>
        </w:rPr>
        <w:t xml:space="preserve">4.1</w:t>
      </w:r>
      <w:r>
        <w:tab/>
      </w:r>
      <w:r>
        <w:t xml:space="preserve">Validation as the Core Mechanism</w:t>
      </w:r>
    </w:p>
    <w:p>
      <w:pPr>
        <w:pStyle w:val="FirstParagraph"/>
      </w:pPr>
      <w:r>
        <w:t xml:space="preserve">None of the 18 SubmodelTarget extractions passed validation on the first attempt, and the same automated retry pipeline was used for batch-extracted CalibrationTargets (detailed retry metrics are reported for SubmodelTargets, where the Logfire-instrumented pipeline provided per-target tracing). This is expected behavior: the validators serve as an automated first-pass review, and the retry loop resolves most issues without human intervention. Extractions requiring multiple retries (up to 7) typically involved ambiguous unit conventions or conflicting literature values.</w:t>
      </w:r>
    </w:p>
    <w:p>
      <w:pPr>
        <w:pStyle w:val="BodyText"/>
      </w:pPr>
      <w:r>
        <w:t xml:space="preserve">The value-in-snippet requirement proved particularly effective, catching a common LLM behavior: paraphrasing source text rather than quoting it exactly. The validator flags these cases, and the retry loop produces verbatim snippets. A separate external validator checks that snippets actually appear in the cited papers, catching cases where the LLM generates plausible text that does not exist in the source. Together, these validators support human review: a reviewer can verify each extraction by checking the snippet against the source paper, without re-reading entire methods sections.</w:t>
      </w:r>
    </w:p>
    <w:bookmarkEnd w:id="51"/>
    <w:bookmarkStart w:id="52" w:name="schema-design-choices"/>
    <w:p>
      <w:pPr>
        <w:pStyle w:val="Heading2"/>
      </w:pPr>
      <w:r>
        <w:rPr>
          <w:rStyle w:val="SectionNumber"/>
        </w:rPr>
        <w:t xml:space="preserve">4.2</w:t>
      </w:r>
      <w:r>
        <w:tab/>
      </w:r>
      <w:r>
        <w:t xml:space="preserve">Schema Design Choices</w:t>
      </w:r>
    </w:p>
    <w:p>
      <w:pPr>
        <w:pStyle w:val="FirstParagraph"/>
      </w:pPr>
      <w:r>
        <w:t xml:space="preserve">The separation of data extraction from model specification clarifies where human judgment is required (the inputs should be objective; the calibration layer involves modeling choices), enables reuse (if a modeling assumption changes, the inputs remain valid), and supports independent review of data versus modeling decisions.</w:t>
      </w:r>
    </w:p>
    <w:p>
      <w:pPr>
        <w:pStyle w:val="BodyText"/>
      </w:pPr>
      <w:r>
        <w:t xml:space="preserve">The dual-schema architecture applies the same data-first principles at two scales of calibration. SubmodelTarget operates on isolated experiments that constrain individual parameters through simplified forward models; CalibrationTarget operates on clinical and in vivo endpoints that constrain the integrated model through full-species observables. Shared design elements (source provenance, relevance assessment, experimental context, value-snippet validation) ensure consistent rigor across both scales, while schema-specific components (forward model types vs. observable code, error models vs. distribution code) capture the distinct requirements of each calibration regime.</w:t>
      </w:r>
    </w:p>
    <w:bookmarkEnd w:id="52"/>
    <w:bookmarkStart w:id="53" w:name="X7186002a424bc166a7144c61c20a0575d76cbd0"/>
    <w:p>
      <w:pPr>
        <w:pStyle w:val="Heading2"/>
      </w:pPr>
      <w:r>
        <w:rPr>
          <w:rStyle w:val="SectionNumber"/>
        </w:rPr>
        <w:t xml:space="preserve">4.3</w:t>
      </w:r>
      <w:r>
        <w:tab/>
      </w:r>
      <w:r>
        <w:t xml:space="preserve">Modeler Contribution and Limitations of Extracted Data</w:t>
      </w:r>
    </w:p>
    <w:p>
      <w:pPr>
        <w:pStyle w:val="FirstParagraph"/>
      </w:pPr>
      <w:r>
        <w:t xml:space="preserve">The curation results in Section </w:t>
      </w:r>
      <w:hyperlink w:anchor="sec:curation">
        <w:r>
          <w:rPr>
            <w:rStyle w:val="Hyperlink"/>
          </w:rPr>
          <w:t xml:space="preserve">3.2</w:t>
        </w:r>
      </w:hyperlink>
      <w:r>
        <w:t xml:space="preserve"> </w:t>
      </w:r>
      <w:r>
        <w:t xml:space="preserve">confirm that MAPLE does not reduce the need for modeler expertise: for SubmodelTargets, the modeler changed forward model types, adjusted prior distributions, revised input data, and rewrote source relevance assessments across the majority of batch-extracted files; for CalibrationTargets, the modeler revised observable code, corrected species lists, and adjusted empirical data values. These are scientific decisions, not formatting corrections. The framework restructures, rather than replaces, this expertise by separating tasks with different skill requirements. The structured schema ensures documentation completeness: every input requires a source reference and snippet, every prior requires a rationale, every cross-indication extraction requires a justification. The two collaboration modes (batch pipeline vs. interactive extraction) offer different trade-offs (Supplementary Section S14).</w:t>
      </w:r>
    </w:p>
    <w:p>
      <w:pPr>
        <w:pStyle w:val="BodyText"/>
      </w:pPr>
      <w:r>
        <w:t xml:space="preserve">The source characteristics reveal a fundamental challenge in QSP calibration: only 45% of SubmodelTargets came from PDAC-specific experiments, and 35% required cross-species translation from mouse data. The schema addresses this through the</w:t>
      </w:r>
      <w:r>
        <w:t xml:space="preserve"> </w:t>
      </w:r>
      <w:r>
        <w:rPr>
          <w:rStyle w:val="VerbatimChar"/>
        </w:rPr>
        <w:t xml:space="preserve">source_relevance</w:t>
      </w:r>
      <w:r>
        <w:t xml:space="preserve"> </w:t>
      </w:r>
      <w:r>
        <w:t xml:space="preserve">block, which requires that translation uncertainty propagate to prior widths. A parameter calibrated from mouse fibrosis data with 5-fold translation uncertainty will have a correspondingly wide posterior, appropriately reflecting the limited applicability of available evidence.</w:t>
      </w:r>
    </w:p>
    <w:bookmarkEnd w:id="53"/>
    <w:bookmarkStart w:id="54" w:name="relationship-to-existing-approaches"/>
    <w:p>
      <w:pPr>
        <w:pStyle w:val="Heading2"/>
      </w:pPr>
      <w:r>
        <w:rPr>
          <w:rStyle w:val="SectionNumber"/>
        </w:rPr>
        <w:t xml:space="preserve">4.4</w:t>
      </w:r>
      <w:r>
        <w:tab/>
      </w:r>
      <w:r>
        <w:t xml:space="preserve">Relationship to Existing Approaches</w:t>
      </w:r>
    </w:p>
    <w:p>
      <w:pPr>
        <w:pStyle w:val="FirstParagraph"/>
      </w:pPr>
      <w:r>
        <w:t xml:space="preserve">MAPLE addresses a gap between general-purpose biomedical extraction frameworks</w:t>
      </w:r>
      <w:r>
        <w:t xml:space="preserve"> </w:t>
      </w:r>
      <w:r>
        <w:t xml:space="preserve">(Hsu and Roberts 2025; X. Wang et al. 2025)</w:t>
      </w:r>
      <w:r>
        <w:t xml:space="preserve">, which do not address QSP-specific downstream requirements (uncertainty quantification, forward model specification, code generation), and QSP-focused tools like QSP-Copilot</w:t>
      </w:r>
      <w:r>
        <w:t xml:space="preserve"> </w:t>
      </w:r>
      <w:r>
        <w:t xml:space="preserve">(Saini and Farnoud 2025)</w:t>
      </w:r>
      <w:r>
        <w:t xml:space="preserve">, which emphasize model structure discovery rather than quantitative parameter calibration with provenance. The validation approach combines grounding strategies from retrieval-augmented generation</w:t>
      </w:r>
      <w:r>
        <w:t xml:space="preserve"> </w:t>
      </w:r>
      <w:r>
        <w:t xml:space="preserve">(Li et al. 2025)</w:t>
      </w:r>
      <w:r>
        <w:t xml:space="preserve"> </w:t>
      </w:r>
      <w:r>
        <w:t xml:space="preserve">and constrained decoding</w:t>
      </w:r>
      <w:r>
        <w:t xml:space="preserve"> </w:t>
      </w:r>
      <w:r>
        <w:t xml:space="preserve">(Geng et al. 2025)</w:t>
      </w:r>
      <w:r>
        <w:t xml:space="preserve"> </w:t>
      </w:r>
      <w:r>
        <w:t xml:space="preserve">with domain-specific validators (DOI resolution, unit parsing, code execution) tailored to quantitative scientific extraction.</w:t>
      </w:r>
    </w:p>
    <w:p>
      <w:pPr>
        <w:pStyle w:val="BodyText"/>
      </w:pPr>
      <w:r>
        <w:t xml:space="preserve">Unlike knowledge graph approaches that prioritize coverage across thousands of abstracts</w:t>
      </w:r>
      <w:r>
        <w:t xml:space="preserve"> </w:t>
      </w:r>
      <w:r>
        <w:t xml:space="preserve">(He et al. 2026; Gao et al. 2024)</w:t>
      </w:r>
      <w:r>
        <w:t xml:space="preserve"> </w:t>
      </w:r>
      <w:r>
        <w:t xml:space="preserve">and can tolerate some extraction errors, parameter calibration requires higher per-target stringency because each value directly influences model predictions. MAPLE aligns with IQ Consortium best practices for AI/ML in quantitative modeling</w:t>
      </w:r>
      <w:r>
        <w:t xml:space="preserve"> </w:t>
      </w:r>
      <w:r>
        <w:t xml:space="preserve">(Terranova et al. 2024)</w:t>
      </w:r>
      <w:r>
        <w:t xml:space="preserve">, emphasizing explainability, human-in-the-loop oversight, and documented provenance. While evaluated on a QSP model, the approach applies to any parameter-rich mechanistic model that draws calibration data from literature. A more detailed comparison of individual tools and approaches is provided in Supplementary Section S15.</w:t>
      </w:r>
    </w:p>
    <w:bookmarkEnd w:id="54"/>
    <w:bookmarkStart w:id="55" w:name="limitations-and-future-work"/>
    <w:p>
      <w:pPr>
        <w:pStyle w:val="Heading2"/>
      </w:pPr>
      <w:r>
        <w:rPr>
          <w:rStyle w:val="SectionNumber"/>
        </w:rPr>
        <w:t xml:space="preserve">4.5</w:t>
      </w:r>
      <w:r>
        <w:tab/>
      </w:r>
      <w:r>
        <w:t xml:space="preserve">Limitations and Future Work</w:t>
      </w:r>
    </w:p>
    <w:p>
      <w:pPr>
        <w:pStyle w:val="FirstParagraph"/>
      </w:pPr>
      <w:r>
        <w:t xml:space="preserve">Several limitations merit discussion. First, the framework relies on the LLM’s built-in web search for source discovery, so extraction quality is bounded by the LLM’s ability to locate and access papers. Closed-access publications may be only partially available (e.g., abstract only), limiting extraction depth. Emerging agentic capabilities (LLM-controlled browsers with institutional authentication) may address this. The framework also depends on evolving LLM capabilities: extraction is stochastic, and performance characteristics vary across providers and model versions.</w:t>
      </w:r>
    </w:p>
    <w:p>
      <w:pPr>
        <w:pStyle w:val="BodyText"/>
      </w:pPr>
      <w:r>
        <w:t xml:space="preserve">Second, modeler intervention is pervasive. For SubmodelTargets, the modeler changed the forward model type in 65% of files and adjusted prior parameters in 46%. Prompt improvements could reduce some recurring errors, but core scientific decisions will remain modeler responsibilities regardless of LLM capability. CalibrationTargets required different curation: observable code (changed in 32% of batch-extracted files), Monte Carlo distribution derivation, and denominator audit fields demand modeling expertise that current LLMs provide as a starting point. The schema and validators can also be used without LLMs, providing structure for purely manual curation.</w:t>
      </w:r>
    </w:p>
    <w:p>
      <w:pPr>
        <w:pStyle w:val="BodyText"/>
      </w:pPr>
      <w:r>
        <w:t xml:space="preserve">Third, extracting structured quantitative data from figures remains challenging; the neoadjuvant immunotherapy targets required manual digitization of scatter plots. Integrating multimodal LLM vision capabilities is a natural direction for future work. Finally, this evaluation covers a single model (PDAC QSP); broader evaluation across therapeutic areas would better characterize generalizability.</w:t>
      </w:r>
    </w:p>
    <w:bookmarkEnd w:id="55"/>
    <w:bookmarkEnd w:id="56"/>
    <w:bookmarkStart w:id="57" w:name="study-highlights"/>
    <w:p>
      <w:pPr>
        <w:pStyle w:val="Heading1"/>
      </w:pPr>
      <w:r>
        <w:t xml:space="preserve">Study Highlights</w:t>
      </w:r>
    </w:p>
    <w:p>
      <w:pPr>
        <w:pStyle w:val="FirstParagraph"/>
      </w:pPr>
      <w:r>
        <w:rPr>
          <w:b/>
          <w:bCs/>
        </w:rPr>
        <w:t xml:space="preserve">What is the current knowledge on the topic?</w:t>
      </w:r>
    </w:p>
    <w:p>
      <w:pPr>
        <w:pStyle w:val="BodyText"/>
      </w:pPr>
      <w:r>
        <w:t xml:space="preserve">QSP model calibration requires data from published literature, spanning experimental studies and clinical endpoints. Manual curation is labor-intensive with inconsistent documentation, while LLM extraction exhibits hallucination and fabrication errors unacceptable for quantitative modeling.</w:t>
      </w:r>
    </w:p>
    <w:p>
      <w:pPr>
        <w:pStyle w:val="BodyText"/>
      </w:pPr>
      <w:r>
        <w:rPr>
          <w:b/>
          <w:bCs/>
        </w:rPr>
        <w:t xml:space="preserve">What question did this study address?</w:t>
      </w:r>
    </w:p>
    <w:p>
      <w:pPr>
        <w:pStyle w:val="BodyText"/>
      </w:pPr>
      <w:r>
        <w:t xml:space="preserve">Can structured schemas serve as a collaboration interface between LLMs and modelers for QSP model calibration, and what is the relative contribution of each?</w:t>
      </w:r>
    </w:p>
    <w:p>
      <w:pPr>
        <w:pStyle w:val="BodyText"/>
      </w:pPr>
      <w:r>
        <w:rPr>
          <w:b/>
          <w:bCs/>
        </w:rPr>
        <w:t xml:space="preserve">What does this study add to our knowledge?</w:t>
      </w:r>
    </w:p>
    <w:p>
      <w:pPr>
        <w:pStyle w:val="BodyText"/>
      </w:pPr>
      <w:r>
        <w:t xml:space="preserve">Structured validation schemas enable LLM-modeler collaboration through batch or interactive extraction. Both modes required substantial modeler input, with forward model types changed in 65% of SubmodelTargets and observable code revised in 32% of CalibrationTargets. Targeted validators catch characteristic LLM errors, and code generation enables joint Bayesian inference.</w:t>
      </w:r>
    </w:p>
    <w:p>
      <w:pPr>
        <w:pStyle w:val="BodyText"/>
      </w:pPr>
      <w:r>
        <w:rPr>
          <w:b/>
          <w:bCs/>
        </w:rPr>
        <w:t xml:space="preserve">How might this change drug discovery, development, and/or therapeutics?</w:t>
      </w:r>
    </w:p>
    <w:p>
      <w:pPr>
        <w:pStyle w:val="BodyText"/>
      </w:pPr>
      <w:r>
        <w:t xml:space="preserve">The framework produces reproducible, provenance-rich calibration targets that improve documentation consistency across modeling teams while making modeler contributions explicit and auditable.</w:t>
      </w:r>
    </w:p>
    <w:bookmarkEnd w:id="57"/>
    <w:bookmarkStart w:id="58" w:name="acknowledgments"/>
    <w:p>
      <w:pPr>
        <w:pStyle w:val="Heading1"/>
      </w:pPr>
      <w:r>
        <w:t xml:space="preserve">Acknowledgments</w:t>
      </w:r>
    </w:p>
    <w:p>
      <w:pPr>
        <w:pStyle w:val="FirstParagraph"/>
      </w:pPr>
      <w:r>
        <w:t xml:space="preserve">Claude (Anthropic) and GPT-5.1 (OpenAI) were used for literature search, data extraction, and code generation as described in the Methods. Claude Code (claude-opus-4-6) assisted with manuscript preparation and interactive curation. All AI-generated content was reviewed and verified by the authors.</w:t>
      </w:r>
    </w:p>
    <w:bookmarkEnd w:id="58"/>
    <w:bookmarkStart w:id="59" w:name="author-contributions"/>
    <w:p>
      <w:pPr>
        <w:pStyle w:val="Heading1"/>
      </w:pPr>
      <w:r>
        <w:t xml:space="preserve">Author Contributions</w:t>
      </w:r>
    </w:p>
    <w:p>
      <w:pPr>
        <w:pStyle w:val="FirstParagraph"/>
      </w:pPr>
      <w:r>
        <w:t xml:space="preserve">J.E. designed research, performed research, analyzed data, and wrote the manuscript. A.S.P. designed research and wrote the manuscript.</w:t>
      </w:r>
    </w:p>
    <w:bookmarkEnd w:id="59"/>
    <w:bookmarkStart w:id="121" w:name="data-availability-statement"/>
    <w:p>
      <w:pPr>
        <w:pStyle w:val="Heading1"/>
      </w:pPr>
      <w:r>
        <w:t xml:space="preserve">Data Availability Statement</w:t>
      </w:r>
    </w:p>
    <w:p>
      <w:pPr>
        <w:pStyle w:val="FirstParagraph"/>
      </w:pPr>
      <w:r>
        <w:t xml:space="preserve">MAPLE (the SubmodelTarget and CalibrationTarget schemas, validation framework, and Julia code generator) is available at</w:t>
      </w:r>
      <w:r>
        <w:t xml:space="preserve"> </w:t>
      </w:r>
      <w:hyperlink r:id="rId60">
        <w:r>
          <w:rPr>
            <w:rStyle w:val="Hyperlink"/>
          </w:rPr>
          <w:t xml:space="preserve">https://github.com/popellab/maple</w:t>
        </w:r>
      </w:hyperlink>
      <w:r>
        <w:t xml:space="preserve">. Extraction inputs, curated YAML targets, and scripts to reproduce all paper statistics are available at</w:t>
      </w:r>
      <w:r>
        <w:t xml:space="preserve"> </w:t>
      </w:r>
      <w:hyperlink r:id="rId61">
        <w:r>
          <w:rPr>
            <w:rStyle w:val="Hyperlink"/>
          </w:rPr>
          <w:t xml:space="preserve">https://github.com/popellab/maple-paper</w:t>
        </w:r>
      </w:hyperlink>
      <w:r>
        <w:t xml:space="preserve">. The PDAC calibration targets used in this study (18 SubmodelTargets and 59 CalibrationTargets) are provided as supplementary YAML files. Generated Julia inference scripts are included in the supplementary materials.</w:t>
      </w:r>
    </w:p>
    <w:bookmarkStart w:id="120" w:name="refs"/>
    <w:bookmarkStart w:id="63" w:name="X8c415a993717a716f25d3c033f922e736091439"/>
    <w:p>
      <w:pPr>
        <w:pStyle w:val="Bibliography"/>
      </w:pPr>
      <w:r>
        <w:t xml:space="preserve">Androulakis, Ioannis P., Limei Cheng, Carolyn R. Cho, and Tongli Zhang. 2025.</w:t>
      </w:r>
      <w:r>
        <w:t xml:space="preserve"> </w:t>
      </w:r>
      <w:r>
        <w:t xml:space="preserve">“Leveraging Large Language Models to Compare Perspectives on Integrating</w:t>
      </w:r>
      <w:r>
        <w:t xml:space="preserve"> </w:t>
      </w:r>
      <w:r>
        <w:t xml:space="preserve">QSP</w:t>
      </w:r>
      <w:r>
        <w:t xml:space="preserve"> </w:t>
      </w:r>
      <w:r>
        <w:t xml:space="preserve">and</w:t>
      </w:r>
      <w:r>
        <w:t xml:space="preserve"> </w:t>
      </w:r>
      <w:r>
        <w:t xml:space="preserve">AI</w:t>
      </w:r>
      <w:r>
        <w:t xml:space="preserve">/</w:t>
      </w:r>
      <w:r>
        <w:t xml:space="preserve">ML</w:t>
      </w:r>
      <w:r>
        <w:t xml:space="preserve">.”</w:t>
      </w:r>
      <w:r>
        <w:t xml:space="preserve"> </w:t>
      </w:r>
      <w:r>
        <w:rPr>
          <w:i/>
          <w:iCs/>
        </w:rPr>
        <w:t xml:space="preserve">Journal of Pharmacokinetics and Pharmacodynamics</w:t>
      </w:r>
      <w:r>
        <w:t xml:space="preserve"> </w:t>
      </w:r>
      <w:r>
        <w:t xml:space="preserve">52 (3): 29.</w:t>
      </w:r>
      <w:r>
        <w:t xml:space="preserve"> </w:t>
      </w:r>
      <w:hyperlink r:id="rId62">
        <w:r>
          <w:rPr>
            <w:rStyle w:val="Hyperlink"/>
          </w:rPr>
          <w:t xml:space="preserve">https://doi.org/10.1007/s10928-025-09976-5</w:t>
        </w:r>
      </w:hyperlink>
      <w:r>
        <w:t xml:space="preserve">.</w:t>
      </w:r>
    </w:p>
    <w:bookmarkEnd w:id="63"/>
    <w:bookmarkStart w:id="65" w:name="ref-androulakisDawnNewEra2025"/>
    <w:p>
      <w:pPr>
        <w:pStyle w:val="Bibliography"/>
      </w:pPr>
      <w:r>
        <w:t xml:space="preserve">Androulakis, Ioannis P., Lourdes Cucurull-Sanchez, Anna Kondic, Krina Mehta, Cesar Pichardo, Meghan Pryor, and Marissa Renardy. 2025.</w:t>
      </w:r>
      <w:r>
        <w:t xml:space="preserve"> </w:t>
      </w:r>
      <w:r>
        <w:t xml:space="preserve">“The Dawn of a New Era: Can Machine Learning and Large Language Models Reshape</w:t>
      </w:r>
      <w:r>
        <w:t xml:space="preserve"> </w:t>
      </w:r>
      <w:r>
        <w:t xml:space="preserve">QSP</w:t>
      </w:r>
      <w:r>
        <w:t xml:space="preserve"> </w:t>
      </w:r>
      <w:r>
        <w:t xml:space="preserve">Modeling?”</w:t>
      </w:r>
      <w:r>
        <w:t xml:space="preserve"> </w:t>
      </w:r>
      <w:r>
        <w:rPr>
          <w:i/>
          <w:iCs/>
        </w:rPr>
        <w:t xml:space="preserve">Journal of Pharmacokinetics and Pharmacodynamics</w:t>
      </w:r>
      <w:r>
        <w:t xml:space="preserve"> </w:t>
      </w:r>
      <w:r>
        <w:t xml:space="preserve">52 (4): 36.</w:t>
      </w:r>
      <w:r>
        <w:t xml:space="preserve"> </w:t>
      </w:r>
      <w:hyperlink r:id="rId64">
        <w:r>
          <w:rPr>
            <w:rStyle w:val="Hyperlink"/>
          </w:rPr>
          <w:t xml:space="preserve">https://doi.org/10.1007/s10928-025-09984-5</w:t>
        </w:r>
      </w:hyperlink>
      <w:r>
        <w:t xml:space="preserve">.</w:t>
      </w:r>
    </w:p>
    <w:bookmarkEnd w:id="65"/>
    <w:bookmarkStart w:id="67" w:name="ref-Colvin_Pydantic_Validation_2025"/>
    <w:p>
      <w:pPr>
        <w:pStyle w:val="Bibliography"/>
      </w:pPr>
      <w:r>
        <w:t xml:space="preserve">Colvin, Samuel, Eric Jolibois, Hasan Ramezani, Adrian Garcia Badaracco, Terrence Dorsey, David Montague, Serge Matveenko, et al. 2025.</w:t>
      </w:r>
      <w:r>
        <w:t xml:space="preserve"> </w:t>
      </w:r>
      <w:r>
        <w:t xml:space="preserve">“</w:t>
      </w:r>
      <w:r>
        <w:t xml:space="preserve">Pydantic Validation</w:t>
      </w:r>
      <w:r>
        <w:t xml:space="preserve">.”</w:t>
      </w:r>
      <w:r>
        <w:t xml:space="preserve"> </w:t>
      </w:r>
      <w:hyperlink r:id="rId66">
        <w:r>
          <w:rPr>
            <w:rStyle w:val="Hyperlink"/>
          </w:rPr>
          <w:t xml:space="preserve">https://github.com/pydantic/pydantic</w:t>
        </w:r>
      </w:hyperlink>
      <w:r>
        <w:t xml:space="preserve">.</w:t>
      </w:r>
    </w:p>
    <w:bookmarkEnd w:id="67"/>
    <w:bookmarkStart w:id="69" w:name="ref-craigPracticalGuideGeneration2023"/>
    <w:p>
      <w:pPr>
        <w:pStyle w:val="Bibliography"/>
      </w:pPr>
      <w:r>
        <w:t xml:space="preserve">Craig, Morgan, Jana L. Gevertz, Irina Kareva, and Kathleen P. Wilkie. 2023.</w:t>
      </w:r>
      <w:r>
        <w:t xml:space="preserve"> </w:t>
      </w:r>
      <w:r>
        <w:t xml:space="preserve">“A Practical Guide for the Generation of Model-Based Virtual Clinical Trials.”</w:t>
      </w:r>
      <w:r>
        <w:t xml:space="preserve"> </w:t>
      </w:r>
      <w:r>
        <w:rPr>
          <w:i/>
          <w:iCs/>
        </w:rPr>
        <w:t xml:space="preserve">Frontiers in Systems Biology</w:t>
      </w:r>
      <w:r>
        <w:t xml:space="preserve"> </w:t>
      </w:r>
      <w:r>
        <w:t xml:space="preserve">3 (June).</w:t>
      </w:r>
      <w:r>
        <w:t xml:space="preserve"> </w:t>
      </w:r>
      <w:hyperlink r:id="rId68">
        <w:r>
          <w:rPr>
            <w:rStyle w:val="Hyperlink"/>
          </w:rPr>
          <w:t xml:space="preserve">https://doi.org/10.3389/fsysb.2023.1174647</w:t>
        </w:r>
      </w:hyperlink>
      <w:r>
        <w:t xml:space="preserve">.</w:t>
      </w:r>
    </w:p>
    <w:bookmarkEnd w:id="69"/>
    <w:bookmarkStart w:id="71" w:name="X1c94f764c1b19aacc24a132bd09663de20b324f"/>
    <w:p>
      <w:pPr>
        <w:pStyle w:val="Bibliography"/>
      </w:pPr>
      <w:r>
        <w:t xml:space="preserve">Farquhar, Sebastian, Jannik Kossen, Lorenz Kuhn, and Yarin Gal. 2024.</w:t>
      </w:r>
      <w:r>
        <w:t xml:space="preserve"> </w:t>
      </w:r>
      <w:r>
        <w:t xml:space="preserve">“Detecting Hallucinations in Large Language Models Using Semantic Entropy.”</w:t>
      </w:r>
      <w:r>
        <w:t xml:space="preserve"> </w:t>
      </w:r>
      <w:r>
        <w:rPr>
          <w:i/>
          <w:iCs/>
        </w:rPr>
        <w:t xml:space="preserve">Nature</w:t>
      </w:r>
      <w:r>
        <w:t xml:space="preserve"> </w:t>
      </w:r>
      <w:r>
        <w:t xml:space="preserve">630 (8017): 625–30.</w:t>
      </w:r>
      <w:r>
        <w:t xml:space="preserve"> </w:t>
      </w:r>
      <w:hyperlink r:id="rId70">
        <w:r>
          <w:rPr>
            <w:rStyle w:val="Hyperlink"/>
          </w:rPr>
          <w:t xml:space="preserve">https://doi.org/10.1038/s41586-024-07421-0</w:t>
        </w:r>
      </w:hyperlink>
      <w:r>
        <w:t xml:space="preserve">.</w:t>
      </w:r>
    </w:p>
    <w:bookmarkEnd w:id="71"/>
    <w:bookmarkStart w:id="73" w:name="X1c5a4f9ad3f5411cd43e369d851a1c31e3b802b"/>
    <w:p>
      <w:pPr>
        <w:pStyle w:val="Bibliography"/>
      </w:pPr>
      <w:r>
        <w:t xml:space="preserve">Folguera-Blasco, Núria, Florencia A. T. Boshier, Aydar Uatay, Cesar Pichardo-Almarza, Massimo Lai, Jacopo Biasetti, Richard Dearden, Megan Gibbs, and Holly Kimko. 2024.</w:t>
      </w:r>
      <w:r>
        <w:t xml:space="preserve"> </w:t>
      </w:r>
      <w:r>
        <w:t xml:space="preserve">“Coupling Quantitative Systems Pharmacology Modelling to Machine Learning and Artificial Intelligence for Drug Development: Its</w:t>
      </w:r>
      <w:r>
        <w:t xml:space="preserve"> </w:t>
      </w:r>
      <w:r>
        <w:t xml:space="preserve">pAIns</w:t>
      </w:r>
      <w:r>
        <w:t xml:space="preserve"> </w:t>
      </w:r>
      <w:r>
        <w:t xml:space="preserve">and</w:t>
      </w:r>
      <w:r>
        <w:t xml:space="preserve"> </w:t>
      </w:r>
      <w:r>
        <w:t xml:space="preserve">gAIns</w:t>
      </w:r>
      <w:r>
        <w:t xml:space="preserve">.”</w:t>
      </w:r>
      <w:r>
        <w:t xml:space="preserve"> </w:t>
      </w:r>
      <w:r>
        <w:rPr>
          <w:i/>
          <w:iCs/>
        </w:rPr>
        <w:t xml:space="preserve">Frontiers in Systems Biology</w:t>
      </w:r>
      <w:r>
        <w:t xml:space="preserve"> </w:t>
      </w:r>
      <w:r>
        <w:t xml:space="preserve">4 (July).</w:t>
      </w:r>
      <w:r>
        <w:t xml:space="preserve"> </w:t>
      </w:r>
      <w:hyperlink r:id="rId72">
        <w:r>
          <w:rPr>
            <w:rStyle w:val="Hyperlink"/>
          </w:rPr>
          <w:t xml:space="preserve">https://doi.org/10.3389/fsysb.2024.1380685</w:t>
        </w:r>
      </w:hyperlink>
      <w:r>
        <w:t xml:space="preserve">.</w:t>
      </w:r>
    </w:p>
    <w:bookmarkEnd w:id="73"/>
    <w:bookmarkStart w:id="75" w:name="ref-gadkarSixStageWorkflowRobust2016"/>
    <w:p>
      <w:pPr>
        <w:pStyle w:val="Bibliography"/>
      </w:pPr>
      <w:r>
        <w:t xml:space="preserve">Gadkar, K, DC Kirouac, DE Mager, PH van der Graaf, and S Ramanujan. 2016.</w:t>
      </w:r>
      <w:r>
        <w:t xml:space="preserve"> </w:t>
      </w:r>
      <w:r>
        <w:t xml:space="preserve">“A</w:t>
      </w:r>
      <w:r>
        <w:t xml:space="preserve"> </w:t>
      </w:r>
      <w:r>
        <w:t xml:space="preserve">Six</w:t>
      </w:r>
      <w:r>
        <w:t xml:space="preserve">-</w:t>
      </w:r>
      <w:r>
        <w:t xml:space="preserve">Stage Workflow</w:t>
      </w:r>
      <w:r>
        <w:t xml:space="preserve"> </w:t>
      </w:r>
      <w:r>
        <w:t xml:space="preserve">for</w:t>
      </w:r>
      <w:r>
        <w:t xml:space="preserve"> </w:t>
      </w:r>
      <w:r>
        <w:t xml:space="preserve">Robust Application</w:t>
      </w:r>
      <w:r>
        <w:t xml:space="preserve"> </w:t>
      </w:r>
      <w:r>
        <w:t xml:space="preserve">of</w:t>
      </w:r>
      <w:r>
        <w:t xml:space="preserve"> </w:t>
      </w:r>
      <w:r>
        <w:t xml:space="preserve">Systems Pharmacology</w:t>
      </w:r>
      <w:r>
        <w:t xml:space="preserve">.”</w:t>
      </w:r>
      <w:r>
        <w:t xml:space="preserve"> </w:t>
      </w:r>
      <w:r>
        <w:rPr>
          <w:i/>
          <w:iCs/>
        </w:rPr>
        <w:t xml:space="preserve">CPT: Pharmacometrics &amp; Systems Pharmacology</w:t>
      </w:r>
      <w:r>
        <w:t xml:space="preserve"> </w:t>
      </w:r>
      <w:r>
        <w:t xml:space="preserve">5 (5): 235–49.</w:t>
      </w:r>
      <w:r>
        <w:t xml:space="preserve"> </w:t>
      </w:r>
      <w:hyperlink r:id="rId74">
        <w:r>
          <w:rPr>
            <w:rStyle w:val="Hyperlink"/>
          </w:rPr>
          <w:t xml:space="preserve">https://doi.org/10.1002/psp4.12071</w:t>
        </w:r>
      </w:hyperlink>
      <w:r>
        <w:t xml:space="preserve">.</w:t>
      </w:r>
    </w:p>
    <w:bookmarkEnd w:id="75"/>
    <w:bookmarkStart w:id="77" w:name="ref-gaoJointExtractionEntity2024"/>
    <w:p>
      <w:pPr>
        <w:pStyle w:val="Bibliography"/>
      </w:pPr>
      <w:r>
        <w:t xml:space="preserve">Gao, Ting, Xue Zhai, Chuan Yang, Linlin Lv, and Han Wang. 2024.</w:t>
      </w:r>
      <w:r>
        <w:t xml:space="preserve"> </w:t>
      </w:r>
      <w:r>
        <w:t xml:space="preserve">“Joint Extraction of Entity and Relation Based on Fine-Tuning</w:t>
      </w:r>
      <w:r>
        <w:t xml:space="preserve"> </w:t>
      </w:r>
      <w:r>
        <w:t xml:space="preserve">BERT</w:t>
      </w:r>
      <w:r>
        <w:t xml:space="preserve"> </w:t>
      </w:r>
      <w:r>
        <w:t xml:space="preserve">for Long Biomedical Literatures.”</w:t>
      </w:r>
      <w:r>
        <w:t xml:space="preserve"> </w:t>
      </w:r>
      <w:r>
        <w:rPr>
          <w:i/>
          <w:iCs/>
        </w:rPr>
        <w:t xml:space="preserve">Bioinformatics Advances</w:t>
      </w:r>
      <w:r>
        <w:t xml:space="preserve"> </w:t>
      </w:r>
      <w:r>
        <w:t xml:space="preserve">4 (1): vbae194.</w:t>
      </w:r>
      <w:r>
        <w:t xml:space="preserve"> </w:t>
      </w:r>
      <w:hyperlink r:id="rId76">
        <w:r>
          <w:rPr>
            <w:rStyle w:val="Hyperlink"/>
          </w:rPr>
          <w:t xml:space="preserve">https://doi.org/10.1093/bioadv/vbae194</w:t>
        </w:r>
      </w:hyperlink>
      <w:r>
        <w:t xml:space="preserve">.</w:t>
      </w:r>
    </w:p>
    <w:bookmarkEnd w:id="77"/>
    <w:bookmarkStart w:id="79" w:name="ref-geTuringLanguageFlexible2018"/>
    <w:p>
      <w:pPr>
        <w:pStyle w:val="Bibliography"/>
      </w:pPr>
      <w:r>
        <w:t xml:space="preserve">Ge, Hong, Kai Xu, and Zoubin Ghahramani. 2018.</w:t>
      </w:r>
      <w:r>
        <w:t xml:space="preserve"> </w:t>
      </w:r>
      <w:r>
        <w:t xml:space="preserve">“Turing:</w:t>
      </w:r>
      <w:r>
        <w:t xml:space="preserve"> </w:t>
      </w:r>
      <w:r>
        <w:t xml:space="preserve">A Language</w:t>
      </w:r>
      <w:r>
        <w:t xml:space="preserve"> </w:t>
      </w:r>
      <w:r>
        <w:t xml:space="preserve">for</w:t>
      </w:r>
      <w:r>
        <w:t xml:space="preserve"> </w:t>
      </w:r>
      <w:r>
        <w:t xml:space="preserve">Flexible Probabilistic Inference</w:t>
      </w:r>
      <w:r>
        <w:t xml:space="preserve">.”</w:t>
      </w:r>
      <w:r>
        <w:t xml:space="preserve"> </w:t>
      </w:r>
      <w:r>
        <w:t xml:space="preserve">In</w:t>
      </w:r>
      <w:r>
        <w:t xml:space="preserve"> </w:t>
      </w:r>
      <w:r>
        <w:rPr>
          <w:i/>
          <w:iCs/>
        </w:rPr>
        <w:t xml:space="preserve">Proceedings of the</w:t>
      </w:r>
      <w:r>
        <w:rPr>
          <w:i/>
          <w:iCs/>
        </w:rPr>
        <w:t xml:space="preserve"> </w:t>
      </w:r>
      <w:r>
        <w:rPr>
          <w:i/>
          <w:iCs/>
        </w:rPr>
        <w:t xml:space="preserve">Twenty-First International Conference</w:t>
      </w:r>
      <w:r>
        <w:rPr>
          <w:i/>
          <w:iCs/>
        </w:rPr>
        <w:t xml:space="preserve"> </w:t>
      </w:r>
      <w:r>
        <w:rPr>
          <w:i/>
          <w:iCs/>
        </w:rPr>
        <w:t xml:space="preserve">on</w:t>
      </w:r>
      <w:r>
        <w:rPr>
          <w:i/>
          <w:iCs/>
        </w:rPr>
        <w:t xml:space="preserve"> </w:t>
      </w:r>
      <w:r>
        <w:rPr>
          <w:i/>
          <w:iCs/>
        </w:rPr>
        <w:t xml:space="preserve">Artificial Intelligence</w:t>
      </w:r>
      <w:r>
        <w:rPr>
          <w:i/>
          <w:iCs/>
        </w:rPr>
        <w:t xml:space="preserve"> </w:t>
      </w:r>
      <w:r>
        <w:rPr>
          <w:i/>
          <w:iCs/>
        </w:rPr>
        <w:t xml:space="preserve">and</w:t>
      </w:r>
      <w:r>
        <w:rPr>
          <w:i/>
          <w:iCs/>
        </w:rPr>
        <w:t xml:space="preserve"> </w:t>
      </w:r>
      <w:r>
        <w:rPr>
          <w:i/>
          <w:iCs/>
        </w:rPr>
        <w:t xml:space="preserve">Statistics</w:t>
      </w:r>
      <w:r>
        <w:t xml:space="preserve">, 1682–90. PMLR.</w:t>
      </w:r>
      <w:r>
        <w:t xml:space="preserve"> </w:t>
      </w:r>
      <w:hyperlink r:id="rId78">
        <w:r>
          <w:rPr>
            <w:rStyle w:val="Hyperlink"/>
          </w:rPr>
          <w:t xml:space="preserve">https://proceedings.mlr.press/v84/ge18b.html</w:t>
        </w:r>
      </w:hyperlink>
      <w:r>
        <w:t xml:space="preserve">.</w:t>
      </w:r>
    </w:p>
    <w:bookmarkEnd w:id="79"/>
    <w:bookmarkStart w:id="81" w:name="ref-gengJSONSchemaBenchRigorous2025"/>
    <w:p>
      <w:pPr>
        <w:pStyle w:val="Bibliography"/>
      </w:pPr>
      <w:r>
        <w:t xml:space="preserve">Geng, Saibo, Hudson Cooper, Michał Moskal, Samuel Jenkins, Julian Berman, Nathan Ranchin, Robert West, Eric Horvitz, and Harsha Nori. 2025.</w:t>
      </w:r>
      <w:r>
        <w:t xml:space="preserve"> </w:t>
      </w:r>
      <w:r>
        <w:t xml:space="preserve">“</w:t>
      </w:r>
      <w:r>
        <w:t xml:space="preserve">JSONSchemaBench</w:t>
      </w:r>
      <w:r>
        <w:t xml:space="preserve">:</w:t>
      </w:r>
      <w:r>
        <w:t xml:space="preserve"> </w:t>
      </w:r>
      <w:r>
        <w:t xml:space="preserve">A Rigorous Benchmark</w:t>
      </w:r>
      <w:r>
        <w:t xml:space="preserve"> </w:t>
      </w:r>
      <w:r>
        <w:t xml:space="preserve">of</w:t>
      </w:r>
      <w:r>
        <w:t xml:space="preserve"> </w:t>
      </w:r>
      <w:r>
        <w:t xml:space="preserve">Structured Outputs</w:t>
      </w:r>
      <w:r>
        <w:t xml:space="preserve"> </w:t>
      </w:r>
      <w:r>
        <w:t xml:space="preserve">for</w:t>
      </w:r>
      <w:r>
        <w:t xml:space="preserve"> </w:t>
      </w:r>
      <w:r>
        <w:t xml:space="preserve">Language Models</w:t>
      </w:r>
      <w:r>
        <w:t xml:space="preserve">.”</w:t>
      </w:r>
      <w:r>
        <w:t xml:space="preserve"> </w:t>
      </w:r>
      <w:r>
        <w:rPr>
          <w:i/>
          <w:iCs/>
        </w:rPr>
        <w:t xml:space="preserve">arXiv Preprint arXiv:2501.10868</w:t>
      </w:r>
      <w:r>
        <w:t xml:space="preserve">, February.</w:t>
      </w:r>
      <w:r>
        <w:t xml:space="preserve"> </w:t>
      </w:r>
      <w:hyperlink r:id="rId80">
        <w:r>
          <w:rPr>
            <w:rStyle w:val="Hyperlink"/>
          </w:rPr>
          <w:t xml:space="preserve">https://doi.org/10.48550/arXiv.2501.10868</w:t>
        </w:r>
      </w:hyperlink>
      <w:r>
        <w:t xml:space="preserve">.</w:t>
      </w:r>
    </w:p>
    <w:bookmarkEnd w:id="81"/>
    <w:bookmarkStart w:id="83" w:name="X2f6b6eadf1efbef9100880a05728250484d836f"/>
    <w:p>
      <w:pPr>
        <w:pStyle w:val="Bibliography"/>
      </w:pPr>
      <w:r>
        <w:t xml:space="preserve">Gonzalez Hernandez, Ferran, Quang Nguyen, Victoria C. Smith, José Antonio Cordero, Maria Rosa Ballester, Màrius Duran, Albert Solé, et al. 2024.</w:t>
      </w:r>
      <w:r>
        <w:t xml:space="preserve"> </w:t>
      </w:r>
      <w:r>
        <w:t xml:space="preserve">“Named Entity Recognition of Pharmacokinetic Parameters in the Scientific Literature.”</w:t>
      </w:r>
      <w:r>
        <w:t xml:space="preserve"> </w:t>
      </w:r>
      <w:r>
        <w:rPr>
          <w:i/>
          <w:iCs/>
        </w:rPr>
        <w:t xml:space="preserve">Scientific Reports</w:t>
      </w:r>
      <w:r>
        <w:t xml:space="preserve"> </w:t>
      </w:r>
      <w:r>
        <w:t xml:space="preserve">14 (1): 23485.</w:t>
      </w:r>
      <w:r>
        <w:t xml:space="preserve"> </w:t>
      </w:r>
      <w:hyperlink r:id="rId82">
        <w:r>
          <w:rPr>
            <w:rStyle w:val="Hyperlink"/>
          </w:rPr>
          <w:t xml:space="preserve">https://doi.org/10.1038/s41598-024-73338-3</w:t>
        </w:r>
      </w:hyperlink>
      <w:r>
        <w:t xml:space="preserve">.</w:t>
      </w:r>
    </w:p>
    <w:bookmarkEnd w:id="83"/>
    <w:bookmarkStart w:id="85" w:name="X723aaa622dba1924fafa92c7b97217b2f286bab"/>
    <w:p>
      <w:pPr>
        <w:pStyle w:val="Bibliography"/>
      </w:pPr>
      <w:r>
        <w:t xml:space="preserve">Goryanin, Igor, Irina Goryanin, and Oleg Demin. 2025.</w:t>
      </w:r>
      <w:r>
        <w:t xml:space="preserve"> </w:t>
      </w:r>
      <w:r>
        <w:t xml:space="preserve">“Revolutionizing Drug Discovery:</w:t>
      </w:r>
      <w:r>
        <w:t xml:space="preserve"> </w:t>
      </w:r>
      <w:r>
        <w:t xml:space="preserve">Integrating</w:t>
      </w:r>
      <w:r>
        <w:t xml:space="preserve"> </w:t>
      </w:r>
      <w:r>
        <w:t xml:space="preserve">Artificial Intelligence with Quantitative Systems Pharmacology.”</w:t>
      </w:r>
      <w:r>
        <w:t xml:space="preserve"> </w:t>
      </w:r>
      <w:r>
        <w:rPr>
          <w:i/>
          <w:iCs/>
        </w:rPr>
        <w:t xml:space="preserve">Drug Discovery Today</w:t>
      </w:r>
      <w:r>
        <w:t xml:space="preserve"> </w:t>
      </w:r>
      <w:r>
        <w:t xml:space="preserve">30 (9): 104448.</w:t>
      </w:r>
      <w:r>
        <w:t xml:space="preserve"> </w:t>
      </w:r>
      <w:hyperlink r:id="rId84">
        <w:r>
          <w:rPr>
            <w:rStyle w:val="Hyperlink"/>
          </w:rPr>
          <w:t xml:space="preserve">https://doi.org/10.1016/j.drudis.2025.104448</w:t>
        </w:r>
      </w:hyperlink>
      <w:r>
        <w:t xml:space="preserve">.</w:t>
      </w:r>
    </w:p>
    <w:bookmarkEnd w:id="85"/>
    <w:bookmarkStart w:id="87" w:name="ref-Grecco_Pint_2025"/>
    <w:p>
      <w:pPr>
        <w:pStyle w:val="Bibliography"/>
      </w:pPr>
      <w:r>
        <w:t xml:space="preserve">Grecco, Hernán E. 2025.</w:t>
      </w:r>
      <w:r>
        <w:t xml:space="preserve"> </w:t>
      </w:r>
      <w:r>
        <w:t xml:space="preserve">“</w:t>
      </w:r>
      <w:r>
        <w:t xml:space="preserve">Pint: Operate and manipulate physical quantities in Python</w:t>
      </w:r>
      <w:r>
        <w:t xml:space="preserve">.”</w:t>
      </w:r>
      <w:r>
        <w:t xml:space="preserve"> </w:t>
      </w:r>
      <w:hyperlink r:id="rId86">
        <w:r>
          <w:rPr>
            <w:rStyle w:val="Hyperlink"/>
          </w:rPr>
          <w:t xml:space="preserve">https://github.com/hgrecco/pint</w:t>
        </w:r>
      </w:hyperlink>
      <w:r>
        <w:t xml:space="preserve">.</w:t>
      </w:r>
    </w:p>
    <w:bookmarkEnd w:id="87"/>
    <w:bookmarkStart w:id="89" w:name="ref-heAIpoweredImmuneCell2026"/>
    <w:p>
      <w:pPr>
        <w:pStyle w:val="Bibliography"/>
      </w:pPr>
      <w:r>
        <w:t xml:space="preserve">He, Shan, Yukun Tan, Qing Ye, Matthew M Gubin, Merve Dede, Hind Rafei, Weiyi Peng, Katayoun Rezvani, Vakul Mohanty, and Ken Chen. 2026.</w:t>
      </w:r>
      <w:r>
        <w:t xml:space="preserve"> </w:t>
      </w:r>
      <w:r>
        <w:t xml:space="preserve">“</w:t>
      </w:r>
      <w:r>
        <w:t xml:space="preserve">AI-powered Immune Cell Knowledge Graph</w:t>
      </w:r>
      <w:r>
        <w:t xml:space="preserve"> </w:t>
      </w:r>
      <w:r>
        <w:t xml:space="preserve">(</w:t>
      </w:r>
      <w:r>
        <w:t xml:space="preserve">ICKG</w:t>
      </w:r>
      <w:r>
        <w:t xml:space="preserve">) with Granular Immune Contexts Enables Immune Program Interpretation.”</w:t>
      </w:r>
      <w:r>
        <w:t xml:space="preserve"> </w:t>
      </w:r>
      <w:r>
        <w:rPr>
          <w:i/>
          <w:iCs/>
        </w:rPr>
        <w:t xml:space="preserve">Npj Artificial Intelligence</w:t>
      </w:r>
      <w:r>
        <w:t xml:space="preserve"> </w:t>
      </w:r>
      <w:r>
        <w:t xml:space="preserve">2 (1): 13.</w:t>
      </w:r>
      <w:r>
        <w:t xml:space="preserve"> </w:t>
      </w:r>
      <w:hyperlink r:id="rId88">
        <w:r>
          <w:rPr>
            <w:rStyle w:val="Hyperlink"/>
          </w:rPr>
          <w:t xml:space="preserve">https://doi.org/10.1038/s44387-025-00060-4</w:t>
        </w:r>
      </w:hyperlink>
      <w:r>
        <w:t xml:space="preserve">.</w:t>
      </w:r>
    </w:p>
    <w:bookmarkEnd w:id="89"/>
    <w:bookmarkStart w:id="91" w:name="ref-hsuLLMIEPythonPackage2025"/>
    <w:p>
      <w:pPr>
        <w:pStyle w:val="Bibliography"/>
      </w:pPr>
      <w:r>
        <w:t xml:space="preserve">Hsu, Enshuo, and Kirk Roberts. 2025.</w:t>
      </w:r>
      <w:r>
        <w:t xml:space="preserve"> </w:t>
      </w:r>
      <w:r>
        <w:t xml:space="preserve">“</w:t>
      </w:r>
      <w:r>
        <w:t xml:space="preserve">LLM-IE</w:t>
      </w:r>
      <w:r>
        <w:t xml:space="preserve">: A Python Package for Biomedical Generative Information Extraction with Large Language Models.”</w:t>
      </w:r>
      <w:r>
        <w:t xml:space="preserve"> </w:t>
      </w:r>
      <w:r>
        <w:rPr>
          <w:i/>
          <w:iCs/>
        </w:rPr>
        <w:t xml:space="preserve">JAMIA Open</w:t>
      </w:r>
      <w:r>
        <w:t xml:space="preserve"> </w:t>
      </w:r>
      <w:r>
        <w:t xml:space="preserve">8 (2): ooaf012.</w:t>
      </w:r>
      <w:r>
        <w:t xml:space="preserve"> </w:t>
      </w:r>
      <w:hyperlink r:id="rId90">
        <w:r>
          <w:rPr>
            <w:rStyle w:val="Hyperlink"/>
          </w:rPr>
          <w:t xml:space="preserve">https://doi.org/10.1093/jamiaopen/ooaf012</w:t>
        </w:r>
      </w:hyperlink>
      <w:r>
        <w:t xml:space="preserve">.</w:t>
      </w:r>
    </w:p>
    <w:bookmarkEnd w:id="91"/>
    <w:bookmarkStart w:id="93" w:name="ref-huAccurateMedicalNamed2024"/>
    <w:p>
      <w:pPr>
        <w:pStyle w:val="Bibliography"/>
      </w:pPr>
      <w:r>
        <w:t xml:space="preserve">Hu, Jiacheng, Runyuan Bao, Yang Lin, Hanchao Zhang, and Yanlin Xiang. 2024.</w:t>
      </w:r>
      <w:r>
        <w:t xml:space="preserve"> </w:t>
      </w:r>
      <w:r>
        <w:t xml:space="preserve">“Accurate</w:t>
      </w:r>
      <w:r>
        <w:t xml:space="preserve"> </w:t>
      </w:r>
      <w:r>
        <w:t xml:space="preserve">Medical Named Entity Recognition Through Specialized NLP Models</w:t>
      </w:r>
      <w:r>
        <w:t xml:space="preserve">.”</w:t>
      </w:r>
      <w:r>
        <w:t xml:space="preserve"> </w:t>
      </w:r>
      <w:r>
        <w:rPr>
          <w:i/>
          <w:iCs/>
        </w:rPr>
        <w:t xml:space="preserve">arXiv Preprint arXiv:2412.08255</w:t>
      </w:r>
      <w:r>
        <w:t xml:space="preserve">, December.</w:t>
      </w:r>
      <w:r>
        <w:t xml:space="preserve"> </w:t>
      </w:r>
      <w:hyperlink r:id="rId92">
        <w:r>
          <w:rPr>
            <w:rStyle w:val="Hyperlink"/>
          </w:rPr>
          <w:t xml:space="preserve">https://doi.org/10.48550/arXiv.2412.08255</w:t>
        </w:r>
      </w:hyperlink>
      <w:r>
        <w:t xml:space="preserve">.</w:t>
      </w:r>
    </w:p>
    <w:bookmarkEnd w:id="93"/>
    <w:bookmarkStart w:id="95" w:name="ref-huangSurveyHallucinationLarge2025"/>
    <w:p>
      <w:pPr>
        <w:pStyle w:val="Bibliography"/>
      </w:pPr>
      <w:r>
        <w:t xml:space="preserve">Huang, Lei, Weijiang Yu, Weitao Ma, Weihong Zhong, Zhangyin Feng, Haotian Wang, Qianglong Chen, et al. 2025.</w:t>
      </w:r>
      <w:r>
        <w:t xml:space="preserve"> </w:t>
      </w:r>
      <w:r>
        <w:t xml:space="preserve">“A</w:t>
      </w:r>
      <w:r>
        <w:t xml:space="preserve"> </w:t>
      </w:r>
      <w:r>
        <w:t xml:space="preserve">Survey</w:t>
      </w:r>
      <w:r>
        <w:t xml:space="preserve"> </w:t>
      </w:r>
      <w:r>
        <w:t xml:space="preserve">on</w:t>
      </w:r>
      <w:r>
        <w:t xml:space="preserve"> </w:t>
      </w:r>
      <w:r>
        <w:t xml:space="preserve">Hallucination</w:t>
      </w:r>
      <w:r>
        <w:t xml:space="preserve"> </w:t>
      </w:r>
      <w:r>
        <w:t xml:space="preserve">in</w:t>
      </w:r>
      <w:r>
        <w:t xml:space="preserve"> </w:t>
      </w:r>
      <w:r>
        <w:t xml:space="preserve">Large Language Models</w:t>
      </w:r>
      <w:r>
        <w:t xml:space="preserve">:</w:t>
      </w:r>
      <w:r>
        <w:t xml:space="preserve"> </w:t>
      </w:r>
      <w:r>
        <w:t xml:space="preserve">Principles</w:t>
      </w:r>
      <w:r>
        <w:t xml:space="preserve">,</w:t>
      </w:r>
      <w:r>
        <w:t xml:space="preserve"> </w:t>
      </w:r>
      <w:r>
        <w:t xml:space="preserve">Taxonomy</w:t>
      </w:r>
      <w:r>
        <w:t xml:space="preserve">,</w:t>
      </w:r>
      <w:r>
        <w:t xml:space="preserve"> </w:t>
      </w:r>
      <w:r>
        <w:t xml:space="preserve">Challenges</w:t>
      </w:r>
      <w:r>
        <w:t xml:space="preserve">, and</w:t>
      </w:r>
      <w:r>
        <w:t xml:space="preserve"> </w:t>
      </w:r>
      <w:r>
        <w:t xml:space="preserve">Open Questions</w:t>
      </w:r>
      <w:r>
        <w:t xml:space="preserve">.”</w:t>
      </w:r>
      <w:r>
        <w:t xml:space="preserve"> </w:t>
      </w:r>
      <w:r>
        <w:rPr>
          <w:i/>
          <w:iCs/>
        </w:rPr>
        <w:t xml:space="preserve">ACM Transactions on Information Systems</w:t>
      </w:r>
      <w:r>
        <w:t xml:space="preserve"> </w:t>
      </w:r>
      <w:r>
        <w:t xml:space="preserve">43 (2): 1–55.</w:t>
      </w:r>
      <w:r>
        <w:t xml:space="preserve"> </w:t>
      </w:r>
      <w:hyperlink r:id="rId94">
        <w:r>
          <w:rPr>
            <w:rStyle w:val="Hyperlink"/>
          </w:rPr>
          <w:t xml:space="preserve">https://doi.org/10.1145/3703155</w:t>
        </w:r>
      </w:hyperlink>
      <w:r>
        <w:t xml:space="preserve">.</w:t>
      </w:r>
    </w:p>
    <w:bookmarkEnd w:id="95"/>
    <w:bookmarkStart w:id="97" w:name="ref-khanCollaborativeLargeLanguage2024"/>
    <w:p>
      <w:pPr>
        <w:pStyle w:val="Bibliography"/>
      </w:pPr>
      <w:r>
        <w:t xml:space="preserve">Khan, Muhammad Ali, Umair Ayub, Syed Arsalan Ahmed Naqvi, Kaneez Zahra Rubab Khakwani, Zaryab Bin Riaz Sipra, Ammad Raina, Sihan Zou, et al. 2024.</w:t>
      </w:r>
      <w:r>
        <w:t xml:space="preserve"> </w:t>
      </w:r>
      <w:r>
        <w:t xml:space="preserve">“Collaborative</w:t>
      </w:r>
      <w:r>
        <w:t xml:space="preserve"> </w:t>
      </w:r>
      <w:r>
        <w:t xml:space="preserve">Large Language Models</w:t>
      </w:r>
      <w:r>
        <w:t xml:space="preserve"> </w:t>
      </w:r>
      <w:r>
        <w:t xml:space="preserve">for</w:t>
      </w:r>
      <w:r>
        <w:t xml:space="preserve"> </w:t>
      </w:r>
      <w:r>
        <w:t xml:space="preserve">Automated Data Extraction</w:t>
      </w:r>
      <w:r>
        <w:t xml:space="preserve"> </w:t>
      </w:r>
      <w:r>
        <w:t xml:space="preserve">in</w:t>
      </w:r>
      <w:r>
        <w:t xml:space="preserve"> </w:t>
      </w:r>
      <w:r>
        <w:t xml:space="preserve">Living Systematic Reviews</w:t>
      </w:r>
      <w:r>
        <w:t xml:space="preserve">.”</w:t>
      </w:r>
      <w:r>
        <w:t xml:space="preserve"> </w:t>
      </w:r>
      <w:r>
        <w:rPr>
          <w:i/>
          <w:iCs/>
        </w:rPr>
        <w:t xml:space="preserve">medRxiv: The Preprint Server for Health Sciences</w:t>
      </w:r>
      <w:r>
        <w:t xml:space="preserve">, September, 2024.09.20.24314108.</w:t>
      </w:r>
      <w:r>
        <w:t xml:space="preserve"> </w:t>
      </w:r>
      <w:hyperlink r:id="rId96">
        <w:r>
          <w:rPr>
            <w:rStyle w:val="Hyperlink"/>
          </w:rPr>
          <w:t xml:space="preserve">https://doi.org/10.1101/2024.09.20.24314108</w:t>
        </w:r>
      </w:hyperlink>
      <w:r>
        <w:t xml:space="preserve">.</w:t>
      </w:r>
    </w:p>
    <w:bookmarkEnd w:id="97"/>
    <w:bookmarkStart w:id="99" w:name="ref-liMitigatingHallucinationLarge2025"/>
    <w:p>
      <w:pPr>
        <w:pStyle w:val="Bibliography"/>
      </w:pPr>
      <w:r>
        <w:t xml:space="preserve">Li, Yihan, Xiyuan Fu, Ghanshyam Verma, Paul Buitelaar, and Mingming Liu. 2025.</w:t>
      </w:r>
      <w:r>
        <w:t xml:space="preserve"> </w:t>
      </w:r>
      <w:r>
        <w:t xml:space="preserve">“Mitigating</w:t>
      </w:r>
      <w:r>
        <w:t xml:space="preserve"> </w:t>
      </w:r>
      <w:r>
        <w:t xml:space="preserve">Hallucination</w:t>
      </w:r>
      <w:r>
        <w:t xml:space="preserve"> </w:t>
      </w:r>
      <w:r>
        <w:t xml:space="preserve">in</w:t>
      </w:r>
      <w:r>
        <w:t xml:space="preserve"> </w:t>
      </w:r>
      <w:r>
        <w:t xml:space="preserve">Large Language Models</w:t>
      </w:r>
      <w:r>
        <w:t xml:space="preserve"> </w:t>
      </w:r>
      <w:r>
        <w:t xml:space="preserve">(</w:t>
      </w:r>
      <w:r>
        <w:t xml:space="preserve">LLMs</w:t>
      </w:r>
      <w:r>
        <w:t xml:space="preserve">):</w:t>
      </w:r>
      <w:r>
        <w:t xml:space="preserve"> </w:t>
      </w:r>
      <w:r>
        <w:t xml:space="preserve">An Application-Oriented Survey</w:t>
      </w:r>
      <w:r>
        <w:t xml:space="preserve"> </w:t>
      </w:r>
      <w:r>
        <w:t xml:space="preserve">on</w:t>
      </w:r>
      <w:r>
        <w:t xml:space="preserve"> </w:t>
      </w:r>
      <w:r>
        <w:t xml:space="preserve">RAG</w:t>
      </w:r>
      <w:r>
        <w:t xml:space="preserve">,</w:t>
      </w:r>
      <w:r>
        <w:t xml:space="preserve"> </w:t>
      </w:r>
      <w:r>
        <w:t xml:space="preserve">Reasoning</w:t>
      </w:r>
      <w:r>
        <w:t xml:space="preserve">, and</w:t>
      </w:r>
      <w:r>
        <w:t xml:space="preserve"> </w:t>
      </w:r>
      <w:r>
        <w:t xml:space="preserve">Agentic Systems</w:t>
      </w:r>
      <w:r>
        <w:t xml:space="preserve">.”</w:t>
      </w:r>
      <w:r>
        <w:t xml:space="preserve"> </w:t>
      </w:r>
      <w:r>
        <w:t xml:space="preserve">arXiv.</w:t>
      </w:r>
      <w:r>
        <w:t xml:space="preserve"> </w:t>
      </w:r>
      <w:hyperlink r:id="rId98">
        <w:r>
          <w:rPr>
            <w:rStyle w:val="Hyperlink"/>
          </w:rPr>
          <w:t xml:space="preserve">https://doi.org/10.48550/arXiv.2510.24476</w:t>
        </w:r>
      </w:hyperlink>
      <w:r>
        <w:t xml:space="preserve">.</w:t>
      </w:r>
    </w:p>
    <w:bookmarkEnd w:id="99"/>
    <w:bookmarkStart w:id="101" w:name="Xa1423de0e5574a091a8a2397c71c4dc91c30f4b"/>
    <w:p>
      <w:pPr>
        <w:pStyle w:val="Bibliography"/>
      </w:pPr>
      <w:r>
        <w:t xml:space="preserve">Pandit, Shrey, Jiawei Xu, Junyuan Hong, Zhangyang Wang, Tianlong Chen, Kaidi Xu, and Ying Ding. 2025.</w:t>
      </w:r>
      <w:r>
        <w:t xml:space="preserve"> </w:t>
      </w:r>
      <w:r>
        <w:t xml:space="preserve">“</w:t>
      </w:r>
      <w:r>
        <w:t xml:space="preserve">MedHallu</w:t>
      </w:r>
      <w:r>
        <w:t xml:space="preserve">:</w:t>
      </w:r>
      <w:r>
        <w:t xml:space="preserve"> </w:t>
      </w:r>
      <w:r>
        <w:t xml:space="preserve">A Comprehensive Benchmark</w:t>
      </w:r>
      <w:r>
        <w:t xml:space="preserve"> </w:t>
      </w:r>
      <w:r>
        <w:t xml:space="preserve">for</w:t>
      </w:r>
      <w:r>
        <w:t xml:space="preserve"> </w:t>
      </w:r>
      <w:r>
        <w:t xml:space="preserve">Detecting Medical Hallucinations</w:t>
      </w:r>
      <w:r>
        <w:t xml:space="preserve"> </w:t>
      </w:r>
      <w:r>
        <w:t xml:space="preserve">in</w:t>
      </w:r>
      <w:r>
        <w:t xml:space="preserve"> </w:t>
      </w:r>
      <w:r>
        <w:t xml:space="preserve">Large Language Models</w:t>
      </w:r>
      <w:r>
        <w:t xml:space="preserve">.”</w:t>
      </w:r>
      <w:r>
        <w:t xml:space="preserve"> </w:t>
      </w:r>
      <w:r>
        <w:t xml:space="preserve">arXiv.</w:t>
      </w:r>
      <w:r>
        <w:t xml:space="preserve"> </w:t>
      </w:r>
      <w:hyperlink r:id="rId100">
        <w:r>
          <w:rPr>
            <w:rStyle w:val="Hyperlink"/>
          </w:rPr>
          <w:t xml:space="preserve">https://doi.org/10.48550/arXiv.2502.14302</w:t>
        </w:r>
      </w:hyperlink>
      <w:r>
        <w:t xml:space="preserve">.</w:t>
      </w:r>
    </w:p>
    <w:bookmarkEnd w:id="101"/>
    <w:bookmarkStart w:id="103" w:name="ref-Pydantic_Logfire_2025"/>
    <w:p>
      <w:pPr>
        <w:pStyle w:val="Bibliography"/>
      </w:pPr>
      <w:r>
        <w:t xml:space="preserve">Pydantic. 2025.</w:t>
      </w:r>
      <w:r>
        <w:t xml:space="preserve"> </w:t>
      </w:r>
      <w:r>
        <w:t xml:space="preserve">“</w:t>
      </w:r>
      <w:r>
        <w:t xml:space="preserve">Logfire: Observability platform for Python applications</w:t>
      </w:r>
      <w:r>
        <w:t xml:space="preserve">.”</w:t>
      </w:r>
      <w:r>
        <w:t xml:space="preserve"> </w:t>
      </w:r>
      <w:hyperlink r:id="rId102">
        <w:r>
          <w:rPr>
            <w:rStyle w:val="Hyperlink"/>
          </w:rPr>
          <w:t xml:space="preserve">https://pydantic.dev/logfire</w:t>
        </w:r>
      </w:hyperlink>
      <w:r>
        <w:t xml:space="preserve">.</w:t>
      </w:r>
    </w:p>
    <w:bookmarkEnd w:id="103"/>
    <w:bookmarkStart w:id="105" w:name="X39e1811d99360c3b2419412e4379c4441c3ec60"/>
    <w:p>
      <w:pPr>
        <w:pStyle w:val="Bibliography"/>
      </w:pPr>
      <w:r>
        <w:t xml:space="preserve">Rieger, Theodore R., Richard J. Allen, Lukas Bystricky, Yuzhou Chen, Glen Wright Colopy, Yifan Cui, Angelica Gonzalez, et al. 2018.</w:t>
      </w:r>
      <w:r>
        <w:t xml:space="preserve"> </w:t>
      </w:r>
      <w:r>
        <w:t xml:space="preserve">“Improving the Generation and Selection of Virtual Populations in Quantitative Systems Pharmacology Models.”</w:t>
      </w:r>
      <w:r>
        <w:t xml:space="preserve"> </w:t>
      </w:r>
      <w:r>
        <w:rPr>
          <w:i/>
          <w:iCs/>
        </w:rPr>
        <w:t xml:space="preserve">Progress in Biophysics and Molecular Biology</w:t>
      </w:r>
      <w:r>
        <w:t xml:space="preserve">, Quantitative</w:t>
      </w:r>
      <w:r>
        <w:t xml:space="preserve"> </w:t>
      </w:r>
      <w:r>
        <w:t xml:space="preserve">Systems Pharmacology</w:t>
      </w:r>
      <w:r>
        <w:t xml:space="preserve"> </w:t>
      </w:r>
      <w:r>
        <w:t xml:space="preserve">(</w:t>
      </w:r>
      <w:r>
        <w:t xml:space="preserve">QSP</w:t>
      </w:r>
      <w:r>
        <w:t xml:space="preserve">):</w:t>
      </w:r>
      <w:r>
        <w:t xml:space="preserve"> </w:t>
      </w:r>
      <w:r>
        <w:t xml:space="preserve">Methods</w:t>
      </w:r>
      <w:r>
        <w:t xml:space="preserve"> </w:t>
      </w:r>
      <w:r>
        <w:t xml:space="preserve">and</w:t>
      </w:r>
      <w:r>
        <w:t xml:space="preserve"> </w:t>
      </w:r>
      <w:r>
        <w:t xml:space="preserve">Tools</w:t>
      </w:r>
      <w:r>
        <w:t xml:space="preserve">, 139 (November): 15–22.</w:t>
      </w:r>
      <w:r>
        <w:t xml:space="preserve"> </w:t>
      </w:r>
      <w:hyperlink r:id="rId104">
        <w:r>
          <w:rPr>
            <w:rStyle w:val="Hyperlink"/>
          </w:rPr>
          <w:t xml:space="preserve">https://doi.org/10.1016/j.pbiomolbio.2018.06.002</w:t>
        </w:r>
      </w:hyperlink>
      <w:r>
        <w:t xml:space="preserve">.</w:t>
      </w:r>
    </w:p>
    <w:bookmarkEnd w:id="105"/>
    <w:bookmarkStart w:id="107" w:name="X1029472ca037a74b06f54723d7b391db09d7c53"/>
    <w:p>
      <w:pPr>
        <w:pStyle w:val="Bibliography"/>
      </w:pPr>
      <w:r>
        <w:t xml:space="preserve">Saini, Anuraag, and Ali Farnoud. 2025.</w:t>
      </w:r>
      <w:r>
        <w:t xml:space="preserve"> </w:t>
      </w:r>
      <w:r>
        <w:t xml:space="preserve">“</w:t>
      </w:r>
      <w:r>
        <w:t xml:space="preserve">QSP-Copilot</w:t>
      </w:r>
      <w:r>
        <w:t xml:space="preserve">:</w:t>
      </w:r>
      <w:r>
        <w:t xml:space="preserve"> </w:t>
      </w:r>
      <w:r>
        <w:t xml:space="preserve">An AI-Augmented Platform</w:t>
      </w:r>
      <w:r>
        <w:t xml:space="preserve"> </w:t>
      </w:r>
      <w:r>
        <w:t xml:space="preserve">for</w:t>
      </w:r>
      <w:r>
        <w:t xml:space="preserve"> </w:t>
      </w:r>
      <w:r>
        <w:t xml:space="preserve">Accelerating Quantitative Systems Pharmacology Model Development</w:t>
      </w:r>
      <w:r>
        <w:t xml:space="preserve">.”</w:t>
      </w:r>
      <w:r>
        <w:t xml:space="preserve"> </w:t>
      </w:r>
      <w:r>
        <w:rPr>
          <w:i/>
          <w:iCs/>
        </w:rPr>
        <w:t xml:space="preserve">CPT: Pharmacometrics &amp; Systems Pharmacology</w:t>
      </w:r>
      <w:r>
        <w:t xml:space="preserve"> </w:t>
      </w:r>
      <w:r>
        <w:t xml:space="preserve">14 (11): 1775–86.</w:t>
      </w:r>
      <w:r>
        <w:t xml:space="preserve"> </w:t>
      </w:r>
      <w:hyperlink r:id="rId106">
        <w:r>
          <w:rPr>
            <w:rStyle w:val="Hyperlink"/>
          </w:rPr>
          <w:t xml:space="preserve">https://doi.org/10.1002/psp4.70127</w:t>
        </w:r>
      </w:hyperlink>
      <w:r>
        <w:t xml:space="preserve">.</w:t>
      </w:r>
    </w:p>
    <w:bookmarkEnd w:id="107"/>
    <w:bookmarkStart w:id="109" w:name="Xf04452bffb761e20a8d85d7ac9f2324a57864a8"/>
    <w:p>
      <w:pPr>
        <w:pStyle w:val="Bibliography"/>
      </w:pPr>
      <w:r>
        <w:t xml:space="preserve">Terranova, Nadia, Didier Renard, Mohamed H. Shahin, Sujatha Menon, Youfang Cao, Cornelis E. C. A. Hop, Sean Hayes, et al. 2024.</w:t>
      </w:r>
      <w:r>
        <w:t xml:space="preserve"> </w:t>
      </w:r>
      <w:r>
        <w:t xml:space="preserve">“Artificial</w:t>
      </w:r>
      <w:r>
        <w:t xml:space="preserve"> </w:t>
      </w:r>
      <w:r>
        <w:t xml:space="preserve">Intelligence</w:t>
      </w:r>
      <w:r>
        <w:t xml:space="preserve"> </w:t>
      </w:r>
      <w:r>
        <w:t xml:space="preserve">for</w:t>
      </w:r>
      <w:r>
        <w:t xml:space="preserve"> </w:t>
      </w:r>
      <w:r>
        <w:t xml:space="preserve">Quantitative Modeling</w:t>
      </w:r>
      <w:r>
        <w:t xml:space="preserve"> </w:t>
      </w:r>
      <w:r>
        <w:t xml:space="preserve">in</w:t>
      </w:r>
      <w:r>
        <w:t xml:space="preserve"> </w:t>
      </w:r>
      <w:r>
        <w:t xml:space="preserve">Drug Discovery</w:t>
      </w:r>
      <w:r>
        <w:t xml:space="preserve"> </w:t>
      </w:r>
      <w:r>
        <w:t xml:space="preserve">and</w:t>
      </w:r>
      <w:r>
        <w:t xml:space="preserve"> </w:t>
      </w:r>
      <w:r>
        <w:t xml:space="preserve">Development</w:t>
      </w:r>
      <w:r>
        <w:t xml:space="preserve">:</w:t>
      </w:r>
      <w:r>
        <w:t xml:space="preserve"> </w:t>
      </w:r>
      <w:r>
        <w:t xml:space="preserve">An Innovation</w:t>
      </w:r>
      <w:r>
        <w:t xml:space="preserve"> </w:t>
      </w:r>
      <w:r>
        <w:t xml:space="preserve">and</w:t>
      </w:r>
      <w:r>
        <w:t xml:space="preserve"> </w:t>
      </w:r>
      <w:r>
        <w:t xml:space="preserve">Quality Consortium Perspective</w:t>
      </w:r>
      <w:r>
        <w:t xml:space="preserve"> </w:t>
      </w:r>
      <w:r>
        <w:t xml:space="preserve">on</w:t>
      </w:r>
      <w:r>
        <w:t xml:space="preserve"> </w:t>
      </w:r>
      <w:r>
        <w:t xml:space="preserve">Use Cases</w:t>
      </w:r>
      <w:r>
        <w:t xml:space="preserve"> </w:t>
      </w:r>
      <w:r>
        <w:t xml:space="preserve">and</w:t>
      </w:r>
      <w:r>
        <w:t xml:space="preserve"> </w:t>
      </w:r>
      <w:r>
        <w:t xml:space="preserve">Best Practices</w:t>
      </w:r>
      <w:r>
        <w:t xml:space="preserve">.”</w:t>
      </w:r>
      <w:r>
        <w:t xml:space="preserve"> </w:t>
      </w:r>
      <w:r>
        <w:rPr>
          <w:i/>
          <w:iCs/>
        </w:rPr>
        <w:t xml:space="preserve">Clinical Pharmacology &amp; Therapeutics</w:t>
      </w:r>
      <w:r>
        <w:t xml:space="preserve"> </w:t>
      </w:r>
      <w:r>
        <w:t xml:space="preserve">115 (4): 658–72.</w:t>
      </w:r>
      <w:r>
        <w:t xml:space="preserve"> </w:t>
      </w:r>
      <w:hyperlink r:id="rId108">
        <w:r>
          <w:rPr>
            <w:rStyle w:val="Hyperlink"/>
          </w:rPr>
          <w:t xml:space="preserve">https://doi.org/10.1002/cpt.3053</w:t>
        </w:r>
      </w:hyperlink>
      <w:r>
        <w:t xml:space="preserve">.</w:t>
      </w:r>
    </w:p>
    <w:bookmarkEnd w:id="109"/>
    <w:bookmarkStart w:id="111" w:name="ref-wangVirtualPatientsDigital2024"/>
    <w:p>
      <w:pPr>
        <w:pStyle w:val="Bibliography"/>
      </w:pPr>
      <w:r>
        <w:t xml:space="preserve">Wang, Hanwen, Theinmozhi Arulraj, Alberto Ippolito, and Aleksander S. Popel. 2024.</w:t>
      </w:r>
      <w:r>
        <w:t xml:space="preserve"> </w:t>
      </w:r>
      <w:r>
        <w:t xml:space="preserve">“From Virtual Patients to Digital Twins in Immuno-Oncology: Lessons Learned from Mechanistic Quantitative Systems Pharmacology Modeling.”</w:t>
      </w:r>
      <w:r>
        <w:t xml:space="preserve"> </w:t>
      </w:r>
      <w:r>
        <w:rPr>
          <w:i/>
          <w:iCs/>
        </w:rPr>
        <w:t xml:space="preserve">Npj Digital Medicine</w:t>
      </w:r>
      <w:r>
        <w:t xml:space="preserve"> </w:t>
      </w:r>
      <w:r>
        <w:t xml:space="preserve">7 (1): 189.</w:t>
      </w:r>
      <w:r>
        <w:t xml:space="preserve"> </w:t>
      </w:r>
      <w:hyperlink r:id="rId110">
        <w:r>
          <w:rPr>
            <w:rStyle w:val="Hyperlink"/>
          </w:rPr>
          <w:t xml:space="preserve">https://doi.org/10.1038/s41746-024-01188-4</w:t>
        </w:r>
      </w:hyperlink>
      <w:r>
        <w:t xml:space="preserve">.</w:t>
      </w:r>
    </w:p>
    <w:bookmarkEnd w:id="111"/>
    <w:bookmarkStart w:id="113" w:name="X793781ed149e50493dc391e82aa31eba70e69be"/>
    <w:p>
      <w:pPr>
        <w:pStyle w:val="Bibliography"/>
      </w:pPr>
      <w:r>
        <w:t xml:space="preserve">———. 2025.</w:t>
      </w:r>
      <w:r>
        <w:t xml:space="preserve"> </w:t>
      </w:r>
      <w:r>
        <w:t xml:space="preserve">“Quantitative</w:t>
      </w:r>
      <w:r>
        <w:t xml:space="preserve"> </w:t>
      </w:r>
      <w:r>
        <w:t xml:space="preserve">Systems Pharmacology Modeling</w:t>
      </w:r>
      <w:r>
        <w:t xml:space="preserve"> </w:t>
      </w:r>
      <w:r>
        <w:t xml:space="preserve">in</w:t>
      </w:r>
      <w:r>
        <w:t xml:space="preserve"> </w:t>
      </w:r>
      <w:r>
        <w:t xml:space="preserve">Immuno-Oncology</w:t>
      </w:r>
      <w:r>
        <w:t xml:space="preserve">:</w:t>
      </w:r>
      <w:r>
        <w:t xml:space="preserve"> </w:t>
      </w:r>
      <w:r>
        <w:t xml:space="preserve">Hypothesis Testing</w:t>
      </w:r>
      <w:r>
        <w:t xml:space="preserve">,</w:t>
      </w:r>
      <w:r>
        <w:t xml:space="preserve"> </w:t>
      </w:r>
      <w:r>
        <w:t xml:space="preserve">Dose Optimization</w:t>
      </w:r>
      <w:r>
        <w:t xml:space="preserve">, and</w:t>
      </w:r>
      <w:r>
        <w:t xml:space="preserve"> </w:t>
      </w:r>
      <w:r>
        <w:t xml:space="preserve">Efficacy Prediction</w:t>
      </w:r>
      <w:r>
        <w:t xml:space="preserve">.”</w:t>
      </w:r>
      <w:r>
        <w:t xml:space="preserve"> </w:t>
      </w:r>
      <w:r>
        <w:rPr>
          <w:i/>
          <w:iCs/>
        </w:rPr>
        <w:t xml:space="preserve">Handbook of Experimental Pharmacology</w:t>
      </w:r>
      <w:r>
        <w:t xml:space="preserve"> </w:t>
      </w:r>
      <w:r>
        <w:t xml:space="preserve">289: 261–84.</w:t>
      </w:r>
      <w:r>
        <w:t xml:space="preserve"> </w:t>
      </w:r>
      <w:hyperlink r:id="rId112">
        <w:r>
          <w:rPr>
            <w:rStyle w:val="Hyperlink"/>
          </w:rPr>
          <w:t xml:space="preserve">https://doi.org/10.1007/164_2024_735</w:t>
        </w:r>
      </w:hyperlink>
      <w:r>
        <w:t xml:space="preserve">.</w:t>
      </w:r>
    </w:p>
    <w:bookmarkEnd w:id="113"/>
    <w:bookmarkStart w:id="115" w:name="X80b850b1fae475c21ff68b6cd4ad6c287df98b4"/>
    <w:p>
      <w:pPr>
        <w:pStyle w:val="Bibliography"/>
      </w:pPr>
      <w:r>
        <w:t xml:space="preserve">Wang, Xingbo, Samantha L. Huey, Rui Sheng, Saurabh Mehta, and Fei Wang. 2025.</w:t>
      </w:r>
      <w:r>
        <w:t xml:space="preserve"> </w:t>
      </w:r>
      <w:r>
        <w:t xml:space="preserve">“</w:t>
      </w:r>
      <w:r>
        <w:t xml:space="preserve">SciDaSynth</w:t>
      </w:r>
      <w:r>
        <w:t xml:space="preserve">:</w:t>
      </w:r>
      <w:r>
        <w:t xml:space="preserve"> </w:t>
      </w:r>
      <w:r>
        <w:t xml:space="preserve">Interactive Structured Data Extraction From Scientific Literature With Large Language Model</w:t>
      </w:r>
      <w:r>
        <w:t xml:space="preserve">.”</w:t>
      </w:r>
      <w:r>
        <w:t xml:space="preserve"> </w:t>
      </w:r>
      <w:r>
        <w:rPr>
          <w:i/>
          <w:iCs/>
        </w:rPr>
        <w:t xml:space="preserve">Campbell Systematic Reviews</w:t>
      </w:r>
      <w:r>
        <w:t xml:space="preserve"> </w:t>
      </w:r>
      <w:r>
        <w:t xml:space="preserve">21 (4): e70073.</w:t>
      </w:r>
      <w:r>
        <w:t xml:space="preserve"> </w:t>
      </w:r>
      <w:hyperlink r:id="rId114">
        <w:r>
          <w:rPr>
            <w:rStyle w:val="Hyperlink"/>
          </w:rPr>
          <w:t xml:space="preserve">https://doi.org/10.1002/cl2.70073</w:t>
        </w:r>
      </w:hyperlink>
      <w:r>
        <w:t xml:space="preserve">.</w:t>
      </w:r>
    </w:p>
    <w:bookmarkEnd w:id="115"/>
    <w:bookmarkStart w:id="117" w:name="Xc2db48aace4a03f6778539446eca6b2173fde89"/>
    <w:p>
      <w:pPr>
        <w:pStyle w:val="Bibliography"/>
      </w:pPr>
      <w:r>
        <w:t xml:space="preserve">Zhang, Shuming, Hanwen Wang, Yeonju Cho, Wendy Wong, Mark Yarchoan, Elizabeth M. Jaffee, Won Jin Ho, et al. 2025.</w:t>
      </w:r>
      <w:r>
        <w:t xml:space="preserve"> </w:t>
      </w:r>
      <w:r>
        <w:t xml:space="preserve">“Quantitative</w:t>
      </w:r>
      <w:r>
        <w:t xml:space="preserve"> </w:t>
      </w:r>
      <w:r>
        <w:t xml:space="preserve">Calibration</w:t>
      </w:r>
      <w:r>
        <w:t xml:space="preserve"> </w:t>
      </w:r>
      <w:r>
        <w:t xml:space="preserve">of a</w:t>
      </w:r>
      <w:r>
        <w:t xml:space="preserve"> </w:t>
      </w:r>
      <w:r>
        <w:t xml:space="preserve">Spatial QSP Model Identifies Fibroblast Impact</w:t>
      </w:r>
      <w:r>
        <w:t xml:space="preserve"> </w:t>
      </w:r>
      <w:r>
        <w:t xml:space="preserve">on</w:t>
      </w:r>
      <w:r>
        <w:t xml:space="preserve"> </w:t>
      </w:r>
      <w:r>
        <w:t xml:space="preserve">HCC Immunotherapy</w:t>
      </w:r>
      <w:r>
        <w:t xml:space="preserve">.”</w:t>
      </w:r>
      <w:r>
        <w:t xml:space="preserve"> </w:t>
      </w:r>
      <w:r>
        <w:rPr>
          <w:i/>
          <w:iCs/>
        </w:rPr>
        <w:t xml:space="preserve">bioRxiv</w:t>
      </w:r>
      <w:r>
        <w:t xml:space="preserve">, November, 2025.10.31.685939.</w:t>
      </w:r>
      <w:r>
        <w:t xml:space="preserve"> </w:t>
      </w:r>
      <w:hyperlink r:id="rId116">
        <w:r>
          <w:rPr>
            <w:rStyle w:val="Hyperlink"/>
          </w:rPr>
          <w:t xml:space="preserve">https://doi.org/10.1101/2025.10.31.685939</w:t>
        </w:r>
      </w:hyperlink>
      <w:r>
        <w:t xml:space="preserve">.</w:t>
      </w:r>
    </w:p>
    <w:bookmarkEnd w:id="117"/>
    <w:bookmarkStart w:id="119" w:name="ref-zhaoRecentAdvancesBiomedical2021"/>
    <w:p>
      <w:pPr>
        <w:pStyle w:val="Bibliography"/>
      </w:pPr>
      <w:r>
        <w:t xml:space="preserve">Zhao, Sendong, Chang Su, Zhiyong Lu, and Fei Wang. 2021.</w:t>
      </w:r>
      <w:r>
        <w:t xml:space="preserve"> </w:t>
      </w:r>
      <w:r>
        <w:t xml:space="preserve">“Recent Advances in Biomedical Literature Mining.”</w:t>
      </w:r>
      <w:r>
        <w:t xml:space="preserve"> </w:t>
      </w:r>
      <w:r>
        <w:rPr>
          <w:i/>
          <w:iCs/>
        </w:rPr>
        <w:t xml:space="preserve">Briefings in Bioinformatics</w:t>
      </w:r>
      <w:r>
        <w:t xml:space="preserve"> </w:t>
      </w:r>
      <w:r>
        <w:t xml:space="preserve">22 (3): bbaa057.</w:t>
      </w:r>
      <w:r>
        <w:t xml:space="preserve"> </w:t>
      </w:r>
      <w:hyperlink r:id="rId118">
        <w:r>
          <w:rPr>
            <w:rStyle w:val="Hyperlink"/>
          </w:rPr>
          <w:t xml:space="preserve">https://doi.org/10.1093/bib/bbaa057</w:t>
        </w:r>
      </w:hyperlink>
      <w:r>
        <w:t xml:space="preserve">.</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df" /><Relationship Type="http://schemas.openxmlformats.org/officeDocument/2006/relationships/hyperlink" Id="rId114" Target="https://doi.org/10.1002/cl2.70073" TargetMode="External" /><Relationship Type="http://schemas.openxmlformats.org/officeDocument/2006/relationships/hyperlink" Id="rId108" Target="https://doi.org/10.1002/cpt.3053" TargetMode="External" /><Relationship Type="http://schemas.openxmlformats.org/officeDocument/2006/relationships/hyperlink" Id="rId74" Target="https://doi.org/10.1002/psp4.12071" TargetMode="External" /><Relationship Type="http://schemas.openxmlformats.org/officeDocument/2006/relationships/hyperlink" Id="rId106" Target="https://doi.org/10.1002/psp4.70127" TargetMode="External" /><Relationship Type="http://schemas.openxmlformats.org/officeDocument/2006/relationships/hyperlink" Id="rId112" Target="https://doi.org/10.1007/164_2024_735" TargetMode="External" /><Relationship Type="http://schemas.openxmlformats.org/officeDocument/2006/relationships/hyperlink" Id="rId62" Target="https://doi.org/10.1007/s10928-025-09976-5" TargetMode="External" /><Relationship Type="http://schemas.openxmlformats.org/officeDocument/2006/relationships/hyperlink" Id="rId64" Target="https://doi.org/10.1007/s10928-025-09984-5" TargetMode="External" /><Relationship Type="http://schemas.openxmlformats.org/officeDocument/2006/relationships/hyperlink" Id="rId84" Target="https://doi.org/10.1016/j.drudis.2025.104448" TargetMode="External" /><Relationship Type="http://schemas.openxmlformats.org/officeDocument/2006/relationships/hyperlink" Id="rId104" Target="https://doi.org/10.1016/j.pbiomolbio.2018.06.002" TargetMode="External" /><Relationship Type="http://schemas.openxmlformats.org/officeDocument/2006/relationships/hyperlink" Id="rId70" Target="https://doi.org/10.1038/s41586-024-07421-0" TargetMode="External" /><Relationship Type="http://schemas.openxmlformats.org/officeDocument/2006/relationships/hyperlink" Id="rId82" Target="https://doi.org/10.1038/s41598-024-73338-3" TargetMode="External" /><Relationship Type="http://schemas.openxmlformats.org/officeDocument/2006/relationships/hyperlink" Id="rId110" Target="https://doi.org/10.1038/s41746-024-01188-4" TargetMode="External" /><Relationship Type="http://schemas.openxmlformats.org/officeDocument/2006/relationships/hyperlink" Id="rId88" Target="https://doi.org/10.1038/s44387-025-00060-4" TargetMode="External" /><Relationship Type="http://schemas.openxmlformats.org/officeDocument/2006/relationships/hyperlink" Id="rId118" Target="https://doi.org/10.1093/bib/bbaa057" TargetMode="External" /><Relationship Type="http://schemas.openxmlformats.org/officeDocument/2006/relationships/hyperlink" Id="rId76" Target="https://doi.org/10.1093/bioadv/vbae194" TargetMode="External" /><Relationship Type="http://schemas.openxmlformats.org/officeDocument/2006/relationships/hyperlink" Id="rId90" Target="https://doi.org/10.1093/jamiaopen/ooaf012" TargetMode="External" /><Relationship Type="http://schemas.openxmlformats.org/officeDocument/2006/relationships/hyperlink" Id="rId96" Target="https://doi.org/10.1101/2024.09.20.24314108" TargetMode="External" /><Relationship Type="http://schemas.openxmlformats.org/officeDocument/2006/relationships/hyperlink" Id="rId116" Target="https://doi.org/10.1101/2025.10.31.685939" TargetMode="External" /><Relationship Type="http://schemas.openxmlformats.org/officeDocument/2006/relationships/hyperlink" Id="rId94" Target="https://doi.org/10.1145/3703155" TargetMode="External" /><Relationship Type="http://schemas.openxmlformats.org/officeDocument/2006/relationships/hyperlink" Id="rId68" Target="https://doi.org/10.3389/fsysb.2023.1174647" TargetMode="External" /><Relationship Type="http://schemas.openxmlformats.org/officeDocument/2006/relationships/hyperlink" Id="rId72" Target="https://doi.org/10.3389/fsysb.2024.1380685" TargetMode="External" /><Relationship Type="http://schemas.openxmlformats.org/officeDocument/2006/relationships/hyperlink" Id="rId92" Target="https://doi.org/10.48550/arXiv.2412.08255" TargetMode="External" /><Relationship Type="http://schemas.openxmlformats.org/officeDocument/2006/relationships/hyperlink" Id="rId80" Target="https://doi.org/10.48550/arXiv.2501.10868" TargetMode="External" /><Relationship Type="http://schemas.openxmlformats.org/officeDocument/2006/relationships/hyperlink" Id="rId100" Target="https://doi.org/10.48550/arXiv.2502.14302" TargetMode="External" /><Relationship Type="http://schemas.openxmlformats.org/officeDocument/2006/relationships/hyperlink" Id="rId98" Target="https://doi.org/10.48550/arXiv.2510.24476" TargetMode="External" /><Relationship Type="http://schemas.openxmlformats.org/officeDocument/2006/relationships/hyperlink" Id="rId86" Target="https://github.com/hgrecco/pint" TargetMode="External" /><Relationship Type="http://schemas.openxmlformats.org/officeDocument/2006/relationships/hyperlink" Id="rId60" Target="https://github.com/popellab/maple" TargetMode="External" /><Relationship Type="http://schemas.openxmlformats.org/officeDocument/2006/relationships/hyperlink" Id="rId61" Target="https://github.com/popellab/maple-paper" TargetMode="External" /><Relationship Type="http://schemas.openxmlformats.org/officeDocument/2006/relationships/hyperlink" Id="rId66" Target="https://github.com/pydantic/pydantic" TargetMode="External" /><Relationship Type="http://schemas.openxmlformats.org/officeDocument/2006/relationships/hyperlink" Id="rId78" Target="https://proceedings.mlr.press/v84/ge18b.html" TargetMode="External" /><Relationship Type="http://schemas.openxmlformats.org/officeDocument/2006/relationships/hyperlink" Id="rId102" Target="https://pydantic.dev/logfire" TargetMode="External" /></Relationships>
</file>

<file path=word/_rels/footnotes.xml.rels><?xml version="1.0" encoding="UTF-8"?><Relationships xmlns="http://schemas.openxmlformats.org/package/2006/relationships"><Relationship Type="http://schemas.openxmlformats.org/officeDocument/2006/relationships/hyperlink" Id="rId114" Target="https://doi.org/10.1002/cl2.70073" TargetMode="External" /><Relationship Type="http://schemas.openxmlformats.org/officeDocument/2006/relationships/hyperlink" Id="rId108" Target="https://doi.org/10.1002/cpt.3053" TargetMode="External" /><Relationship Type="http://schemas.openxmlformats.org/officeDocument/2006/relationships/hyperlink" Id="rId74" Target="https://doi.org/10.1002/psp4.12071" TargetMode="External" /><Relationship Type="http://schemas.openxmlformats.org/officeDocument/2006/relationships/hyperlink" Id="rId106" Target="https://doi.org/10.1002/psp4.70127" TargetMode="External" /><Relationship Type="http://schemas.openxmlformats.org/officeDocument/2006/relationships/hyperlink" Id="rId112" Target="https://doi.org/10.1007/164_2024_735" TargetMode="External" /><Relationship Type="http://schemas.openxmlformats.org/officeDocument/2006/relationships/hyperlink" Id="rId62" Target="https://doi.org/10.1007/s10928-025-09976-5" TargetMode="External" /><Relationship Type="http://schemas.openxmlformats.org/officeDocument/2006/relationships/hyperlink" Id="rId64" Target="https://doi.org/10.1007/s10928-025-09984-5" TargetMode="External" /><Relationship Type="http://schemas.openxmlformats.org/officeDocument/2006/relationships/hyperlink" Id="rId84" Target="https://doi.org/10.1016/j.drudis.2025.104448" TargetMode="External" /><Relationship Type="http://schemas.openxmlformats.org/officeDocument/2006/relationships/hyperlink" Id="rId104" Target="https://doi.org/10.1016/j.pbiomolbio.2018.06.002" TargetMode="External" /><Relationship Type="http://schemas.openxmlformats.org/officeDocument/2006/relationships/hyperlink" Id="rId70" Target="https://doi.org/10.1038/s41586-024-07421-0" TargetMode="External" /><Relationship Type="http://schemas.openxmlformats.org/officeDocument/2006/relationships/hyperlink" Id="rId82" Target="https://doi.org/10.1038/s41598-024-73338-3" TargetMode="External" /><Relationship Type="http://schemas.openxmlformats.org/officeDocument/2006/relationships/hyperlink" Id="rId110" Target="https://doi.org/10.1038/s41746-024-01188-4" TargetMode="External" /><Relationship Type="http://schemas.openxmlformats.org/officeDocument/2006/relationships/hyperlink" Id="rId88" Target="https://doi.org/10.1038/s44387-025-00060-4" TargetMode="External" /><Relationship Type="http://schemas.openxmlformats.org/officeDocument/2006/relationships/hyperlink" Id="rId118" Target="https://doi.org/10.1093/bib/bbaa057" TargetMode="External" /><Relationship Type="http://schemas.openxmlformats.org/officeDocument/2006/relationships/hyperlink" Id="rId76" Target="https://doi.org/10.1093/bioadv/vbae194" TargetMode="External" /><Relationship Type="http://schemas.openxmlformats.org/officeDocument/2006/relationships/hyperlink" Id="rId90" Target="https://doi.org/10.1093/jamiaopen/ooaf012" TargetMode="External" /><Relationship Type="http://schemas.openxmlformats.org/officeDocument/2006/relationships/hyperlink" Id="rId96" Target="https://doi.org/10.1101/2024.09.20.24314108" TargetMode="External" /><Relationship Type="http://schemas.openxmlformats.org/officeDocument/2006/relationships/hyperlink" Id="rId116" Target="https://doi.org/10.1101/2025.10.31.685939" TargetMode="External" /><Relationship Type="http://schemas.openxmlformats.org/officeDocument/2006/relationships/hyperlink" Id="rId94" Target="https://doi.org/10.1145/3703155" TargetMode="External" /><Relationship Type="http://schemas.openxmlformats.org/officeDocument/2006/relationships/hyperlink" Id="rId68" Target="https://doi.org/10.3389/fsysb.2023.1174647" TargetMode="External" /><Relationship Type="http://schemas.openxmlformats.org/officeDocument/2006/relationships/hyperlink" Id="rId72" Target="https://doi.org/10.3389/fsysb.2024.1380685" TargetMode="External" /><Relationship Type="http://schemas.openxmlformats.org/officeDocument/2006/relationships/hyperlink" Id="rId92" Target="https://doi.org/10.48550/arXiv.2412.08255" TargetMode="External" /><Relationship Type="http://schemas.openxmlformats.org/officeDocument/2006/relationships/hyperlink" Id="rId80" Target="https://doi.org/10.48550/arXiv.2501.10868" TargetMode="External" /><Relationship Type="http://schemas.openxmlformats.org/officeDocument/2006/relationships/hyperlink" Id="rId100" Target="https://doi.org/10.48550/arXiv.2502.14302" TargetMode="External" /><Relationship Type="http://schemas.openxmlformats.org/officeDocument/2006/relationships/hyperlink" Id="rId98" Target="https://doi.org/10.48550/arXiv.2510.24476" TargetMode="External" /><Relationship Type="http://schemas.openxmlformats.org/officeDocument/2006/relationships/hyperlink" Id="rId86" Target="https://github.com/hgrecco/pint" TargetMode="External" /><Relationship Type="http://schemas.openxmlformats.org/officeDocument/2006/relationships/hyperlink" Id="rId60" Target="https://github.com/popellab/maple" TargetMode="External" /><Relationship Type="http://schemas.openxmlformats.org/officeDocument/2006/relationships/hyperlink" Id="rId61" Target="https://github.com/popellab/maple-paper" TargetMode="External" /><Relationship Type="http://schemas.openxmlformats.org/officeDocument/2006/relationships/hyperlink" Id="rId66" Target="https://github.com/pydantic/pydantic" TargetMode="External" /><Relationship Type="http://schemas.openxmlformats.org/officeDocument/2006/relationships/hyperlink" Id="rId78" Target="https://proceedings.mlr.press/v84/ge18b.html" TargetMode="External" /><Relationship Type="http://schemas.openxmlformats.org/officeDocument/2006/relationships/hyperlink" Id="rId102" Target="https://pydantic.dev/logfi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Structured Schemas for LLM-Modeler Collaboration in Quantitative Systems Pharmacology Model Calibration</dc:title>
  <dc:creator>Joel Eliason^{1,*} and Aleksander S. Popel^{1} ^{1}Department of Biomedical Engineering, Johns Hopkins University, Baltimore, MD, USA ^{*}Corresponding author: jeliaso2@jh.edu</dc:creator>
  <cp:keywords/>
  <dcterms:created xsi:type="dcterms:W3CDTF">2026-03-04T02:01:11Z</dcterms:created>
  <dcterms:modified xsi:type="dcterms:W3CDTF">2026-03-04T02:01:11Z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Quantitative systems pharmacology (QSP) models require calibration data from published literature, yet manual curation produces inconsistent documentation while large language model (LLM) extraction exhibits hallucination and fabrication errors unacceptable for quantitative modeling. We present MAPLE (Model-Aware Parameterization from Literature Evidence), a framework that uses structured validation schemas as a collaboration interface between LLMs and modelers. Two complementary schemas capture calibration data at different scales: one for isolated experiments that constrain individual parameters through simplified forward models, and one for clinical and in vivo endpoints that constrain the full model through species-level observables. Both schemas separate data extraction from modeling decisions, capturing literature values with full provenance in a machine-verifiable form. Targeted validators catch characteristic LLM errors: value-in-snippet matching detects hallucinated values, DOI resolution flags fabricated citations, and code execution catches malformed forward models. We evaluate MAPLE on 87 calibration targets for a pancreatic ductal adenocarcinoma (PDAC) QSP model, using two collaboration modes: batch LLM extraction followed by interactive curation, and interactive extraction where modeler and LLM collaborate in real time. Both modes required substantial modeler input: the modeler changed forward model types in 65% of SubmodelTargets, adjusted prior parameters in 46%, and revised source relevance assessments in all files. Interactively extracted targets embedded modeler effort in the extraction process, producing near-final output. The schemas ensure completeness and enable reproducible, provenance-rich calibration regardless of workflow.</vt:lpwstr>
  </property>
  <property fmtid="{D5CDD505-2E9C-101B-9397-08002B2CF9AE}" pid="3" name="bibliography">
    <vt:lpwstr>references.bib</vt:lpwstr>
  </property>
  <property fmtid="{D5CDD505-2E9C-101B-9397-08002B2CF9AE}" pid="4" name="date">
    <vt:lpwstr/>
  </property>
</Properties>
</file>