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79.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r>
        <w:br/>
      </w:r>
      <w:r>
        <w:t xml:space="preserve">Structured Schemas for LLM-Expert Collaboration in QSP Model Calibration</w:t>
      </w:r>
    </w:p>
    <w:p>
      <w:pPr>
        <w:pStyle w:val="Author"/>
      </w:pPr>
      <w:r>
        <w:t xml:space="preserve">Joel Eliason and Aleksander S. Popel</w:t>
      </w:r>
    </w:p>
    <w:bookmarkStart w:id="23" w:name="sec:complete-example"/>
    <w:p>
      <w:pPr>
        <w:pStyle w:val="Heading1"/>
      </w:pPr>
      <w:r>
        <w:rPr>
          <w:rStyle w:val="SectionNumber"/>
        </w:rPr>
        <w:t xml:space="preserve">1</w:t>
      </w:r>
      <w:r>
        <w:tab/>
      </w:r>
      <w:r>
        <w:t xml:space="preserve">Complete SubmodelTarget Example</w:t>
      </w:r>
    </w:p>
    <w:p>
      <w:pPr>
        <w:pStyle w:val="FirstParagraph"/>
      </w:pPr>
      <w:r>
        <w:t xml:space="preserve">This section presents a complete SubmodelTarget for activated pancreatic stellate cell (aPSC) proliferation, demonstrating all schema components.</w:t>
      </w:r>
    </w:p>
    <w:bookmarkStart w:id="20" w:name="overview"/>
    <w:p>
      <w:pPr>
        <w:pStyle w:val="Heading2"/>
      </w:pPr>
      <w:r>
        <w:rPr>
          <w:rStyle w:val="SectionNumber"/>
        </w:rPr>
        <w:t xml:space="preserve">1.1</w:t>
      </w:r>
      <w:r>
        <w:tab/>
      </w:r>
      <w:r>
        <w:t xml:space="preserve">Overview</w:t>
      </w:r>
    </w:p>
    <w:p>
      <w:pPr>
        <w:pStyle w:val="FirstParagraph"/>
      </w:pPr>
      <w:r>
        <w:t xml:space="preserve">This target constrains the proliferation rate parameter</w:t>
      </w:r>
      <w:r>
        <w:t xml:space="preserve"> </w:t>
      </w:r>
      <w:r>
        <w:rPr>
          <w:rStyle w:val="VerbatimChar"/>
        </w:rPr>
        <w:t xml:space="preserve">k_apsc_prolif</w:t>
      </w:r>
      <w:r>
        <w:t xml:space="preserve"> </w:t>
      </w:r>
      <w:r>
        <w:t xml:space="preserve">using data from Schneider et al. (2001), who measured PSC proliferation in response to PDGF stimulation via BrdU incorporation assay.</w:t>
      </w:r>
    </w:p>
    <w:bookmarkEnd w:id="20"/>
    <w:bookmarkStart w:id="21" w:name="complete-yaml-specification"/>
    <w:p>
      <w:pPr>
        <w:pStyle w:val="Heading2"/>
      </w:pPr>
      <w:r>
        <w:rPr>
          <w:rStyle w:val="SectionNumber"/>
        </w:rPr>
        <w:t xml:space="preserve">1.2</w:t>
      </w:r>
      <w:r>
        <w:tab/>
      </w:r>
      <w:r>
        <w:t xml:space="preserve">Complete YAML Specification</w:t>
      </w:r>
    </w:p>
    <w:p>
      <w:pPr>
        <w:pStyle w:val="SourceCode"/>
      </w:pPr>
      <w:r>
        <w:rPr>
          <w:rStyle w:val="VerbatimChar"/>
        </w:rPr>
        <w:t xml:space="preserve"># Schema: SubmodelTarget</w:t>
      </w:r>
      <w:r>
        <w:br/>
      </w:r>
      <w:r>
        <w:rPr>
          <w:rStyle w:val="VerbatimChar"/>
        </w:rPr>
        <w:t xml:space="preserve"># Target: Activated PSC proliferation rate</w:t>
      </w:r>
      <w:r>
        <w:br/>
      </w:r>
      <w:r>
        <w:br/>
      </w:r>
      <w:r>
        <w:rPr>
          <w:rStyle w:val="VerbatimChar"/>
        </w:rPr>
        <w:t xml:space="preserve">target_id: psc_proliferation_PDAC_deriv001</w:t>
      </w:r>
      <w:r>
        <w:br/>
      </w:r>
      <w:r>
        <w:br/>
      </w:r>
      <w:r>
        <w:rPr>
          <w:rStyle w:val="VerbatimChar"/>
        </w:rPr>
        <w:t xml:space="preserve"># =============================================================================</w:t>
      </w:r>
      <w:r>
        <w:br/>
      </w:r>
      <w:r>
        <w:rPr>
          <w:rStyle w:val="VerbatimChar"/>
        </w:rPr>
        <w:t xml:space="preserve"># INPUTS: Extracted values with full provenance</w:t>
      </w:r>
      <w:r>
        <w:br/>
      </w:r>
      <w:r>
        <w:rPr>
          <w:rStyle w:val="VerbatimChar"/>
        </w:rPr>
        <w:t xml:space="preserve"># =============================================================================</w:t>
      </w:r>
      <w:r>
        <w:br/>
      </w:r>
      <w:r>
        <w:rPr>
          <w:rStyle w:val="VerbatimChar"/>
        </w:rPr>
        <w:t xml:space="preserve">inputs:</w:t>
      </w:r>
      <w:r>
        <w:br/>
      </w:r>
      <w:r>
        <w:rPr>
          <w:rStyle w:val="VerbatimChar"/>
        </w:rPr>
        <w:t xml:space="preserve">  - name: pdgf_fold_mean</w:t>
      </w:r>
      <w:r>
        <w:br/>
      </w:r>
      <w:r>
        <w:rPr>
          <w:rStyle w:val="VerbatimChar"/>
        </w:rPr>
        <w:t xml:space="preserve">    value: 4.37</w:t>
      </w:r>
      <w:r>
        <w:br/>
      </w:r>
      <w:r>
        <w:rPr>
          <w:rStyle w:val="VerbatimChar"/>
        </w:rPr>
        <w:t xml:space="preserve">    units: dimensionless</w:t>
      </w:r>
      <w:r>
        <w:br/>
      </w:r>
      <w:r>
        <w:rPr>
          <w:rStyle w:val="VerbatimChar"/>
        </w:rPr>
        <w:t xml:space="preserve">    input_type: direct_measurement</w:t>
      </w:r>
      <w:r>
        <w:br/>
      </w:r>
      <w:r>
        <w:rPr>
          <w:rStyle w:val="VerbatimChar"/>
        </w:rPr>
        <w:t xml:space="preserve">    role: target</w:t>
      </w:r>
      <w:r>
        <w:br/>
      </w:r>
      <w:r>
        <w:rPr>
          <w:rStyle w:val="VerbatimChar"/>
        </w:rPr>
        <w:t xml:space="preserve">    source_ref: Schneider2001_PSC_PDGF</w:t>
      </w:r>
      <w:r>
        <w:br/>
      </w:r>
      <w:r>
        <w:rPr>
          <w:rStyle w:val="VerbatimChar"/>
        </w:rPr>
        <w:t xml:space="preserve">    source_location: Abstract</w:t>
      </w:r>
      <w:r>
        <w:br/>
      </w:r>
      <w:r>
        <w:rPr>
          <w:rStyle w:val="VerbatimChar"/>
        </w:rPr>
        <w:t xml:space="preserve">    value_snippet: "Cell proliferation (4.37 +/- 0.49- and 2.96 +/-</w:t>
      </w:r>
      <w:r>
        <w:br/>
      </w:r>
      <w:r>
        <w:rPr>
          <w:rStyle w:val="VerbatimChar"/>
        </w:rPr>
        <w:t xml:space="preserve">                    0.39-fold of control)."</w:t>
      </w:r>
      <w:r>
        <w:br/>
      </w:r>
      <w:r>
        <w:br/>
      </w:r>
      <w:r>
        <w:rPr>
          <w:rStyle w:val="VerbatimChar"/>
        </w:rPr>
        <w:t xml:space="preserve">  - name: pdgf_fold_sd</w:t>
      </w:r>
      <w:r>
        <w:br/>
      </w:r>
      <w:r>
        <w:rPr>
          <w:rStyle w:val="VerbatimChar"/>
        </w:rPr>
        <w:t xml:space="preserve">    value: 0.49</w:t>
      </w:r>
      <w:r>
        <w:br/>
      </w:r>
      <w:r>
        <w:rPr>
          <w:rStyle w:val="VerbatimChar"/>
        </w:rPr>
        <w:t xml:space="preserve">    units: dimensionless</w:t>
      </w:r>
      <w:r>
        <w:br/>
      </w:r>
      <w:r>
        <w:rPr>
          <w:rStyle w:val="VerbatimChar"/>
        </w:rPr>
        <w:t xml:space="preserve">    input_type: direct_measurement</w:t>
      </w:r>
      <w:r>
        <w:br/>
      </w:r>
      <w:r>
        <w:rPr>
          <w:rStyle w:val="VerbatimChar"/>
        </w:rPr>
        <w:t xml:space="preserve">    role: auxiliary</w:t>
      </w:r>
      <w:r>
        <w:br/>
      </w:r>
      <w:r>
        <w:rPr>
          <w:rStyle w:val="VerbatimChar"/>
        </w:rPr>
        <w:t xml:space="preserve">    source_ref: Schneider2001_PSC_PDGF</w:t>
      </w:r>
      <w:r>
        <w:br/>
      </w:r>
      <w:r>
        <w:rPr>
          <w:rStyle w:val="VerbatimChar"/>
        </w:rPr>
        <w:t xml:space="preserve">    source_location: Abstract</w:t>
      </w:r>
      <w:r>
        <w:br/>
      </w:r>
      <w:r>
        <w:rPr>
          <w:rStyle w:val="VerbatimChar"/>
        </w:rPr>
        <w:t xml:space="preserve">    value_snippet: "Cell proliferation (4.37 +/- 0.49- and 2.96 +/-</w:t>
      </w:r>
      <w:r>
        <w:br/>
      </w:r>
      <w:r>
        <w:rPr>
          <w:rStyle w:val="VerbatimChar"/>
        </w:rPr>
        <w:t xml:space="preserve">                    0.39-fold of control)."</w:t>
      </w:r>
      <w:r>
        <w:br/>
      </w:r>
      <w:r>
        <w:br/>
      </w:r>
      <w:r>
        <w:rPr>
          <w:rStyle w:val="VerbatimChar"/>
        </w:rPr>
        <w:t xml:space="preserve"># =============================================================================</w:t>
      </w:r>
      <w:r>
        <w:br/>
      </w:r>
      <w:r>
        <w:rPr>
          <w:rStyle w:val="VerbatimChar"/>
        </w:rPr>
        <w:t xml:space="preserve"># CALIBRATION: Everything needed for inference</w:t>
      </w:r>
      <w:r>
        <w:br/>
      </w:r>
      <w:r>
        <w:rPr>
          <w:rStyle w:val="VerbatimChar"/>
        </w:rPr>
        <w:t xml:space="preserve"># =============================================================================</w:t>
      </w:r>
      <w:r>
        <w:br/>
      </w:r>
      <w:r>
        <w:rPr>
          <w:rStyle w:val="VerbatimChar"/>
        </w:rPr>
        <w:t xml:space="preserve">calibration:</w:t>
      </w:r>
      <w:r>
        <w:br/>
      </w:r>
      <w:r>
        <w:rPr>
          <w:rStyle w:val="VerbatimChar"/>
        </w:rPr>
        <w:t xml:space="preserve">  parameters:</w:t>
      </w:r>
      <w:r>
        <w:br/>
      </w:r>
      <w:r>
        <w:rPr>
          <w:rStyle w:val="VerbatimChar"/>
        </w:rPr>
        <w:t xml:space="preserve">    - name: k_apsc_prolif</w:t>
      </w:r>
      <w:r>
        <w:br/>
      </w:r>
      <w:r>
        <w:rPr>
          <w:rStyle w:val="VerbatimChar"/>
        </w:rPr>
        <w:t xml:space="preserve">      units: 1/day</w:t>
      </w:r>
      <w:r>
        <w:br/>
      </w:r>
      <w:r>
        <w:rPr>
          <w:rStyle w:val="VerbatimChar"/>
        </w:rPr>
        <w:t xml:space="preserve">      prior:</w:t>
      </w:r>
      <w:r>
        <w:br/>
      </w:r>
      <w:r>
        <w:rPr>
          <w:rStyle w:val="VerbatimChar"/>
        </w:rPr>
        <w:t xml:space="preserve">        distribution: lognormal</w:t>
      </w:r>
      <w:r>
        <w:br/>
      </w:r>
      <w:r>
        <w:rPr>
          <w:rStyle w:val="VerbatimChar"/>
        </w:rPr>
        <w:t xml:space="preserve">        mu: 0.0      # log(1.0) - expect ~1/day for 4x fold-change in 1 day</w:t>
      </w:r>
      <w:r>
        <w:br/>
      </w:r>
      <w:r>
        <w:rPr>
          <w:rStyle w:val="VerbatimChar"/>
        </w:rPr>
        <w:t xml:space="preserve">        sigma: 1.0</w:t>
      </w:r>
      <w:r>
        <w:br/>
      </w:r>
      <w:r>
        <w:rPr>
          <w:rStyle w:val="VerbatimChar"/>
        </w:rPr>
        <w:t xml:space="preserve">        rationale: |</w:t>
      </w:r>
      <w:r>
        <w:br/>
      </w:r>
      <w:r>
        <w:rPr>
          <w:rStyle w:val="VerbatimChar"/>
        </w:rPr>
        <w:t xml:space="preserve">          Wide log-normal prior centered at 1/day. A 4-fold increase in</w:t>
      </w:r>
      <w:r>
        <w:br/>
      </w:r>
      <w:r>
        <w:rPr>
          <w:rStyle w:val="VerbatimChar"/>
        </w:rPr>
        <w:t xml:space="preserve">          1 day implies k = ln(4) = 1.4/day, so prior median of 1/day</w:t>
      </w:r>
      <w:r>
        <w:br/>
      </w:r>
      <w:r>
        <w:rPr>
          <w:rStyle w:val="VerbatimChar"/>
        </w:rPr>
        <w:t xml:space="preserve">          is reasonable.</w:t>
      </w:r>
      <w:r>
        <w:br/>
      </w:r>
      <w:r>
        <w:br/>
      </w:r>
      <w:r>
        <w:rPr>
          <w:rStyle w:val="VerbatimChar"/>
        </w:rPr>
        <w:t xml:space="preserve">  state_variables:</w:t>
      </w:r>
      <w:r>
        <w:br/>
      </w:r>
      <w:r>
        <w:rPr>
          <w:rStyle w:val="VerbatimChar"/>
        </w:rPr>
        <w:t xml:space="preserve">    - name: aPSC_rel</w:t>
      </w:r>
      <w:r>
        <w:br/>
      </w:r>
      <w:r>
        <w:rPr>
          <w:rStyle w:val="VerbatimChar"/>
        </w:rPr>
        <w:t xml:space="preserve">      units: dimensionless</w:t>
      </w:r>
      <w:r>
        <w:br/>
      </w:r>
      <w:r>
        <w:rPr>
          <w:rStyle w:val="VerbatimChar"/>
        </w:rPr>
        <w:t xml:space="preserve">      initial_condition:</w:t>
      </w:r>
      <w:r>
        <w:br/>
      </w:r>
      <w:r>
        <w:rPr>
          <w:rStyle w:val="VerbatimChar"/>
        </w:rPr>
        <w:t xml:space="preserve">        value: 1.0</w:t>
      </w:r>
      <w:r>
        <w:br/>
      </w:r>
      <w:r>
        <w:rPr>
          <w:rStyle w:val="VerbatimChar"/>
        </w:rPr>
        <w:t xml:space="preserve">        rationale: |</w:t>
      </w:r>
      <w:r>
        <w:br/>
      </w:r>
      <w:r>
        <w:rPr>
          <w:rStyle w:val="VerbatimChar"/>
        </w:rPr>
        <w:t xml:space="preserve">          PSC proliferation data are reported as fold of control. We</w:t>
      </w:r>
      <w:r>
        <w:br/>
      </w:r>
      <w:r>
        <w:rPr>
          <w:rStyle w:val="VerbatimChar"/>
        </w:rPr>
        <w:t xml:space="preserve">          normalize the initial aPSC population to 1.0 (100% control)</w:t>
      </w:r>
      <w:r>
        <w:br/>
      </w:r>
      <w:r>
        <w:rPr>
          <w:rStyle w:val="VerbatimChar"/>
        </w:rPr>
        <w:t xml:space="preserve">          to match this convention.</w:t>
      </w:r>
      <w:r>
        <w:br/>
      </w:r>
      <w:r>
        <w:br/>
      </w:r>
      <w:r>
        <w:rPr>
          <w:rStyle w:val="VerbatimChar"/>
        </w:rPr>
        <w:t xml:space="preserve">  model:</w:t>
      </w:r>
      <w:r>
        <w:br/>
      </w:r>
      <w:r>
        <w:rPr>
          <w:rStyle w:val="VerbatimChar"/>
        </w:rPr>
        <w:t xml:space="preserve">    type: exponential_growth</w:t>
      </w:r>
      <w:r>
        <w:br/>
      </w:r>
      <w:r>
        <w:rPr>
          <w:rStyle w:val="VerbatimChar"/>
        </w:rPr>
        <w:t xml:space="preserve">    rate_constant: k_apsc_prolif</w:t>
      </w:r>
      <w:r>
        <w:br/>
      </w:r>
      <w:r>
        <w:rPr>
          <w:rStyle w:val="VerbatimChar"/>
        </w:rPr>
        <w:t xml:space="preserve">    data_rationale: |</w:t>
      </w:r>
      <w:r>
        <w:br/>
      </w:r>
      <w:r>
        <w:rPr>
          <w:rStyle w:val="VerbatimChar"/>
        </w:rPr>
        <w:t xml:space="preserve">      BrdU incorporation assay measures proliferation as fold-change</w:t>
      </w:r>
      <w:r>
        <w:br/>
      </w:r>
      <w:r>
        <w:rPr>
          <w:rStyle w:val="VerbatimChar"/>
        </w:rPr>
        <w:t xml:space="preserve">      over ~24 hours under constant PDGF stimulus. With a single high</w:t>
      </w:r>
      <w:r>
        <w:br/>
      </w:r>
      <w:r>
        <w:rPr>
          <w:rStyle w:val="VerbatimChar"/>
        </w:rPr>
        <w:t xml:space="preserve">      PDGF dose and short duration, exponential growth (dN/dt = k*N)</w:t>
      </w:r>
      <w:r>
        <w:br/>
      </w:r>
      <w:r>
        <w:rPr>
          <w:rStyle w:val="VerbatimChar"/>
        </w:rPr>
        <w:t xml:space="preserve">      fits the data structure.</w:t>
      </w:r>
      <w:r>
        <w:br/>
      </w:r>
      <w:r>
        <w:rPr>
          <w:rStyle w:val="VerbatimChar"/>
        </w:rPr>
        <w:t xml:space="preserve">    submodel_rationale: |</w:t>
      </w:r>
      <w:r>
        <w:br/>
      </w:r>
      <w:r>
        <w:rPr>
          <w:rStyle w:val="VerbatimChar"/>
        </w:rPr>
        <w:t xml:space="preserve">      The full QSPIO_PDAC model has aPSC proliferation via:</w:t>
      </w:r>
      <w:r>
        <w:br/>
      </w:r>
      <w:r>
        <w:rPr>
          <w:rStyle w:val="VerbatimChar"/>
        </w:rPr>
        <w:t xml:space="preserve">      k_apsc_prolif * aPSC * (PDGF / (PDGF_50_prolif + PDGF)).</w:t>
      </w:r>
      <w:r>
        <w:br/>
      </w:r>
      <w:r>
        <w:rPr>
          <w:rStyle w:val="VerbatimChar"/>
        </w:rPr>
        <w:t xml:space="preserve">      At 50 ng/mL PDGF &gt;&gt; PDGF_50_prolif, the saturation term ~ 1,</w:t>
      </w:r>
      <w:r>
        <w:br/>
      </w:r>
      <w:r>
        <w:rPr>
          <w:rStyle w:val="VerbatimChar"/>
        </w:rPr>
        <w:t xml:space="preserve">      reducing to exponential growth with rate k_apsc_prolif.</w:t>
      </w:r>
      <w:r>
        <w:br/>
      </w:r>
      <w:r>
        <w:br/>
      </w:r>
      <w:r>
        <w:rPr>
          <w:rStyle w:val="VerbatimChar"/>
        </w:rPr>
        <w:t xml:space="preserve">  independent_variable:</w:t>
      </w:r>
      <w:r>
        <w:br/>
      </w:r>
      <w:r>
        <w:rPr>
          <w:rStyle w:val="VerbatimChar"/>
        </w:rPr>
        <w:t xml:space="preserve">    name: time</w:t>
      </w:r>
      <w:r>
        <w:br/>
      </w:r>
      <w:r>
        <w:rPr>
          <w:rStyle w:val="VerbatimChar"/>
        </w:rPr>
        <w:t xml:space="preserve">    units: day</w:t>
      </w:r>
      <w:r>
        <w:br/>
      </w:r>
      <w:r>
        <w:rPr>
          <w:rStyle w:val="VerbatimChar"/>
        </w:rPr>
        <w:t xml:space="preserve">    span: [0.0, 1.0]</w:t>
      </w:r>
      <w:r>
        <w:br/>
      </w:r>
      <w:r>
        <w:rPr>
          <w:rStyle w:val="VerbatimChar"/>
        </w:rPr>
        <w:t xml:space="preserve">    rationale: |</w:t>
      </w:r>
      <w:r>
        <w:br/>
      </w:r>
      <w:r>
        <w:rPr>
          <w:rStyle w:val="VerbatimChar"/>
        </w:rPr>
        <w:t xml:space="preserve">      Proliferation assay duration assumed to be ~24 hours based on</w:t>
      </w:r>
      <w:r>
        <w:br/>
      </w:r>
      <w:r>
        <w:rPr>
          <w:rStyle w:val="VerbatimChar"/>
        </w:rPr>
        <w:t xml:space="preserve">      typical cytokine incubation protocols for rat PSCs.</w:t>
      </w:r>
      <w:r>
        <w:br/>
      </w:r>
      <w:r>
        <w:br/>
      </w:r>
      <w:r>
        <w:rPr>
          <w:rStyle w:val="VerbatimChar"/>
        </w:rPr>
        <w:t xml:space="preserve">  measurements:</w:t>
      </w:r>
      <w:r>
        <w:br/>
      </w:r>
      <w:r>
        <w:rPr>
          <w:rStyle w:val="VerbatimChar"/>
        </w:rPr>
        <w:t xml:space="preserve">    - name: proliferation_fold_change</w:t>
      </w:r>
      <w:r>
        <w:br/>
      </w:r>
      <w:r>
        <w:rPr>
          <w:rStyle w:val="VerbatimChar"/>
        </w:rPr>
        <w:t xml:space="preserve">      observable:</w:t>
      </w:r>
      <w:r>
        <w:br/>
      </w:r>
      <w:r>
        <w:rPr>
          <w:rStyle w:val="VerbatimChar"/>
        </w:rPr>
        <w:t xml:space="preserve">        type: identity</w:t>
      </w:r>
      <w:r>
        <w:br/>
      </w:r>
      <w:r>
        <w:rPr>
          <w:rStyle w:val="VerbatimChar"/>
        </w:rPr>
        <w:t xml:space="preserve">        state_variables: [aPSC_rel]</w:t>
      </w:r>
      <w:r>
        <w:br/>
      </w:r>
      <w:r>
        <w:rPr>
          <w:rStyle w:val="VerbatimChar"/>
        </w:rPr>
        <w:t xml:space="preserve">        rationale: |</w:t>
      </w:r>
      <w:r>
        <w:br/>
      </w:r>
      <w:r>
        <w:rPr>
          <w:rStyle w:val="VerbatimChar"/>
        </w:rPr>
        <w:t xml:space="preserve">          The state variable aPSC_rel is the fold-change in aPSC number</w:t>
      </w:r>
      <w:r>
        <w:br/>
      </w:r>
      <w:r>
        <w:rPr>
          <w:rStyle w:val="VerbatimChar"/>
        </w:rPr>
        <w:t xml:space="preserve">          relative to baseline (control = 1.0), which directly matches</w:t>
      </w:r>
      <w:r>
        <w:br/>
      </w:r>
      <w:r>
        <w:rPr>
          <w:rStyle w:val="VerbatimChar"/>
        </w:rPr>
        <w:t xml:space="preserve">          the reported proliferation fold-change.</w:t>
      </w:r>
      <w:r>
        <w:br/>
      </w:r>
      <w:r>
        <w:rPr>
          <w:rStyle w:val="VerbatimChar"/>
        </w:rPr>
        <w:t xml:space="preserve">      units: dimensionless</w:t>
      </w:r>
      <w:r>
        <w:br/>
      </w:r>
      <w:r>
        <w:rPr>
          <w:rStyle w:val="VerbatimChar"/>
        </w:rPr>
        <w:t xml:space="preserve">      uses_inputs:</w:t>
      </w:r>
      <w:r>
        <w:br/>
      </w:r>
      <w:r>
        <w:rPr>
          <w:rStyle w:val="VerbatimChar"/>
        </w:rPr>
        <w:t xml:space="preserve">        - pdgf_fold_mean</w:t>
      </w:r>
      <w:r>
        <w:br/>
      </w:r>
      <w:r>
        <w:rPr>
          <w:rStyle w:val="VerbatimChar"/>
        </w:rPr>
        <w:t xml:space="preserve">        - pdgf_fold_sd</w:t>
      </w:r>
      <w:r>
        <w:br/>
      </w:r>
      <w:r>
        <w:rPr>
          <w:rStyle w:val="VerbatimChar"/>
        </w:rPr>
        <w:t xml:space="preserve">      evaluation_points: [1.0]</w:t>
      </w:r>
      <w:r>
        <w:br/>
      </w:r>
      <w:r>
        <w:rPr>
          <w:rStyle w:val="VerbatimChar"/>
        </w:rPr>
        <w:t xml:space="preserve">      sample_size: 3</w:t>
      </w:r>
      <w:r>
        <w:br/>
      </w:r>
      <w:r>
        <w:rPr>
          <w:rStyle w:val="VerbatimChar"/>
        </w:rPr>
        <w:t xml:space="preserve">      sample_size_rationale: |</w:t>
      </w:r>
      <w:r>
        <w:br/>
      </w:r>
      <w:r>
        <w:rPr>
          <w:rStyle w:val="VerbatimChar"/>
        </w:rPr>
        <w:t xml:space="preserve">        Sample size not explicitly reported; assumed n=3 independent</w:t>
      </w:r>
      <w:r>
        <w:br/>
      </w:r>
      <w:r>
        <w:rPr>
          <w:rStyle w:val="VerbatimChar"/>
        </w:rPr>
        <w:t xml:space="preserve">        experiments, typical for in vitro PSC BrdU proliferation assays.</w:t>
      </w:r>
      <w:r>
        <w:br/>
      </w:r>
      <w:r>
        <w:rPr>
          <w:rStyle w:val="VerbatimChar"/>
        </w:rPr>
        <w:t xml:space="preserve">      distribution_code: |</w:t>
      </w:r>
      <w:r>
        <w:br/>
      </w:r>
      <w:r>
        <w:rPr>
          <w:rStyle w:val="VerbatimChar"/>
        </w:rPr>
        <w:t xml:space="preserve">        def derive_distribution(inputs, ureg):</w:t>
      </w:r>
      <w:r>
        <w:br/>
      </w:r>
      <w:r>
        <w:rPr>
          <w:rStyle w:val="VerbatimChar"/>
        </w:rPr>
        <w:t xml:space="preserve">            import numpy as np</w:t>
      </w:r>
      <w:r>
        <w:br/>
      </w:r>
      <w:r>
        <w:br/>
      </w:r>
      <w:r>
        <w:rPr>
          <w:rStyle w:val="VerbatimChar"/>
        </w:rPr>
        <w:t xml:space="preserve">            rng = np.random.default_rng(42)</w:t>
      </w:r>
      <w:r>
        <w:br/>
      </w:r>
      <w:r>
        <w:br/>
      </w:r>
      <w:r>
        <w:rPr>
          <w:rStyle w:val="VerbatimChar"/>
        </w:rPr>
        <w:t xml:space="preserve">            mean = inputs['pdgf_fold_mean'].magnitude</w:t>
      </w:r>
      <w:r>
        <w:br/>
      </w:r>
      <w:r>
        <w:rPr>
          <w:rStyle w:val="VerbatimChar"/>
        </w:rPr>
        <w:t xml:space="preserve">            sd = inputs['pdgf_fold_sd'].magnitude</w:t>
      </w:r>
      <w:r>
        <w:br/>
      </w:r>
      <w:r>
        <w:rPr>
          <w:rStyle w:val="VerbatimChar"/>
        </w:rPr>
        <w:t xml:space="preserve">            n = 10000</w:t>
      </w:r>
      <w:r>
        <w:br/>
      </w:r>
      <w:r>
        <w:br/>
      </w:r>
      <w:r>
        <w:rPr>
          <w:rStyle w:val="VerbatimChar"/>
        </w:rPr>
        <w:t xml:space="preserve">            # Use lognormal for positive fold-changes</w:t>
      </w:r>
      <w:r>
        <w:br/>
      </w:r>
      <w:r>
        <w:rPr>
          <w:rStyle w:val="VerbatimChar"/>
        </w:rPr>
        <w:t xml:space="preserve">            mu_log = np.log(mean**2 / np.sqrt(mean**2 + sd**2))</w:t>
      </w:r>
      <w:r>
        <w:br/>
      </w:r>
      <w:r>
        <w:rPr>
          <w:rStyle w:val="VerbatimChar"/>
        </w:rPr>
        <w:t xml:space="preserve">            sigma_log = np.sqrt(np.log(1 + sd**2 / mean**2))</w:t>
      </w:r>
      <w:r>
        <w:br/>
      </w:r>
      <w:r>
        <w:br/>
      </w:r>
      <w:r>
        <w:rPr>
          <w:rStyle w:val="VerbatimChar"/>
        </w:rPr>
        <w:t xml:space="preserve">            samples = rng.lognormal(mu_log, sigma_log, n)</w:t>
      </w:r>
      <w:r>
        <w:br/>
      </w:r>
      <w:r>
        <w:br/>
      </w:r>
      <w:r>
        <w:rPr>
          <w:rStyle w:val="VerbatimChar"/>
        </w:rPr>
        <w:t xml:space="preserve">            median_val = np.median(samples)</w:t>
      </w:r>
      <w:r>
        <w:br/>
      </w:r>
      <w:r>
        <w:rPr>
          <w:rStyle w:val="VerbatimChar"/>
        </w:rPr>
        <w:t xml:space="preserve">            ci_lower = np.percentile(samples, 2.5)</w:t>
      </w:r>
      <w:r>
        <w:br/>
      </w:r>
      <w:r>
        <w:rPr>
          <w:rStyle w:val="VerbatimChar"/>
        </w:rPr>
        <w:t xml:space="preserve">            ci_upper = np.percentile(samples, 97.5)</w:t>
      </w:r>
      <w:r>
        <w:br/>
      </w:r>
      <w:r>
        <w:br/>
      </w:r>
      <w:r>
        <w:rPr>
          <w:rStyle w:val="VerbatimChar"/>
        </w:rPr>
        <w:t xml:space="preserve">            return {</w:t>
      </w:r>
      <w:r>
        <w:br/>
      </w:r>
      <w:r>
        <w:rPr>
          <w:rStyle w:val="VerbatimChar"/>
        </w:rPr>
        <w:t xml:space="preserve">                'median': [median_val],</w:t>
      </w:r>
      <w:r>
        <w:br/>
      </w:r>
      <w:r>
        <w:rPr>
          <w:rStyle w:val="VerbatimChar"/>
        </w:rPr>
        <w:t xml:space="preserve">                'ci95': [[ci_lower, ci_upper]],</w:t>
      </w:r>
      <w:r>
        <w:br/>
      </w:r>
      <w:r>
        <w:rPr>
          <w:rStyle w:val="VerbatimChar"/>
        </w:rPr>
        <w:t xml:space="preserve">                'units': 'dimensionless'</w:t>
      </w:r>
      <w:r>
        <w:br/>
      </w:r>
      <w:r>
        <w:rPr>
          <w:rStyle w:val="VerbatimChar"/>
        </w:rPr>
        <w:t xml:space="preserve">            }</w:t>
      </w:r>
      <w:r>
        <w:br/>
      </w:r>
      <w:r>
        <w:rPr>
          <w:rStyle w:val="VerbatimChar"/>
        </w:rPr>
        <w:t xml:space="preserve">      likelihood:</w:t>
      </w:r>
      <w:r>
        <w:br/>
      </w:r>
      <w:r>
        <w:rPr>
          <w:rStyle w:val="VerbatimChar"/>
        </w:rPr>
        <w:t xml:space="preserve">        distribution: lognormal</w:t>
      </w:r>
      <w:r>
        <w:br/>
      </w:r>
      <w:r>
        <w:rPr>
          <w:rStyle w:val="VerbatimChar"/>
        </w:rPr>
        <w:t xml:space="preserve">        rationale: |</w:t>
      </w:r>
      <w:r>
        <w:br/>
      </w:r>
      <w:r>
        <w:rPr>
          <w:rStyle w:val="VerbatimChar"/>
        </w:rPr>
        <w:t xml:space="preserve">          Fold-changes are positive and multiplicative, making</w:t>
      </w:r>
      <w:r>
        <w:br/>
      </w:r>
      <w:r>
        <w:rPr>
          <w:rStyle w:val="VerbatimChar"/>
        </w:rPr>
        <w:t xml:space="preserve">          lognormal appropriate.</w:t>
      </w:r>
      <w:r>
        <w:br/>
      </w:r>
      <w:r>
        <w:br/>
      </w:r>
      <w:r>
        <w:rPr>
          <w:rStyle w:val="VerbatimChar"/>
        </w:rPr>
        <w:t xml:space="preserve">  identifiability_notes: |</w:t>
      </w:r>
      <w:r>
        <w:br/>
      </w:r>
      <w:r>
        <w:rPr>
          <w:rStyle w:val="VerbatimChar"/>
        </w:rPr>
        <w:t xml:space="preserve">    With a single timepoint (~24h) and normalized initial condition</w:t>
      </w:r>
      <w:r>
        <w:br/>
      </w:r>
      <w:r>
        <w:rPr>
          <w:rStyle w:val="VerbatimChar"/>
        </w:rPr>
        <w:t xml:space="preserve">    (aPSC_rel(0)=1), only k_apsc_prolif is estimated. If substantial</w:t>
      </w:r>
      <w:r>
        <w:br/>
      </w:r>
      <w:r>
        <w:rPr>
          <w:rStyle w:val="VerbatimChar"/>
        </w:rPr>
        <w:t xml:space="preserve">    PSC death occurred over the assay interval, the inferred rate</w:t>
      </w:r>
      <w:r>
        <w:br/>
      </w:r>
      <w:r>
        <w:rPr>
          <w:rStyle w:val="VerbatimChar"/>
        </w:rPr>
        <w:t xml:space="preserve">    would represent net growth rather than pure proliferation.</w:t>
      </w:r>
      <w:r>
        <w:br/>
      </w:r>
      <w:r>
        <w:br/>
      </w:r>
      <w:r>
        <w:rPr>
          <w:rStyle w:val="VerbatimChar"/>
        </w:rPr>
        <w:t xml:space="preserve"># =============================================================================</w:t>
      </w:r>
      <w:r>
        <w:br/>
      </w:r>
      <w:r>
        <w:rPr>
          <w:rStyle w:val="VerbatimChar"/>
        </w:rPr>
        <w:t xml:space="preserve"># EXPERIMENTAL CONTEXT</w:t>
      </w:r>
      <w:r>
        <w:br/>
      </w:r>
      <w:r>
        <w:rPr>
          <w:rStyle w:val="VerbatimChar"/>
        </w:rPr>
        <w:t xml:space="preserve"># =============================================================================</w:t>
      </w:r>
      <w:r>
        <w:br/>
      </w:r>
      <w:r>
        <w:rPr>
          <w:rStyle w:val="VerbatimChar"/>
        </w:rPr>
        <w:t xml:space="preserve">experimental_context:</w:t>
      </w:r>
      <w:r>
        <w:br/>
      </w:r>
      <w:r>
        <w:rPr>
          <w:rStyle w:val="VerbatimChar"/>
        </w:rPr>
        <w:t xml:space="preserve">  species: rat</w:t>
      </w:r>
      <w:r>
        <w:br/>
      </w:r>
      <w:r>
        <w:rPr>
          <w:rStyle w:val="VerbatimChar"/>
        </w:rPr>
        <w:t xml:space="preserve">  system: in_vitro_primary_cells</w:t>
      </w:r>
      <w:r>
        <w:br/>
      </w:r>
      <w:r>
        <w:rPr>
          <w:rStyle w:val="VerbatimChar"/>
        </w:rPr>
        <w:t xml:space="preserve">  indication: PDAC</w:t>
      </w:r>
      <w:r>
        <w:br/>
      </w:r>
      <w:r>
        <w:rPr>
          <w:rStyle w:val="VerbatimChar"/>
        </w:rPr>
        <w:t xml:space="preserve">  cell_types:</w:t>
      </w:r>
      <w:r>
        <w:br/>
      </w:r>
      <w:r>
        <w:rPr>
          <w:rStyle w:val="VerbatimChar"/>
        </w:rPr>
        <w:t xml:space="preserve">    - name: pancreatic stellate cell</w:t>
      </w:r>
      <w:r>
        <w:br/>
      </w:r>
      <w:r>
        <w:rPr>
          <w:rStyle w:val="VerbatimChar"/>
        </w:rPr>
        <w:t xml:space="preserve">      phenotype: activated (alpha-SMA positive)</w:t>
      </w:r>
      <w:r>
        <w:br/>
      </w:r>
      <w:r>
        <w:rPr>
          <w:rStyle w:val="VerbatimChar"/>
        </w:rPr>
        <w:t xml:space="preserve">      isolation_method: Isolated from normal Wistar rat pancreas,</w:t>
      </w:r>
      <w:r>
        <w:br/>
      </w:r>
      <w:r>
        <w:rPr>
          <w:rStyle w:val="VerbatimChar"/>
        </w:rPr>
        <w:t xml:space="preserve">                        activated by culture on plastic</w:t>
      </w:r>
      <w:r>
        <w:br/>
      </w:r>
      <w:r>
        <w:rPr>
          <w:rStyle w:val="VerbatimChar"/>
        </w:rPr>
        <w:t xml:space="preserve">  culture_conditions:</w:t>
      </w:r>
      <w:r>
        <w:br/>
      </w:r>
      <w:r>
        <w:rPr>
          <w:rStyle w:val="VerbatimChar"/>
        </w:rPr>
        <w:t xml:space="preserve">    culture_type: 2d_monolayer</w:t>
      </w:r>
      <w:r>
        <w:br/>
      </w:r>
      <w:r>
        <w:br/>
      </w:r>
      <w:r>
        <w:rPr>
          <w:rStyle w:val="VerbatimChar"/>
        </w:rPr>
        <w:t xml:space="preserve"># =============================================================================</w:t>
      </w:r>
      <w:r>
        <w:br/>
      </w:r>
      <w:r>
        <w:rPr>
          <w:rStyle w:val="VerbatimChar"/>
        </w:rPr>
        <w:t xml:space="preserve"># STUDY INTERPRETATION</w:t>
      </w:r>
      <w:r>
        <w:br/>
      </w:r>
      <w:r>
        <w:rPr>
          <w:rStyle w:val="VerbatimChar"/>
        </w:rPr>
        <w:t xml:space="preserve"># =============================================================================</w:t>
      </w:r>
      <w:r>
        <w:br/>
      </w:r>
      <w:r>
        <w:rPr>
          <w:rStyle w:val="VerbatimChar"/>
        </w:rPr>
        <w:t xml:space="preserve">study_interpretation: |</w:t>
      </w:r>
      <w:r>
        <w:br/>
      </w:r>
      <w:r>
        <w:rPr>
          <w:rStyle w:val="VerbatimChar"/>
        </w:rPr>
        <w:t xml:space="preserve">  Schneider et al. (2001) measured proliferation of cultured rat</w:t>
      </w:r>
      <w:r>
        <w:br/>
      </w:r>
      <w:r>
        <w:rPr>
          <w:rStyle w:val="VerbatimChar"/>
        </w:rPr>
        <w:t xml:space="preserve">  pancreatic stellate cells (PSCs) in response to growth factors using</w:t>
      </w:r>
      <w:r>
        <w:br/>
      </w:r>
      <w:r>
        <w:rPr>
          <w:rStyle w:val="VerbatimChar"/>
        </w:rPr>
        <w:t xml:space="preserve">  BrdU incorporation. Addition of 50 ng/mL PDGF increased PSC</w:t>
      </w:r>
      <w:r>
        <w:br/>
      </w:r>
      <w:r>
        <w:rPr>
          <w:rStyle w:val="VerbatimChar"/>
        </w:rPr>
        <w:t xml:space="preserve">  proliferation to 4.37 +/- 0.49-fold of control, indicating that PDGF</w:t>
      </w:r>
      <w:r>
        <w:br/>
      </w:r>
      <w:r>
        <w:rPr>
          <w:rStyle w:val="VerbatimChar"/>
        </w:rPr>
        <w:t xml:space="preserve">  acts as a strong mitogen for activated PSCs. We interpret the</w:t>
      </w:r>
      <w:r>
        <w:br/>
      </w:r>
      <w:r>
        <w:rPr>
          <w:rStyle w:val="VerbatimChar"/>
        </w:rPr>
        <w:t xml:space="preserve">  50 ng/mL PDGF condition as approximating a near-maximal PDGF stimulus</w:t>
      </w:r>
      <w:r>
        <w:br/>
      </w:r>
      <w:r>
        <w:rPr>
          <w:rStyle w:val="VerbatimChar"/>
        </w:rPr>
        <w:t xml:space="preserve">  and use the reported fold-change over ~24 hours as a quantitative</w:t>
      </w:r>
      <w:r>
        <w:br/>
      </w:r>
      <w:r>
        <w:rPr>
          <w:rStyle w:val="VerbatimChar"/>
        </w:rPr>
        <w:t xml:space="preserve">  constraint on the maximal PDGF-driven proliferation rate parameter</w:t>
      </w:r>
      <w:r>
        <w:br/>
      </w:r>
      <w:r>
        <w:rPr>
          <w:rStyle w:val="VerbatimChar"/>
        </w:rPr>
        <w:t xml:space="preserve">  k_apsc_prolif.</w:t>
      </w:r>
      <w:r>
        <w:br/>
      </w:r>
      <w:r>
        <w:br/>
      </w:r>
      <w:r>
        <w:rPr>
          <w:rStyle w:val="VerbatimChar"/>
        </w:rPr>
        <w:t xml:space="preserve">key_assumptions:</w:t>
      </w:r>
      <w:r>
        <w:br/>
      </w:r>
      <w:r>
        <w:rPr>
          <w:rStyle w:val="VerbatimChar"/>
        </w:rPr>
        <w:t xml:space="preserve">  - |</w:t>
      </w:r>
      <w:r>
        <w:br/>
      </w:r>
      <w:r>
        <w:rPr>
          <w:rStyle w:val="VerbatimChar"/>
        </w:rPr>
        <w:t xml:space="preserve">    50 ng/mL PDGF corresponds to a near-saturating concentration for</w:t>
      </w:r>
      <w:r>
        <w:br/>
      </w:r>
      <w:r>
        <w:rPr>
          <w:rStyle w:val="VerbatimChar"/>
        </w:rPr>
        <w:t xml:space="preserve">    PSC proliferation, so PDGF/(PDGF_50_prolif + PDGF) ~ 1.</w:t>
      </w:r>
      <w:r>
        <w:br/>
      </w:r>
      <w:r>
        <w:rPr>
          <w:rStyle w:val="VerbatimChar"/>
        </w:rPr>
        <w:t xml:space="preserve">  - |</w:t>
      </w:r>
      <w:r>
        <w:br/>
      </w:r>
      <w:r>
        <w:rPr>
          <w:rStyle w:val="VerbatimChar"/>
        </w:rPr>
        <w:t xml:space="preserve">    The proliferation assay duration is approximately 24 hours,</w:t>
      </w:r>
      <w:r>
        <w:br/>
      </w:r>
      <w:r>
        <w:rPr>
          <w:rStyle w:val="VerbatimChar"/>
        </w:rPr>
        <w:t xml:space="preserve">    consistent with typical cytokine incubation protocols.</w:t>
      </w:r>
      <w:r>
        <w:br/>
      </w:r>
      <w:r>
        <w:rPr>
          <w:rStyle w:val="VerbatimChar"/>
        </w:rPr>
        <w:t xml:space="preserve">  - |</w:t>
      </w:r>
      <w:r>
        <w:br/>
      </w:r>
      <w:r>
        <w:rPr>
          <w:rStyle w:val="VerbatimChar"/>
        </w:rPr>
        <w:t xml:space="preserve">    BrdU incorporation fold-change is proportional to fold-change in</w:t>
      </w:r>
      <w:r>
        <w:br/>
      </w:r>
      <w:r>
        <w:rPr>
          <w:rStyle w:val="VerbatimChar"/>
        </w:rPr>
        <w:t xml:space="preserve">    PSC cell number (negligible death over 24 hours).</w:t>
      </w:r>
      <w:r>
        <w:br/>
      </w:r>
      <w:r>
        <w:rPr>
          <w:rStyle w:val="VerbatimChar"/>
        </w:rPr>
        <w:t xml:space="preserve">  - |</w:t>
      </w:r>
      <w:r>
        <w:br/>
      </w:r>
      <w:r>
        <w:rPr>
          <w:rStyle w:val="VerbatimChar"/>
        </w:rPr>
        <w:t xml:space="preserve">    Rat activated PSC proliferation kinetics in vitro provide an upper</w:t>
      </w:r>
      <w:r>
        <w:br/>
      </w:r>
      <w:r>
        <w:rPr>
          <w:rStyle w:val="VerbatimChar"/>
        </w:rPr>
        <w:t xml:space="preserve">    bound for human tumor aPSC proliferation in vivo.</w:t>
      </w:r>
      <w:r>
        <w:br/>
      </w:r>
      <w:r>
        <w:br/>
      </w:r>
      <w:r>
        <w:rPr>
          <w:rStyle w:val="VerbatimChar"/>
        </w:rPr>
        <w:t xml:space="preserve">key_study_limitations:</w:t>
      </w:r>
      <w:r>
        <w:br/>
      </w:r>
      <w:r>
        <w:rPr>
          <w:rStyle w:val="VerbatimChar"/>
        </w:rPr>
        <w:t xml:space="preserve">  - |</w:t>
      </w:r>
      <w:r>
        <w:br/>
      </w:r>
      <w:r>
        <w:rPr>
          <w:rStyle w:val="VerbatimChar"/>
        </w:rPr>
        <w:t xml:space="preserve">    Proliferation was measured via BrdU incorporation rather than</w:t>
      </w:r>
      <w:r>
        <w:br/>
      </w:r>
      <w:r>
        <w:rPr>
          <w:rStyle w:val="VerbatimChar"/>
        </w:rPr>
        <w:t xml:space="preserve">    direct cell counts.</w:t>
      </w:r>
      <w:r>
        <w:br/>
      </w:r>
      <w:r>
        <w:rPr>
          <w:rStyle w:val="VerbatimChar"/>
        </w:rPr>
        <w:t xml:space="preserve">  - |</w:t>
      </w:r>
      <w:r>
        <w:br/>
      </w:r>
      <w:r>
        <w:rPr>
          <w:rStyle w:val="VerbatimChar"/>
        </w:rPr>
        <w:t xml:space="preserve">    Single PDGF concentration and single assay interval constrain</w:t>
      </w:r>
      <w:r>
        <w:br/>
      </w:r>
      <w:r>
        <w:rPr>
          <w:rStyle w:val="VerbatimChar"/>
        </w:rPr>
        <w:t xml:space="preserve">    only the maximal rate.</w:t>
      </w:r>
      <w:r>
        <w:br/>
      </w:r>
      <w:r>
        <w:rPr>
          <w:rStyle w:val="VerbatimChar"/>
        </w:rPr>
        <w:t xml:space="preserve">  - |</w:t>
      </w:r>
      <w:r>
        <w:br/>
      </w:r>
      <w:r>
        <w:rPr>
          <w:rStyle w:val="VerbatimChar"/>
        </w:rPr>
        <w:t xml:space="preserve">    Data from rat PSCs in vitro, not human PDAC-associated stellate cells.</w:t>
      </w:r>
      <w:r>
        <w:br/>
      </w:r>
      <w:r>
        <w:rPr>
          <w:rStyle w:val="VerbatimChar"/>
        </w:rPr>
        <w:t xml:space="preserve">  - |</w:t>
      </w:r>
      <w:r>
        <w:br/>
      </w:r>
      <w:r>
        <w:rPr>
          <w:rStyle w:val="VerbatimChar"/>
        </w:rPr>
        <w:t xml:space="preserve">    Background serum proliferative signals not explicitly modeled.</w:t>
      </w:r>
      <w:r>
        <w:br/>
      </w:r>
      <w:r>
        <w:br/>
      </w:r>
      <w:r>
        <w:rPr>
          <w:rStyle w:val="VerbatimChar"/>
        </w:rPr>
        <w:t xml:space="preserve"># =============================================================================</w:t>
      </w:r>
      <w:r>
        <w:br/>
      </w:r>
      <w:r>
        <w:rPr>
          <w:rStyle w:val="VerbatimChar"/>
        </w:rPr>
        <w:t xml:space="preserve"># DATA SOURCES</w:t>
      </w:r>
      <w:r>
        <w:br/>
      </w:r>
      <w:r>
        <w:rPr>
          <w:rStyle w:val="VerbatimChar"/>
        </w:rPr>
        <w:t xml:space="preserve"># =============================================================================</w:t>
      </w:r>
      <w:r>
        <w:br/>
      </w:r>
      <w:r>
        <w:rPr>
          <w:rStyle w:val="VerbatimChar"/>
        </w:rPr>
        <w:t xml:space="preserve">primary_data_source:</w:t>
      </w:r>
      <w:r>
        <w:br/>
      </w:r>
      <w:r>
        <w:rPr>
          <w:rStyle w:val="VerbatimChar"/>
        </w:rPr>
        <w:t xml:space="preserve">  doi: "10.1152/ajpcell.2001.281.2.C532"</w:t>
      </w:r>
      <w:r>
        <w:br/>
      </w:r>
      <w:r>
        <w:rPr>
          <w:rStyle w:val="VerbatimChar"/>
        </w:rPr>
        <w:t xml:space="preserve">  title: "Identification of mediators stimulating proliferation and</w:t>
      </w:r>
      <w:r>
        <w:br/>
      </w:r>
      <w:r>
        <w:rPr>
          <w:rStyle w:val="VerbatimChar"/>
        </w:rPr>
        <w:t xml:space="preserve">          matrix synthesis of rat pancreatic stellate cells"</w:t>
      </w:r>
      <w:r>
        <w:br/>
      </w:r>
      <w:r>
        <w:rPr>
          <w:rStyle w:val="VerbatimChar"/>
        </w:rPr>
        <w:t xml:space="preserve">  authors: [Schneider, Schmid, Liptay, Schmid, Pohl]</w:t>
      </w:r>
      <w:r>
        <w:br/>
      </w:r>
      <w:r>
        <w:rPr>
          <w:rStyle w:val="VerbatimChar"/>
        </w:rPr>
        <w:t xml:space="preserve">  year: 2001</w:t>
      </w:r>
      <w:r>
        <w:br/>
      </w:r>
      <w:r>
        <w:rPr>
          <w:rStyle w:val="VerbatimChar"/>
        </w:rPr>
        <w:t xml:space="preserve">  source_tag: Schneider2001_PSC_PDGF</w:t>
      </w:r>
      <w:r>
        <w:br/>
      </w:r>
      <w:r>
        <w:br/>
      </w:r>
      <w:r>
        <w:rPr>
          <w:rStyle w:val="VerbatimChar"/>
        </w:rPr>
        <w:t xml:space="preserve">secondary_data_sources:</w:t>
      </w:r>
      <w:r>
        <w:br/>
      </w:r>
      <w:r>
        <w:rPr>
          <w:rStyle w:val="VerbatimChar"/>
        </w:rPr>
        <w:t xml:space="preserve">  - doi: "10.1136/gut.44.4.534"</w:t>
      </w:r>
      <w:r>
        <w:br/>
      </w:r>
      <w:r>
        <w:rPr>
          <w:rStyle w:val="VerbatimChar"/>
        </w:rPr>
        <w:t xml:space="preserve">    title: "Pancreatic stellate cells are activated by proinflammatory</w:t>
      </w:r>
      <w:r>
        <w:br/>
      </w:r>
      <w:r>
        <w:rPr>
          <w:rStyle w:val="VerbatimChar"/>
        </w:rPr>
        <w:t xml:space="preserve">            cytokines: implications for pancreatic fibrogenesis"</w:t>
      </w:r>
      <w:r>
        <w:br/>
      </w:r>
      <w:r>
        <w:rPr>
          <w:rStyle w:val="VerbatimChar"/>
        </w:rPr>
        <w:t xml:space="preserve">    authors: [Apte, Haber, Darby, Rodgers, McCaughan, Korsten, Pirola, Wilson]</w:t>
      </w:r>
      <w:r>
        <w:br/>
      </w:r>
      <w:r>
        <w:rPr>
          <w:rStyle w:val="VerbatimChar"/>
        </w:rPr>
        <w:t xml:space="preserve">    year: 1999</w:t>
      </w:r>
      <w:r>
        <w:br/>
      </w:r>
      <w:r>
        <w:rPr>
          <w:rStyle w:val="VerbatimChar"/>
        </w:rPr>
        <w:t xml:space="preserve">    source_tag: Apte1999_PSC_Cytokines</w:t>
      </w:r>
      <w:r>
        <w:br/>
      </w:r>
      <w:r>
        <w:rPr>
          <w:rStyle w:val="VerbatimChar"/>
        </w:rPr>
        <w:t xml:space="preserve">    contribution: |</w:t>
      </w:r>
      <w:r>
        <w:br/>
      </w:r>
      <w:r>
        <w:rPr>
          <w:rStyle w:val="VerbatimChar"/>
        </w:rPr>
        <w:t xml:space="preserve">      Provides context on PSC activation and cytokine response protocols.</w:t>
      </w:r>
    </w:p>
    <w:bookmarkEnd w:id="21"/>
    <w:bookmarkStart w:id="22" w:name="schema-structure-summary"/>
    <w:p>
      <w:pPr>
        <w:pStyle w:val="Heading2"/>
      </w:pPr>
      <w:r>
        <w:rPr>
          <w:rStyle w:val="SectionNumber"/>
        </w:rPr>
        <w:t xml:space="preserve">1.3</w:t>
      </w:r>
      <w:r>
        <w:tab/>
      </w:r>
      <w:r>
        <w:t xml:space="preserve">Schema Structure Summary</w:t>
      </w:r>
    </w:p>
    <w:p>
      <w:pPr>
        <w:pStyle w:val="FirstParagraph"/>
      </w:pPr>
      <w:r>
        <w:t xml:space="preserve">The SubmodelTarget schema has the following top-level structure:</w:t>
      </w:r>
    </w:p>
    <w:p>
      <w:pPr>
        <w:numPr>
          <w:ilvl w:val="0"/>
          <w:numId w:val="1001"/>
        </w:numPr>
      </w:pPr>
      <w:r>
        <w:rPr>
          <w:b/>
          <w:bCs/>
        </w:rPr>
        <w:t xml:space="preserve">target_id</w:t>
      </w:r>
      <w:r>
        <w:t xml:space="preserve">: Unique identifier for the calibration target</w:t>
      </w:r>
    </w:p>
    <w:p>
      <w:pPr>
        <w:numPr>
          <w:ilvl w:val="0"/>
          <w:numId w:val="1001"/>
        </w:numPr>
      </w:pPr>
      <w:r>
        <w:rPr>
          <w:b/>
          <w:bCs/>
        </w:rPr>
        <w:t xml:space="preserve">inputs</w:t>
      </w:r>
      <w:r>
        <w:t xml:space="preserve">: List of values extracted from literature with provenance</w:t>
      </w:r>
    </w:p>
    <w:p>
      <w:pPr>
        <w:numPr>
          <w:ilvl w:val="0"/>
          <w:numId w:val="1001"/>
        </w:numPr>
      </w:pPr>
      <w:r>
        <w:rPr>
          <w:b/>
          <w:bCs/>
        </w:rPr>
        <w:t xml:space="preserve">calibration</w:t>
      </w:r>
      <w:r>
        <w:t xml:space="preserve">: Everything needed for inference code generation</w:t>
      </w:r>
    </w:p>
    <w:p>
      <w:pPr>
        <w:numPr>
          <w:ilvl w:val="1"/>
          <w:numId w:val="1002"/>
        </w:numPr>
      </w:pPr>
      <w:r>
        <w:rPr>
          <w:rStyle w:val="VerbatimChar"/>
        </w:rPr>
        <w:t xml:space="preserve">parameters</w:t>
      </w:r>
      <w:r>
        <w:t xml:space="preserve">: Parameters to estimate with priors</w:t>
      </w:r>
    </w:p>
    <w:p>
      <w:pPr>
        <w:numPr>
          <w:ilvl w:val="1"/>
          <w:numId w:val="1002"/>
        </w:numPr>
      </w:pPr>
      <w:r>
        <w:rPr>
          <w:rStyle w:val="VerbatimChar"/>
        </w:rPr>
        <w:t xml:space="preserve">state_variables</w:t>
      </w:r>
      <w:r>
        <w:t xml:space="preserve">: ODE state variables with initial conditions</w:t>
      </w:r>
    </w:p>
    <w:p>
      <w:pPr>
        <w:numPr>
          <w:ilvl w:val="1"/>
          <w:numId w:val="1002"/>
        </w:numPr>
      </w:pPr>
      <w:r>
        <w:rPr>
          <w:rStyle w:val="VerbatimChar"/>
        </w:rPr>
        <w:t xml:space="preserve">model</w:t>
      </w:r>
      <w:r>
        <w:t xml:space="preserve">: Model type specification (built-in or custom)</w:t>
      </w:r>
    </w:p>
    <w:p>
      <w:pPr>
        <w:numPr>
          <w:ilvl w:val="1"/>
          <w:numId w:val="1002"/>
        </w:numPr>
      </w:pPr>
      <w:r>
        <w:rPr>
          <w:rStyle w:val="VerbatimChar"/>
        </w:rPr>
        <w:t xml:space="preserve">independent_variable</w:t>
      </w:r>
      <w:r>
        <w:t xml:space="preserve">: Time or other independent variable</w:t>
      </w:r>
    </w:p>
    <w:p>
      <w:pPr>
        <w:numPr>
          <w:ilvl w:val="1"/>
          <w:numId w:val="1002"/>
        </w:numPr>
      </w:pPr>
      <w:r>
        <w:rPr>
          <w:rStyle w:val="VerbatimChar"/>
        </w:rPr>
        <w:t xml:space="preserve">measurements</w:t>
      </w:r>
      <w:r>
        <w:t xml:space="preserve">: Observables with likelihoods</w:t>
      </w:r>
    </w:p>
    <w:p>
      <w:pPr>
        <w:numPr>
          <w:ilvl w:val="1"/>
          <w:numId w:val="1002"/>
        </w:numPr>
      </w:pPr>
      <w:r>
        <w:rPr>
          <w:rStyle w:val="VerbatimChar"/>
        </w:rPr>
        <w:t xml:space="preserve">identifiability_notes</w:t>
      </w:r>
      <w:r>
        <w:t xml:space="preserve">: Discussion of parameter identifiability</w:t>
      </w:r>
    </w:p>
    <w:p>
      <w:pPr>
        <w:numPr>
          <w:ilvl w:val="0"/>
          <w:numId w:val="1001"/>
        </w:numPr>
      </w:pPr>
      <w:r>
        <w:rPr>
          <w:b/>
          <w:bCs/>
        </w:rPr>
        <w:t xml:space="preserve">experimental_context</w:t>
      </w:r>
      <w:r>
        <w:t xml:space="preserve">: Species, system, cell types, culture conditions</w:t>
      </w:r>
    </w:p>
    <w:p>
      <w:pPr>
        <w:numPr>
          <w:ilvl w:val="0"/>
          <w:numId w:val="1001"/>
        </w:numPr>
      </w:pPr>
      <w:r>
        <w:rPr>
          <w:b/>
          <w:bCs/>
        </w:rPr>
        <w:t xml:space="preserve">study_interpretation</w:t>
      </w:r>
      <w:r>
        <w:t xml:space="preserve">: Scientific interpretation of the data</w:t>
      </w:r>
    </w:p>
    <w:p>
      <w:pPr>
        <w:numPr>
          <w:ilvl w:val="0"/>
          <w:numId w:val="1001"/>
        </w:numPr>
      </w:pPr>
      <w:r>
        <w:rPr>
          <w:b/>
          <w:bCs/>
        </w:rPr>
        <w:t xml:space="preserve">key_assumptions</w:t>
      </w:r>
      <w:r>
        <w:t xml:space="preserve">: Assumptions made in using this data</w:t>
      </w:r>
    </w:p>
    <w:p>
      <w:pPr>
        <w:numPr>
          <w:ilvl w:val="0"/>
          <w:numId w:val="1001"/>
        </w:numPr>
      </w:pPr>
      <w:r>
        <w:rPr>
          <w:b/>
          <w:bCs/>
        </w:rPr>
        <w:t xml:space="preserve">key_study_limitations</w:t>
      </w:r>
      <w:r>
        <w:t xml:space="preserve">: Known limitations of the source study</w:t>
      </w:r>
    </w:p>
    <w:p>
      <w:pPr>
        <w:numPr>
          <w:ilvl w:val="0"/>
          <w:numId w:val="1001"/>
        </w:numPr>
      </w:pPr>
      <w:r>
        <w:rPr>
          <w:b/>
          <w:bCs/>
        </w:rPr>
        <w:t xml:space="preserve">primary_data_source</w:t>
      </w:r>
      <w:r>
        <w:t xml:space="preserve">: Primary literature reference with DOI</w:t>
      </w:r>
    </w:p>
    <w:p>
      <w:pPr>
        <w:numPr>
          <w:ilvl w:val="0"/>
          <w:numId w:val="1001"/>
        </w:numPr>
      </w:pPr>
      <w:r>
        <w:rPr>
          <w:b/>
          <w:bCs/>
        </w:rPr>
        <w:t xml:space="preserve">secondary_data_sources</w:t>
      </w:r>
      <w:r>
        <w:t xml:space="preserve">: Additional references</w:t>
      </w:r>
    </w:p>
    <w:bookmarkEnd w:id="22"/>
    <w:bookmarkEnd w:id="23"/>
    <w:bookmarkStart w:id="24" w:name="sec:model-types"/>
    <w:p>
      <w:pPr>
        <w:pStyle w:val="Heading1"/>
      </w:pPr>
      <w:r>
        <w:rPr>
          <w:rStyle w:val="SectionNumber"/>
        </w:rPr>
        <w:t xml:space="preserve">2</w:t>
      </w:r>
      <w:r>
        <w:tab/>
      </w:r>
      <w:r>
        <w:t xml:space="preserve">Supported Model Types</w:t>
      </w:r>
    </w:p>
    <w:p>
      <w:pPr>
        <w:pStyle w:val="FirstParagraph"/>
      </w:pPr>
      <w:r>
        <w:t xml:space="preserve">The SubmodelTarget schema supports 15 built-in forward model types, organized into four categories.</w:t>
      </w:r>
    </w:p>
    <w:p>
      <w:pPr>
        <w:pStyle w:val="BodyText"/>
      </w:pPr>
      <w:r>
        <w:t xml:space="preserve">llll</w:t>
      </w:r>
      <w:r>
        <w:t xml:space="preserve"> </w:t>
      </w:r>
      <w:r>
        <w:t xml:space="preserve">Category &amp; Model Type &amp; Formulation &amp; Key Fields</w:t>
      </w:r>
      <w:r>
        <w:br/>
      </w:r>
      <w:r>
        <w:t xml:space="preserve">&amp;</w:t>
      </w:r>
      <w:r>
        <w:t xml:space="preserve"> </w:t>
      </w:r>
      <w:r>
        <w:rPr>
          <w:rStyle w:val="VerbatimChar"/>
        </w:rPr>
        <w:t xml:space="preserve">exponential_growth</w:t>
      </w:r>
      <w:r>
        <w:t xml:space="preserve"> </w:t>
      </w:r>
      <w:r>
        <w:t xml:space="preserve">&amp;</w:t>
      </w:r>
      <w:r>
        <w:t xml:space="preserve"> </w:t>
      </w:r>
      <m:oMath>
        <m:r>
          <m:t>d</m:t>
        </m:r>
        <m:r>
          <m:t>y</m:t>
        </m:r>
        <m:r>
          <m:rPr>
            <m:sty m:val="p"/>
          </m:rPr>
          <m:t>/</m:t>
        </m:r>
        <m:r>
          <m:t>d</m:t>
        </m:r>
        <m:r>
          <m:t>t</m:t>
        </m:r>
        <m:r>
          <m:rPr>
            <m:sty m:val="p"/>
          </m:rPr>
          <m:t>=</m:t>
        </m:r>
        <m:r>
          <m:t>k</m:t>
        </m:r>
        <m:r>
          <m:rPr>
            <m:sty m:val="p"/>
          </m:rPr>
          <m:t>⋅</m:t>
        </m:r>
        <m:r>
          <m:t>y</m:t>
        </m:r>
      </m:oMath>
      <w:r>
        <w:t xml:space="preserve"> </w:t>
      </w:r>
      <w:r>
        <w:t xml:space="preserve">&amp;</w:t>
      </w:r>
      <w:r>
        <w:t xml:space="preserve"> </w:t>
      </w:r>
      <w:r>
        <w:rPr>
          <w:rStyle w:val="VerbatimChar"/>
        </w:rPr>
        <w:t xml:space="preserve">rate_constant</w:t>
      </w:r>
      <w:r>
        <w:br/>
      </w:r>
      <w:r>
        <w:t xml:space="preserve">&amp;</w:t>
      </w:r>
      <w:r>
        <w:t xml:space="preserve"> </w:t>
      </w:r>
      <w:r>
        <w:rPr>
          <w:rStyle w:val="VerbatimChar"/>
        </w:rPr>
        <w:t xml:space="preserve">first_order_decay</w:t>
      </w:r>
      <w:r>
        <w:t xml:space="preserve"> </w:t>
      </w:r>
      <w:r>
        <w:t xml:space="preserve">&amp;</w:t>
      </w:r>
      <w:r>
        <w:t xml:space="preserve"> </w:t>
      </w:r>
      <m:oMath>
        <m:r>
          <m:t>d</m:t>
        </m:r>
        <m:r>
          <m:t>y</m:t>
        </m:r>
        <m:r>
          <m:rPr>
            <m:sty m:val="p"/>
          </m:rPr>
          <m:t>/</m:t>
        </m:r>
        <m:r>
          <m:t>d</m:t>
        </m:r>
        <m:r>
          <m:t>t</m:t>
        </m:r>
        <m:r>
          <m:rPr>
            <m:sty m:val="p"/>
          </m:rPr>
          <m:t>=</m:t>
        </m:r>
        <m:r>
          <m:rPr>
            <m:sty m:val="p"/>
          </m:rPr>
          <m:t>−</m:t>
        </m:r>
        <m:r>
          <m:t>k</m:t>
        </m:r>
        <m:r>
          <m:rPr>
            <m:sty m:val="p"/>
          </m:rPr>
          <m:t>⋅</m:t>
        </m:r>
        <m:r>
          <m:t>y</m:t>
        </m:r>
      </m:oMath>
      <w:r>
        <w:t xml:space="preserve"> </w:t>
      </w:r>
      <w:r>
        <w:t xml:space="preserve">&amp;</w:t>
      </w:r>
      <w:r>
        <w:t xml:space="preserve"> </w:t>
      </w:r>
      <w:r>
        <w:rPr>
          <w:rStyle w:val="VerbatimChar"/>
        </w:rPr>
        <w:t xml:space="preserve">rate_constant</w:t>
      </w:r>
      <w:r>
        <w:br/>
      </w:r>
      <w:r>
        <w:t xml:space="preserve">&amp;</w:t>
      </w:r>
      <w:r>
        <w:t xml:space="preserve"> </w:t>
      </w:r>
      <w:r>
        <w:rPr>
          <w:rStyle w:val="VerbatimChar"/>
        </w:rPr>
        <w:t xml:space="preserve">logistic</w:t>
      </w:r>
      <w:r>
        <w:t xml:space="preserve"> </w:t>
      </w:r>
      <w:r>
        <w:t xml:space="preserve">&amp;</w:t>
      </w:r>
      <w:r>
        <w:t xml:space="preserve"> </w:t>
      </w:r>
      <m:oMath>
        <m:r>
          <m:t>d</m:t>
        </m:r>
        <m:r>
          <m:t>y</m:t>
        </m:r>
        <m:r>
          <m:rPr>
            <m:sty m:val="p"/>
          </m:rPr>
          <m:t>/</m:t>
        </m:r>
        <m:r>
          <m:t>d</m:t>
        </m:r>
        <m:r>
          <m:t>t</m:t>
        </m:r>
        <m:r>
          <m:rPr>
            <m:sty m:val="p"/>
          </m:rPr>
          <m:t>=</m:t>
        </m:r>
        <m:r>
          <m:t>k</m:t>
        </m:r>
        <m:r>
          <m:rPr>
            <m:sty m:val="p"/>
          </m:rPr>
          <m:t>⋅</m:t>
        </m:r>
        <m:r>
          <m:t>y</m:t>
        </m:r>
        <m:d>
          <m:dPr>
            <m:begChr m:val="("/>
            <m:sepChr m:val=""/>
            <m:endChr m:val=")"/>
            <m:grow/>
          </m:dPr>
          <m:e>
            <m:r>
              <m:t>1</m:t>
            </m:r>
            <m:r>
              <m:rPr>
                <m:sty m:val="p"/>
              </m:rPr>
              <m:t>−</m:t>
            </m:r>
            <m:r>
              <m:t>y</m:t>
            </m:r>
            <m:r>
              <m:rPr>
                <m:sty m:val="p"/>
              </m:rPr>
              <m:t>/</m:t>
            </m:r>
            <m:r>
              <m:t>K</m:t>
            </m:r>
          </m:e>
        </m:d>
      </m:oMath>
      <w:r>
        <w:t xml:space="preserve"> </w:t>
      </w:r>
      <w:r>
        <w:t xml:space="preserve">&amp;</w:t>
      </w:r>
      <w:r>
        <w:t xml:space="preserve"> </w:t>
      </w:r>
      <w:r>
        <w:rPr>
          <w:rStyle w:val="VerbatimChar"/>
        </w:rPr>
        <w:t xml:space="preserve">rate_constant</w:t>
      </w:r>
      <w:r>
        <w:t xml:space="preserve">,</w:t>
      </w:r>
      <w:r>
        <w:t xml:space="preserve"> </w:t>
      </w:r>
      <w:r>
        <w:rPr>
          <w:rStyle w:val="VerbatimChar"/>
        </w:rPr>
        <w:t xml:space="preserve">carrying_capacity</w:t>
      </w:r>
      <w:r>
        <w:br/>
      </w:r>
      <w:r>
        <w:t xml:space="preserve">&amp;</w:t>
      </w:r>
      <w:r>
        <w:t xml:space="preserve"> </w:t>
      </w:r>
      <w:r>
        <w:rPr>
          <w:rStyle w:val="VerbatimChar"/>
        </w:rPr>
        <w:t xml:space="preserve">saturation</w:t>
      </w:r>
      <w:r>
        <w:t xml:space="preserve"> </w:t>
      </w:r>
      <w:r>
        <w:t xml:space="preserve">&amp;</w:t>
      </w:r>
      <w:r>
        <w:t xml:space="preserve"> </w:t>
      </w:r>
      <m:oMath>
        <m:r>
          <m:t>d</m:t>
        </m:r>
        <m:r>
          <m:t>y</m:t>
        </m:r>
        <m:r>
          <m:rPr>
            <m:sty m:val="p"/>
          </m:rPr>
          <m:t>/</m:t>
        </m:r>
        <m:r>
          <m:t>d</m:t>
        </m:r>
        <m:r>
          <m:t>t</m:t>
        </m:r>
        <m:r>
          <m:rPr>
            <m:sty m:val="p"/>
          </m:rPr>
          <m:t>=</m:t>
        </m:r>
        <m:r>
          <m:t>k</m:t>
        </m:r>
        <m:d>
          <m:dPr>
            <m:begChr m:val="("/>
            <m:sepChr m:val=""/>
            <m:endChr m:val=")"/>
            <m:grow/>
          </m:dPr>
          <m:e>
            <m:r>
              <m:t>1</m:t>
            </m:r>
            <m:r>
              <m:rPr>
                <m:sty m:val="p"/>
              </m:rPr>
              <m:t>−</m:t>
            </m:r>
            <m:r>
              <m:t>y</m:t>
            </m:r>
          </m:e>
        </m:d>
      </m:oMath>
      <w:r>
        <w:t xml:space="preserve"> </w:t>
      </w:r>
      <w:r>
        <w:t xml:space="preserve">&amp;</w:t>
      </w:r>
      <w:r>
        <w:t xml:space="preserve"> </w:t>
      </w:r>
      <w:r>
        <w:rPr>
          <w:rStyle w:val="VerbatimChar"/>
        </w:rPr>
        <w:t xml:space="preserve">rate_constant</w:t>
      </w:r>
      <w:r>
        <w:br/>
      </w:r>
      <w:r>
        <w:t xml:space="preserve">&amp;</w:t>
      </w:r>
      <w:r>
        <w:t xml:space="preserve"> </w:t>
      </w:r>
      <w:r>
        <w:rPr>
          <w:rStyle w:val="VerbatimChar"/>
        </w:rPr>
        <w:t xml:space="preserve">two_state</w:t>
      </w:r>
      <w:r>
        <w:t xml:space="preserve"> </w:t>
      </w:r>
      <w:r>
        <w:t xml:space="preserve">&amp;</w:t>
      </w:r>
      <w:r>
        <w:t xml:space="preserve"> </w:t>
      </w:r>
      <m:oMath>
        <m:r>
          <m:t>d</m:t>
        </m:r>
        <m:r>
          <m:t>A</m:t>
        </m:r>
        <m:r>
          <m:rPr>
            <m:sty m:val="p"/>
          </m:rPr>
          <m:t>/</m:t>
        </m:r>
        <m:r>
          <m:t>d</m:t>
        </m:r>
        <m:r>
          <m:t>t</m:t>
        </m:r>
        <m:r>
          <m:rPr>
            <m:sty m:val="p"/>
          </m:rPr>
          <m:t>=</m:t>
        </m:r>
        <m:r>
          <m:rPr>
            <m:sty m:val="p"/>
          </m:rPr>
          <m:t>−</m:t>
        </m:r>
        <m:r>
          <m:t>k</m:t>
        </m:r>
        <m:r>
          <m:t>A</m:t>
        </m:r>
      </m:oMath>
      <w:r>
        <w:t xml:space="preserve">,</w:t>
      </w:r>
      <w:r>
        <w:t xml:space="preserve"> </w:t>
      </w:r>
      <m:oMath>
        <m:r>
          <m:t>d</m:t>
        </m:r>
        <m:r>
          <m:t>B</m:t>
        </m:r>
        <m:r>
          <m:rPr>
            <m:sty m:val="p"/>
          </m:rPr>
          <m:t>/</m:t>
        </m:r>
        <m:r>
          <m:t>d</m:t>
        </m:r>
        <m:r>
          <m:t>t</m:t>
        </m:r>
        <m:r>
          <m:rPr>
            <m:sty m:val="p"/>
          </m:rPr>
          <m:t>=</m:t>
        </m:r>
        <m:r>
          <m:t>k</m:t>
        </m:r>
        <m:r>
          <m:t>A</m:t>
        </m:r>
      </m:oMath>
      <w:r>
        <w:t xml:space="preserve"> </w:t>
      </w:r>
      <w:r>
        <w:t xml:space="preserve">&amp;</w:t>
      </w:r>
      <w:r>
        <w:t xml:space="preserve"> </w:t>
      </w:r>
      <w:r>
        <w:rPr>
          <w:rStyle w:val="VerbatimChar"/>
        </w:rPr>
        <w:t xml:space="preserve">forward_rate</w:t>
      </w:r>
      <w:r>
        <w:br/>
      </w:r>
      <w:r>
        <w:t xml:space="preserve">&amp;</w:t>
      </w:r>
      <w:r>
        <w:t xml:space="preserve"> </w:t>
      </w:r>
      <w:r>
        <w:rPr>
          <w:rStyle w:val="VerbatimChar"/>
        </w:rPr>
        <w:t xml:space="preserve">michaelis_menten</w:t>
      </w:r>
      <w:r>
        <w:t xml:space="preserve"> </w:t>
      </w:r>
      <w:r>
        <w:t xml:space="preserve">&amp;</w:t>
      </w:r>
      <w:r>
        <w:t xml:space="preserve"> </w:t>
      </w:r>
      <m:oMath>
        <m:r>
          <m:t>d</m:t>
        </m:r>
        <m:r>
          <m:t>y</m:t>
        </m:r>
        <m:r>
          <m:rPr>
            <m:sty m:val="p"/>
          </m:rPr>
          <m:t>/</m:t>
        </m:r>
        <m:r>
          <m:t>d</m:t>
        </m:r>
        <m:r>
          <m:t>t</m:t>
        </m:r>
        <m:r>
          <m:rPr>
            <m:sty m:val="p"/>
          </m:rPr>
          <m:t>=</m:t>
        </m:r>
        <m:r>
          <m:rPr>
            <m:sty m:val="p"/>
          </m:rPr>
          <m:t>−</m:t>
        </m:r>
        <m:sSub>
          <m:e>
            <m:r>
              <m:t>V</m:t>
            </m:r>
          </m:e>
          <m:sub>
            <m:r>
              <m:rPr>
                <m:sty m:val="p"/>
              </m:rPr>
              <m:t>max</m:t>
            </m:r>
          </m:sub>
        </m:sSub>
        <m:r>
          <m:t>y</m:t>
        </m:r>
        <m:r>
          <m:rPr>
            <m:sty m:val="p"/>
          </m:rPr>
          <m:t>/</m:t>
        </m:r>
        <m:d>
          <m:dPr>
            <m:begChr m:val="("/>
            <m:sepChr m:val=""/>
            <m:endChr m:val=")"/>
            <m:grow/>
          </m:dPr>
          <m:e>
            <m:sSub>
              <m:e>
                <m:r>
                  <m:t>K</m:t>
                </m:r>
              </m:e>
              <m:sub>
                <m:r>
                  <m:t>m</m:t>
                </m:r>
              </m:sub>
            </m:sSub>
            <m:r>
              <m:rPr>
                <m:sty m:val="p"/>
              </m:rPr>
              <m:t>+</m:t>
            </m:r>
            <m:r>
              <m:t>y</m:t>
            </m:r>
          </m:e>
        </m:d>
      </m:oMath>
      <w:r>
        <w:t xml:space="preserve"> </w:t>
      </w:r>
      <w:r>
        <w:t xml:space="preserve">&amp;</w:t>
      </w:r>
      <w:r>
        <w:t xml:space="preserve"> </w:t>
      </w:r>
      <w:r>
        <w:rPr>
          <w:rStyle w:val="VerbatimChar"/>
        </w:rPr>
        <w:t xml:space="preserve">vmax</w:t>
      </w:r>
      <w:r>
        <w:t xml:space="preserve">,</w:t>
      </w:r>
      <w:r>
        <w:t xml:space="preserve"> </w:t>
      </w:r>
      <w:r>
        <w:rPr>
          <w:rStyle w:val="VerbatimChar"/>
        </w:rPr>
        <w:t xml:space="preserve">km</w:t>
      </w:r>
      <w:r>
        <w:br/>
      </w:r>
      <w:r>
        <w:t xml:space="preserve">&amp;</w:t>
      </w:r>
      <w:r>
        <w:t xml:space="preserve"> </w:t>
      </w:r>
      <w:r>
        <w:rPr>
          <w:rStyle w:val="VerbatimChar"/>
        </w:rPr>
        <w:t xml:space="preserve">steady_state_density</w:t>
      </w:r>
      <w:r>
        <w:t xml:space="preserve"> </w:t>
      </w:r>
      <w:r>
        <w:t xml:space="preserve">&amp;</w:t>
      </w:r>
      <w:r>
        <w:t xml:space="preserve"> </w:t>
      </w:r>
      <m:oMath>
        <m:r>
          <m:rPr>
            <m:nor/>
            <m:sty m:val="p"/>
          </m:rPr>
          <m:t>rate</m:t>
        </m:r>
        <m:r>
          <m:rPr>
            <m:sty m:val="p"/>
          </m:rPr>
          <m:t>=</m:t>
        </m:r>
        <m:r>
          <m:rPr>
            <m:nor/>
            <m:sty m:val="p"/>
          </m:rPr>
          <m:t>density</m:t>
        </m:r>
        <m:r>
          <m:rPr>
            <m:sty m:val="p"/>
          </m:rPr>
          <m:t>×</m:t>
        </m:r>
        <m:r>
          <m:rPr>
            <m:nor/>
            <m:sty m:val="p"/>
          </m:rPr>
          <m:t>loss</m:t>
        </m:r>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observed_density</w:t>
      </w:r>
      <w:r>
        <w:t xml:space="preserve">,</w:t>
      </w:r>
      <w:r>
        <w:t xml:space="preserve"> </w:t>
      </w:r>
      <w:r>
        <w:rPr>
          <w:rStyle w:val="VerbatimChar"/>
        </w:rPr>
        <w:t xml:space="preserve">loss_rate</w:t>
      </w:r>
      <w:r>
        <w:br/>
      </w:r>
      <w:r>
        <w:t xml:space="preserve">&amp;</w:t>
      </w:r>
      <w:r>
        <w:t xml:space="preserve"> </w:t>
      </w:r>
      <w:r>
        <w:rPr>
          <w:rStyle w:val="VerbatimChar"/>
        </w:rPr>
        <w:t xml:space="preserve">steady_state_fraction</w:t>
      </w:r>
      <w:r>
        <w:t xml:space="preserve"> </w:t>
      </w:r>
      <w:r>
        <w:t xml:space="preserve">&amp;</w:t>
      </w:r>
      <w:r>
        <w:t xml:space="preserve"> </w:t>
      </w:r>
      <m:oMath>
        <m:r>
          <m:rPr>
            <m:nor/>
            <m:sty m:val="p"/>
          </m:rPr>
          <m:t>rate</m:t>
        </m:r>
        <m:r>
          <m:rPr>
            <m:sty m:val="p"/>
          </m:rPr>
          <m:t>=</m:t>
        </m:r>
        <m:r>
          <m:t>f</m:t>
        </m:r>
        <m:r>
          <m:rPr>
            <m:sty m:val="p"/>
          </m:rPr>
          <m:t>×</m:t>
        </m:r>
        <m:sSub>
          <m:e>
            <m:r>
              <m:t>ρ</m:t>
            </m:r>
          </m:e>
          <m:sub>
            <m:r>
              <m:rPr>
                <m:nor/>
                <m:sty m:val="p"/>
              </m:rPr>
              <m:t>parent</m:t>
            </m:r>
          </m:sub>
        </m:sSub>
        <m:r>
          <m:rPr>
            <m:sty m:val="p"/>
          </m:rPr>
          <m:t>×</m:t>
        </m:r>
        <m:r>
          <m:rPr>
            <m:nor/>
            <m:sty m:val="p"/>
          </m:rPr>
          <m:t>loss</m:t>
        </m:r>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observed_fraction</w:t>
      </w:r>
      <w:r>
        <w:t xml:space="preserve">,</w:t>
      </w:r>
      <w:r>
        <w:t xml:space="preserve"> </w:t>
      </w:r>
      <w:r>
        <w:rPr>
          <w:rStyle w:val="VerbatimChar"/>
        </w:rPr>
        <w:t xml:space="preserve">parent_density</w:t>
      </w:r>
      <w:r>
        <w:br/>
      </w:r>
      <w:r>
        <w:t xml:space="preserve">&amp;</w:t>
      </w:r>
      <w:r>
        <w:t xml:space="preserve"> </w:t>
      </w:r>
      <w:r>
        <w:rPr>
          <w:rStyle w:val="VerbatimChar"/>
        </w:rPr>
        <w:t xml:space="preserve">steady_state_concentration</w:t>
      </w:r>
      <w:r>
        <w:t xml:space="preserve"> </w:t>
      </w:r>
      <w:r>
        <w:t xml:space="preserve">&amp;</w:t>
      </w:r>
      <w:r>
        <w:t xml:space="preserve"> </w:t>
      </w:r>
      <m:oMath>
        <m:r>
          <m:rPr>
            <m:nor/>
            <m:sty m:val="p"/>
          </m:rPr>
          <m:t>sec</m:t>
        </m:r>
        <m:r>
          <m:rPr>
            <m:sty m:val="p"/>
          </m:rPr>
          <m:t>=</m:t>
        </m:r>
        <m:r>
          <m:t>C</m:t>
        </m:r>
        <m:r>
          <m:rPr>
            <m:sty m:val="p"/>
          </m:rPr>
          <m:t>×</m:t>
        </m:r>
        <m:sSub>
          <m:e>
            <m:r>
              <m:t>k</m:t>
            </m:r>
          </m:e>
          <m:sub>
            <m:r>
              <m:rPr>
                <m:nor/>
                <m:sty m:val="p"/>
              </m:rPr>
              <m:t>cl</m:t>
            </m:r>
          </m:sub>
        </m:sSub>
        <m:r>
          <m:rPr>
            <m:sty m:val="p"/>
          </m:rPr>
          <m:t>×</m:t>
        </m:r>
        <m:r>
          <m:t>V</m:t>
        </m:r>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observed_concentration</w:t>
      </w:r>
      <w:r>
        <w:t xml:space="preserve">,</w:t>
      </w:r>
      <w:r>
        <w:t xml:space="preserve"> </w:t>
      </w:r>
      <w:r>
        <w:rPr>
          <w:rStyle w:val="VerbatimChar"/>
        </w:rPr>
        <w:t xml:space="preserve">clearance_rate</w:t>
      </w:r>
      <w:r>
        <w:br/>
      </w:r>
      <w:r>
        <w:t xml:space="preserve">&amp;</w:t>
      </w:r>
      <w:r>
        <w:t xml:space="preserve"> </w:t>
      </w:r>
      <w:r>
        <w:rPr>
          <w:rStyle w:val="VerbatimChar"/>
        </w:rPr>
        <w:t xml:space="preserve">steady_state_ratio</w:t>
      </w:r>
      <w:r>
        <w:t xml:space="preserve"> </w:t>
      </w:r>
      <w:r>
        <w:t xml:space="preserve">&amp;</w:t>
      </w:r>
      <w:r>
        <w:t xml:space="preserve"> </w:t>
      </w:r>
      <m:oMath>
        <m:r>
          <m:t>r</m:t>
        </m:r>
        <m:r>
          <m:rPr>
            <m:sty m:val="p"/>
          </m:rPr>
          <m:t>=</m:t>
        </m:r>
        <m:sSub>
          <m:e>
            <m:r>
              <m:t>k</m:t>
            </m:r>
          </m:e>
          <m:sub>
            <m:r>
              <m:t>1</m:t>
            </m:r>
          </m:sub>
        </m:sSub>
        <m:r>
          <m:rPr>
            <m:sty m:val="p"/>
          </m:rPr>
          <m:t>/</m:t>
        </m:r>
        <m:sSub>
          <m:e>
            <m:r>
              <m:t>k</m:t>
            </m:r>
          </m:e>
          <m:sub>
            <m:r>
              <m:t>2</m:t>
            </m:r>
          </m:sub>
        </m:sSub>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observed_ratio</w:t>
      </w:r>
      <w:r>
        <w:t xml:space="preserve">,</w:t>
      </w:r>
      <w:r>
        <w:t xml:space="preserve"> </w:t>
      </w:r>
      <w:r>
        <w:rPr>
          <w:rStyle w:val="VerbatimChar"/>
        </w:rPr>
        <w:t xml:space="preserve">opposing_rate</w:t>
      </w:r>
      <w:r>
        <w:br/>
      </w:r>
      <w:r>
        <w:t xml:space="preserve">&amp;</w:t>
      </w:r>
      <w:r>
        <w:t xml:space="preserve"> </w:t>
      </w:r>
      <w:r>
        <w:rPr>
          <w:rStyle w:val="VerbatimChar"/>
        </w:rPr>
        <w:t xml:space="preserve">steady_state_proliferation</w:t>
      </w:r>
      <w:r>
        <w:t xml:space="preserve"> </w:t>
      </w:r>
      <w:r>
        <w:t xml:space="preserve">&amp;</w:t>
      </w:r>
      <w:r>
        <w:t xml:space="preserve"> </w:t>
      </w:r>
      <m:oMath>
        <m:r>
          <m:t>f</m:t>
        </m:r>
        <m:r>
          <m:rPr>
            <m:sty m:val="p"/>
          </m:rPr>
          <m:t>=</m:t>
        </m:r>
        <m:sSub>
          <m:e>
            <m:r>
              <m:t>k</m:t>
            </m:r>
          </m:e>
          <m:sub>
            <m:r>
              <m:t>p</m:t>
            </m:r>
          </m:sub>
        </m:sSub>
        <m:r>
          <m:rPr>
            <m:sty m:val="p"/>
          </m:rPr>
          <m:t>/</m:t>
        </m:r>
        <m:d>
          <m:dPr>
            <m:begChr m:val="("/>
            <m:sepChr m:val=""/>
            <m:endChr m:val=")"/>
            <m:grow/>
          </m:dPr>
          <m:e>
            <m:sSub>
              <m:e>
                <m:r>
                  <m:t>k</m:t>
                </m:r>
              </m:e>
              <m:sub>
                <m:r>
                  <m:t>p</m:t>
                </m:r>
              </m:sub>
            </m:sSub>
            <m:r>
              <m:rPr>
                <m:sty m:val="p"/>
              </m:rPr>
              <m:t>+</m:t>
            </m:r>
            <m:sSub>
              <m:e>
                <m:r>
                  <m:t>k</m:t>
                </m:r>
              </m:e>
              <m:sub>
                <m:r>
                  <m:t>d</m:t>
                </m:r>
              </m:sub>
            </m:sSub>
          </m:e>
        </m:d>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observed_fraction</w:t>
      </w:r>
      <w:r>
        <w:t xml:space="preserve">,</w:t>
      </w:r>
      <w:r>
        <w:t xml:space="preserve"> </w:t>
      </w:r>
      <w:r>
        <w:rPr>
          <w:rStyle w:val="VerbatimChar"/>
        </w:rPr>
        <w:t xml:space="preserve">death_rate</w:t>
      </w:r>
      <w:r>
        <w:br/>
      </w:r>
      <w:r>
        <w:t xml:space="preserve">Accumulation</w:t>
      </w:r>
      <w:r>
        <w:t xml:space="preserve"> </w:t>
      </w:r>
      <w:r>
        <w:t xml:space="preserve">&amp;</w:t>
      </w:r>
      <w:r>
        <w:t xml:space="preserve"> </w:t>
      </w:r>
      <w:r>
        <w:rPr>
          <w:rStyle w:val="VerbatimChar"/>
        </w:rPr>
        <w:t xml:space="preserve">batch_accumulation</w:t>
      </w:r>
      <w:r>
        <w:t xml:space="preserve"> </w:t>
      </w:r>
      <w:r>
        <w:t xml:space="preserve">&amp;</w:t>
      </w:r>
      <w:r>
        <w:t xml:space="preserve"> </w:t>
      </w:r>
      <m:oMath>
        <m:r>
          <m:t>C</m:t>
        </m:r>
        <m:r>
          <m:rPr>
            <m:sty m:val="p"/>
          </m:rPr>
          <m:t>=</m:t>
        </m:r>
        <m:d>
          <m:dPr>
            <m:begChr m:val="("/>
            <m:sepChr m:val=""/>
            <m:endChr m:val=")"/>
            <m:grow/>
          </m:dPr>
          <m:e>
            <m:r>
              <m:rPr>
                <m:nor/>
                <m:sty m:val="p"/>
              </m:rPr>
              <m:t>sec</m:t>
            </m:r>
            <m:r>
              <m:rPr>
                <m:sty m:val="p"/>
              </m:rPr>
              <m:t>×</m:t>
            </m:r>
            <m:r>
              <m:t>n</m:t>
            </m:r>
            <m:r>
              <m:rPr>
                <m:sty m:val="p"/>
              </m:rPr>
              <m:t>×</m:t>
            </m:r>
            <m:r>
              <m:t>t</m:t>
            </m:r>
          </m:e>
        </m:d>
        <m:r>
          <m:rPr>
            <m:sty m:val="p"/>
          </m:rPr>
          <m:t>/</m:t>
        </m:r>
        <m:r>
          <m:t>V</m:t>
        </m:r>
      </m:oMath>
      <w:r>
        <w:t xml:space="preserve"> </w:t>
      </w:r>
      <w:r>
        <w:t xml:space="preserve">&amp;</w:t>
      </w:r>
      <w:r>
        <w:t xml:space="preserve"> </w:t>
      </w:r>
      <w:r>
        <w:rPr>
          <w:rStyle w:val="VerbatimChar"/>
        </w:rPr>
        <w:t xml:space="preserve">target_rate</w:t>
      </w:r>
      <w:r>
        <w:t xml:space="preserve">,</w:t>
      </w:r>
      <w:r>
        <w:t xml:space="preserve"> </w:t>
      </w:r>
      <w:r>
        <w:rPr>
          <w:rStyle w:val="VerbatimChar"/>
        </w:rPr>
        <w:t xml:space="preserve">cell_count</w:t>
      </w:r>
      <w:r>
        <w:t xml:space="preserve">,</w:t>
      </w:r>
      <w:r>
        <w:t xml:space="preserve"> </w:t>
      </w:r>
      <w:r>
        <w:rPr>
          <w:rStyle w:val="VerbatimChar"/>
        </w:rPr>
        <w:t xml:space="preserve">incubation_time</w:t>
      </w:r>
      <w:r>
        <w:br/>
      </w:r>
      <w:r>
        <w:t xml:space="preserve">&amp;</w:t>
      </w:r>
      <w:r>
        <w:t xml:space="preserve"> </w:t>
      </w:r>
      <w:r>
        <w:rPr>
          <w:rStyle w:val="VerbatimChar"/>
        </w:rPr>
        <w:t xml:space="preserve">algebraic</w:t>
      </w:r>
      <w:r>
        <w:t xml:space="preserve"> </w:t>
      </w:r>
      <w:r>
        <w:t xml:space="preserve">&amp; (closed-form formula) &amp;</w:t>
      </w:r>
      <w:r>
        <w:t xml:space="preserve"> </w:t>
      </w:r>
      <w:r>
        <w:rPr>
          <w:rStyle w:val="VerbatimChar"/>
        </w:rPr>
        <w:t xml:space="preserve">code</w:t>
      </w:r>
      <w:r>
        <w:t xml:space="preserve">,</w:t>
      </w:r>
      <w:r>
        <w:t xml:space="preserve"> </w:t>
      </w:r>
      <w:r>
        <w:rPr>
          <w:rStyle w:val="VerbatimChar"/>
        </w:rPr>
        <w:t xml:space="preserve">code_julia</w:t>
      </w:r>
      <w:r>
        <w:br/>
      </w:r>
      <w:r>
        <w:t xml:space="preserve">&amp;</w:t>
      </w:r>
      <w:r>
        <w:t xml:space="preserve"> </w:t>
      </w:r>
      <w:r>
        <w:rPr>
          <w:rStyle w:val="VerbatimChar"/>
        </w:rPr>
        <w:t xml:space="preserve">direct_fit</w:t>
      </w:r>
      <w:r>
        <w:t xml:space="preserve"> </w:t>
      </w:r>
      <w:r>
        <w:t xml:space="preserve">&amp; (curve fitting) &amp;</w:t>
      </w:r>
      <w:r>
        <w:t xml:space="preserve"> </w:t>
      </w:r>
      <w:r>
        <w:rPr>
          <w:rStyle w:val="VerbatimChar"/>
        </w:rPr>
        <w:t xml:space="preserve">curve</w:t>
      </w:r>
      <w:r>
        <w:br/>
      </w:r>
      <w:r>
        <w:t xml:space="preserve">&amp;</w:t>
      </w:r>
      <w:r>
        <w:t xml:space="preserve"> </w:t>
      </w:r>
      <w:r>
        <w:rPr>
          <w:rStyle w:val="VerbatimChar"/>
        </w:rPr>
        <w:t xml:space="preserve">custom</w:t>
      </w:r>
      <w:r>
        <w:t xml:space="preserve"> </w:t>
      </w:r>
      <w:r>
        <w:t xml:space="preserve">&amp; (user-provided ODE) &amp;</w:t>
      </w:r>
      <w:r>
        <w:t xml:space="preserve"> </w:t>
      </w:r>
      <w:r>
        <w:rPr>
          <w:rStyle w:val="VerbatimChar"/>
        </w:rPr>
        <w:t xml:space="preserve">code</w:t>
      </w:r>
      <w:r>
        <w:t xml:space="preserve">,</w:t>
      </w:r>
      <w:r>
        <w:t xml:space="preserve"> </w:t>
      </w:r>
      <w:r>
        <w:rPr>
          <w:rStyle w:val="VerbatimChar"/>
        </w:rPr>
        <w:t xml:space="preserve">code_julia</w:t>
      </w:r>
      <w:r>
        <w:br/>
      </w:r>
    </w:p>
    <w:p>
      <w:pPr>
        <w:pStyle w:val="BodyText"/>
      </w:pPr>
      <w:r>
        <w:t xml:space="preserve">Each structured steady-state and accumulation model declares its fields as typed roles: a field can reference a calibration parameter (to be estimated), an extracted input (from the inputs layer), a curated reference value from a shared database, or a numeric literal. This role-based design allows the same template to serve different estimation scenarios depending on which field is treated as the unknown.</w:t>
      </w:r>
    </w:p>
    <w:bookmarkEnd w:id="24"/>
    <w:bookmarkStart w:id="35" w:name="sec:validators"/>
    <w:p>
      <w:pPr>
        <w:pStyle w:val="Heading1"/>
      </w:pPr>
      <w:r>
        <w:rPr>
          <w:rStyle w:val="SectionNumber"/>
        </w:rPr>
        <w:t xml:space="preserve">3</w:t>
      </w:r>
      <w:r>
        <w:tab/>
      </w:r>
      <w:r>
        <w:t xml:space="preserve">Validation Checks</w:t>
      </w:r>
    </w:p>
    <w:p>
      <w:pPr>
        <w:pStyle w:val="FirstParagraph"/>
      </w:pPr>
      <w:r>
        <w:t xml:space="preserve">The validation framework includes ten automated checks implemented as Pydantic</w:t>
      </w:r>
      <w:r>
        <w:t xml:space="preserve"> </w:t>
      </w:r>
      <w:r>
        <w:rPr>
          <w:rStyle w:val="VerbatimChar"/>
        </w:rPr>
        <w:t xml:space="preserve">@model_validator</w:t>
      </w:r>
      <w:r>
        <w:t xml:space="preserve"> </w:t>
      </w:r>
      <w:r>
        <w:t xml:space="preserve">methods. Each validator runs after field parsing and raises a</w:t>
      </w:r>
      <w:r>
        <w:t xml:space="preserve"> </w:t>
      </w:r>
      <w:r>
        <w:rPr>
          <w:rStyle w:val="VerbatimChar"/>
        </w:rPr>
        <w:t xml:space="preserve">ValidationError</w:t>
      </w:r>
      <w:r>
        <w:t xml:space="preserve"> </w:t>
      </w:r>
      <w:r>
        <w:t xml:space="preserve">with detailed messages when constraints are violated.</w:t>
      </w:r>
    </w:p>
    <w:bookmarkStart w:id="25" w:name="summary-of-validators"/>
    <w:p>
      <w:pPr>
        <w:pStyle w:val="Heading2"/>
      </w:pPr>
      <w:r>
        <w:rPr>
          <w:rStyle w:val="SectionNumber"/>
        </w:rPr>
        <w:t xml:space="preserve">3.1</w:t>
      </w:r>
      <w:r>
        <w:tab/>
      </w:r>
      <w:r>
        <w:t xml:space="preserve">Summary of Validators</w:t>
      </w:r>
    </w:p>
    <w:p>
      <w:pPr>
        <w:numPr>
          <w:ilvl w:val="0"/>
          <w:numId w:val="1003"/>
        </w:numPr>
      </w:pPr>
      <w:r>
        <w:rPr>
          <w:b/>
          <w:bCs/>
        </w:rPr>
        <w:t xml:space="preserve">Input reference validation</w:t>
      </w:r>
      <w:r>
        <w:t xml:space="preserve">: All</w:t>
      </w:r>
      <w:r>
        <w:t xml:space="preserve"> </w:t>
      </w:r>
      <w:r>
        <w:rPr>
          <w:rStyle w:val="VerbatimChar"/>
        </w:rPr>
        <w:t xml:space="preserve">uses_inputs</w:t>
      </w:r>
      <w:r>
        <w:t xml:space="preserve"> </w:t>
      </w:r>
      <w:r>
        <w:t xml:space="preserve">references match defined input names</w:t>
      </w:r>
    </w:p>
    <w:p>
      <w:pPr>
        <w:numPr>
          <w:ilvl w:val="0"/>
          <w:numId w:val="1003"/>
        </w:numPr>
      </w:pPr>
      <w:r>
        <w:rPr>
          <w:b/>
          <w:bCs/>
        </w:rPr>
        <w:t xml:space="preserve">Source reference validation</w:t>
      </w:r>
      <w:r>
        <w:t xml:space="preserve">: All</w:t>
      </w:r>
      <w:r>
        <w:t xml:space="preserve"> </w:t>
      </w:r>
      <w:r>
        <w:rPr>
          <w:rStyle w:val="VerbatimChar"/>
        </w:rPr>
        <w:t xml:space="preserve">source_ref</w:t>
      </w:r>
      <w:r>
        <w:t xml:space="preserve"> </w:t>
      </w:r>
      <w:r>
        <w:t xml:space="preserve">values match defined source tags</w:t>
      </w:r>
    </w:p>
    <w:p>
      <w:pPr>
        <w:numPr>
          <w:ilvl w:val="0"/>
          <w:numId w:val="1003"/>
        </w:numPr>
      </w:pPr>
      <w:r>
        <w:rPr>
          <w:b/>
          <w:bCs/>
        </w:rPr>
        <w:t xml:space="preserve">Parameter reference validation</w:t>
      </w:r>
      <w:r>
        <w:t xml:space="preserve">: Model parameter roles reference defined parameters</w:t>
      </w:r>
    </w:p>
    <w:p>
      <w:pPr>
        <w:numPr>
          <w:ilvl w:val="0"/>
          <w:numId w:val="1003"/>
        </w:numPr>
      </w:pPr>
      <w:r>
        <w:rPr>
          <w:b/>
          <w:bCs/>
        </w:rPr>
        <w:t xml:space="preserve">State variable reference validation</w:t>
      </w:r>
      <w:r>
        <w:t xml:space="preserve">: Observable</w:t>
      </w:r>
      <w:r>
        <w:t xml:space="preserve"> </w:t>
      </w:r>
      <w:r>
        <w:rPr>
          <w:rStyle w:val="VerbatimChar"/>
        </w:rPr>
        <w:t xml:space="preserve">state_variables</w:t>
      </w:r>
      <w:r>
        <w:t xml:space="preserve"> </w:t>
      </w:r>
      <w:r>
        <w:t xml:space="preserve">match defined state variables</w:t>
      </w:r>
    </w:p>
    <w:p>
      <w:pPr>
        <w:numPr>
          <w:ilvl w:val="0"/>
          <w:numId w:val="1003"/>
        </w:numPr>
      </w:pPr>
      <w:r>
        <w:rPr>
          <w:b/>
          <w:bCs/>
        </w:rPr>
        <w:t xml:space="preserve">DOI resolution</w:t>
      </w:r>
      <w:r>
        <w:t xml:space="preserve">: All DOIs resolve via CrossRef API</w:t>
      </w:r>
    </w:p>
    <w:p>
      <w:pPr>
        <w:numPr>
          <w:ilvl w:val="0"/>
          <w:numId w:val="1003"/>
        </w:numPr>
      </w:pPr>
      <w:r>
        <w:rPr>
          <w:b/>
          <w:bCs/>
        </w:rPr>
        <w:t xml:space="preserve">Value-in-snippet validation</w:t>
      </w:r>
      <w:r>
        <w:t xml:space="preserve">: Extracted values appear verbatim in quoted snippets</w:t>
      </w:r>
    </w:p>
    <w:p>
      <w:pPr>
        <w:numPr>
          <w:ilvl w:val="0"/>
          <w:numId w:val="1003"/>
        </w:numPr>
      </w:pPr>
      <w:r>
        <w:rPr>
          <w:b/>
          <w:bCs/>
        </w:rPr>
        <w:t xml:space="preserve">Unit validation</w:t>
      </w:r>
      <w:r>
        <w:t xml:space="preserve">: All unit strings parse with Pint</w:t>
      </w:r>
    </w:p>
    <w:p>
      <w:pPr>
        <w:numPr>
          <w:ilvl w:val="0"/>
          <w:numId w:val="1003"/>
        </w:numPr>
      </w:pPr>
      <w:r>
        <w:rPr>
          <w:b/>
          <w:bCs/>
        </w:rPr>
        <w:t xml:space="preserve">Code syntax validation</w:t>
      </w:r>
      <w:r>
        <w:t xml:space="preserve">: Custom code passes Python AST parsing</w:t>
      </w:r>
    </w:p>
    <w:p>
      <w:pPr>
        <w:numPr>
          <w:ilvl w:val="0"/>
          <w:numId w:val="1003"/>
        </w:numPr>
      </w:pPr>
      <w:r>
        <w:rPr>
          <w:b/>
          <w:bCs/>
        </w:rPr>
        <w:t xml:space="preserve">Span ordering validation</w:t>
      </w:r>
      <w:r>
        <w:t xml:space="preserve">: Time spans have start</w:t>
      </w:r>
      <w:r>
        <w:t xml:space="preserve"> </w:t>
      </w:r>
      <m:oMath>
        <m:r>
          <m:rPr>
            <m:sty m:val="p"/>
          </m:rPr>
          <m:t>&lt;</m:t>
        </m:r>
      </m:oMath>
      <w:r>
        <w:t xml:space="preserve"> </w:t>
      </w:r>
      <w:r>
        <w:t xml:space="preserve">end</w:t>
      </w:r>
    </w:p>
    <w:p>
      <w:pPr>
        <w:numPr>
          <w:ilvl w:val="0"/>
          <w:numId w:val="1003"/>
        </w:numPr>
      </w:pPr>
      <w:r>
        <w:rPr>
          <w:b/>
          <w:bCs/>
        </w:rPr>
        <w:t xml:space="preserve">ODE model requirements</w:t>
      </w:r>
      <w:r>
        <w:t xml:space="preserve">: ODE models have required state variables and spans</w:t>
      </w:r>
    </w:p>
    <w:bookmarkEnd w:id="25"/>
    <w:bookmarkStart w:id="26" w:name="doi-resolution-validator"/>
    <w:p>
      <w:pPr>
        <w:pStyle w:val="Heading2"/>
      </w:pPr>
      <w:r>
        <w:rPr>
          <w:rStyle w:val="SectionNumber"/>
        </w:rPr>
        <w:t xml:space="preserve">3.2</w:t>
      </w:r>
      <w:r>
        <w:tab/>
      </w:r>
      <w:r>
        <w:t xml:space="preserve">DOI Resolution Validator</w:t>
      </w:r>
    </w:p>
    <w:p>
      <w:pPr>
        <w:pStyle w:val="FirstParagraph"/>
      </w:pPr>
      <w:r>
        <w:t xml:space="preserve">The DOI validator queries the CrossRef API to verify that every cited DOI resolves to a valid publication. This catches fabricated citations before they enter the calibration pipeline. The validator also performs fuzzy matching on title and year to detect metadata inconsistencies.</w:t>
      </w:r>
    </w:p>
    <w:p>
      <w:pPr>
        <w:pStyle w:val="SourceCode"/>
      </w:pPr>
      <w:r>
        <w:rPr>
          <w:rStyle w:val="VerbatimChar"/>
        </w:rPr>
        <w:t xml:space="preserve">def resolve_doi(doi: str) -&gt; Optional[dict]:</w:t>
      </w:r>
      <w:r>
        <w:br/>
      </w:r>
      <w:r>
        <w:rPr>
          <w:rStyle w:val="VerbatimChar"/>
        </w:rPr>
        <w:t xml:space="preserve">    """Resolve DOI and get metadata from CrossRef."""</w:t>
      </w:r>
      <w:r>
        <w:br/>
      </w:r>
      <w:r>
        <w:rPr>
          <w:rStyle w:val="VerbatimChar"/>
        </w:rPr>
        <w:t xml:space="preserve">    doi_clean = doi.replace("https://doi.org/", "").strip()</w:t>
      </w:r>
      <w:r>
        <w:br/>
      </w:r>
      <w:r>
        <w:br/>
      </w:r>
      <w:r>
        <w:rPr>
          <w:rStyle w:val="VerbatimChar"/>
        </w:rPr>
        <w:t xml:space="preserve">    url = f"https://doi.org/{doi_clean}"</w:t>
      </w:r>
      <w:r>
        <w:br/>
      </w:r>
      <w:r>
        <w:rPr>
          <w:rStyle w:val="VerbatimChar"/>
        </w:rPr>
        <w:t xml:space="preserve">    headers = {"Accept": "application/vnd.citationstyles.csl+json"}</w:t>
      </w:r>
      <w:r>
        <w:br/>
      </w:r>
      <w:r>
        <w:rPr>
          <w:rStyle w:val="VerbatimChar"/>
        </w:rPr>
        <w:t xml:space="preserve">    response = requests.get(url, headers=headers, timeout=10)</w:t>
      </w:r>
      <w:r>
        <w:br/>
      </w:r>
      <w:r>
        <w:br/>
      </w:r>
      <w:r>
        <w:rPr>
          <w:rStyle w:val="VerbatimChar"/>
        </w:rPr>
        <w:t xml:space="preserve">    if response.status_code != 200:</w:t>
      </w:r>
      <w:r>
        <w:br/>
      </w:r>
      <w:r>
        <w:rPr>
          <w:rStyle w:val="VerbatimChar"/>
        </w:rPr>
        <w:t xml:space="preserve">        return None  # DOI does not resolve</w:t>
      </w:r>
      <w:r>
        <w:br/>
      </w:r>
      <w:r>
        <w:br/>
      </w:r>
      <w:r>
        <w:rPr>
          <w:rStyle w:val="VerbatimChar"/>
        </w:rPr>
        <w:t xml:space="preserve">    metadata = response.json()</w:t>
      </w:r>
      <w:r>
        <w:br/>
      </w:r>
      <w:r>
        <w:rPr>
          <w:rStyle w:val="VerbatimChar"/>
        </w:rPr>
        <w:t xml:space="preserve">    return {</w:t>
      </w:r>
      <w:r>
        <w:br/>
      </w:r>
      <w:r>
        <w:rPr>
          <w:rStyle w:val="VerbatimChar"/>
        </w:rPr>
        <w:t xml:space="preserve">        "title": metadata.get("title", ""),</w:t>
      </w:r>
      <w:r>
        <w:br/>
      </w:r>
      <w:r>
        <w:rPr>
          <w:rStyle w:val="VerbatimChar"/>
        </w:rPr>
        <w:t xml:space="preserve">        "first_author": metadata.get("author", [{}])[0].get("family", ""),</w:t>
      </w:r>
      <w:r>
        <w:br/>
      </w:r>
      <w:r>
        <w:rPr>
          <w:rStyle w:val="VerbatimChar"/>
        </w:rPr>
        <w:t xml:space="preserve">        "year": metadata.get("issued", {}).get("date-parts", [[]])[0][0]</w:t>
      </w:r>
      <w:r>
        <w:br/>
      </w:r>
      <w:r>
        <w:rPr>
          <w:rStyle w:val="VerbatimChar"/>
        </w:rPr>
        <w:t xml:space="preserve">    }</w:t>
      </w:r>
      <w:r>
        <w:br/>
      </w:r>
      <w:r>
        <w:br/>
      </w:r>
      <w:r>
        <w:rPr>
          <w:rStyle w:val="VerbatimChar"/>
        </w:rPr>
        <w:t xml:space="preserve">@model_validator(mode="after")</w:t>
      </w:r>
      <w:r>
        <w:br/>
      </w:r>
      <w:r>
        <w:rPr>
          <w:rStyle w:val="VerbatimChar"/>
        </w:rPr>
        <w:t xml:space="preserve">def validate_doi_resolution_and_metadata(self) -&gt; "SubmodelTarget":</w:t>
      </w:r>
      <w:r>
        <w:br/>
      </w:r>
      <w:r>
        <w:rPr>
          <w:rStyle w:val="VerbatimChar"/>
        </w:rPr>
        <w:t xml:space="preserve">    """Validate that DOIs resolve and metadata matches."""</w:t>
      </w:r>
      <w:r>
        <w:br/>
      </w:r>
      <w:r>
        <w:rPr>
          <w:rStyle w:val="VerbatimChar"/>
        </w:rPr>
        <w:t xml:space="preserve">    errors = []</w:t>
      </w:r>
      <w:r>
        <w:br/>
      </w:r>
      <w:r>
        <w:br/>
      </w:r>
      <w:r>
        <w:rPr>
          <w:rStyle w:val="VerbatimChar"/>
        </w:rPr>
        <w:t xml:space="preserve">    metadata = resolve_doi(self.primary_data_source.doi)</w:t>
      </w:r>
      <w:r>
        <w:br/>
      </w:r>
      <w:r>
        <w:rPr>
          <w:rStyle w:val="VerbatimChar"/>
        </w:rPr>
        <w:t xml:space="preserve">    if metadata is None:</w:t>
      </w:r>
      <w:r>
        <w:br/>
      </w:r>
      <w:r>
        <w:rPr>
          <w:rStyle w:val="VerbatimChar"/>
        </w:rPr>
        <w:t xml:space="preserve">        errors.append(f"DOI '{self.primary_data_source.doi}' failed to resolve")</w:t>
      </w:r>
      <w:r>
        <w:br/>
      </w:r>
      <w:r>
        <w:rPr>
          <w:rStyle w:val="VerbatimChar"/>
        </w:rPr>
        <w:t xml:space="preserve">    else:</w:t>
      </w:r>
      <w:r>
        <w:br/>
      </w:r>
      <w:r>
        <w:rPr>
          <w:rStyle w:val="VerbatimChar"/>
        </w:rPr>
        <w:t xml:space="preserve">        # Check title match (fuzzy)</w:t>
      </w:r>
      <w:r>
        <w:br/>
      </w:r>
      <w:r>
        <w:rPr>
          <w:rStyle w:val="VerbatimChar"/>
        </w:rPr>
        <w:t xml:space="preserve">        if not fuzzy_match(self.primary_data_source.title, metadata["title"]):</w:t>
      </w:r>
      <w:r>
        <w:br/>
      </w:r>
      <w:r>
        <w:rPr>
          <w:rStyle w:val="VerbatimChar"/>
        </w:rPr>
        <w:t xml:space="preserve">            errors.append(f"Title mismatch with CrossRef")</w:t>
      </w:r>
      <w:r>
        <w:br/>
      </w:r>
      <w:r>
        <w:rPr>
          <w:rStyle w:val="VerbatimChar"/>
        </w:rPr>
        <w:t xml:space="preserve">        # Check year match</w:t>
      </w:r>
      <w:r>
        <w:br/>
      </w:r>
      <w:r>
        <w:rPr>
          <w:rStyle w:val="VerbatimChar"/>
        </w:rPr>
        <w:t xml:space="preserve">        if self.primary_data_source.year != metadata["year"]:</w:t>
      </w:r>
      <w:r>
        <w:br/>
      </w:r>
      <w:r>
        <w:rPr>
          <w:rStyle w:val="VerbatimChar"/>
        </w:rPr>
        <w:t xml:space="preserve">            errors.append(f"Year mismatch: {self.primary_data_source.year} vs {metadata['year']}")</w:t>
      </w:r>
      <w:r>
        <w:br/>
      </w:r>
      <w:r>
        <w:br/>
      </w:r>
      <w:r>
        <w:rPr>
          <w:rStyle w:val="VerbatimChar"/>
        </w:rPr>
        <w:t xml:space="preserve">    if errors:</w:t>
      </w:r>
      <w:r>
        <w:br/>
      </w:r>
      <w:r>
        <w:rPr>
          <w:rStyle w:val="VerbatimChar"/>
        </w:rPr>
        <w:t xml:space="preserve">        raise ValueError("DOI validation errors:\n  - " + "\n  - ".join(errors))</w:t>
      </w:r>
      <w:r>
        <w:br/>
      </w:r>
      <w:r>
        <w:rPr>
          <w:rStyle w:val="VerbatimChar"/>
        </w:rPr>
        <w:t xml:space="preserve">    return self</w:t>
      </w:r>
    </w:p>
    <w:p>
      <w:pPr>
        <w:pStyle w:val="FirstParagraph"/>
      </w:pPr>
      <w:r>
        <w:rPr>
          <w:b/>
          <w:bCs/>
        </w:rPr>
        <w:t xml:space="preserve">Example failure</w:t>
      </w:r>
      <w:r>
        <w:t xml:space="preserve">: If an LLM fabricates a citation with DOI</w:t>
      </w:r>
      <w:r>
        <w:t xml:space="preserve"> </w:t>
      </w:r>
      <w:r>
        <w:rPr>
          <w:rStyle w:val="VerbatimChar"/>
        </w:rPr>
        <w:t xml:space="preserve">10.1234/fake.2023.12345</w:t>
      </w:r>
      <w:r>
        <w:t xml:space="preserve">, the CrossRef query returns a 404 error and validation fails with:</w:t>
      </w:r>
    </w:p>
    <w:p>
      <w:pPr>
        <w:pStyle w:val="SourceCode"/>
      </w:pPr>
      <w:r>
        <w:rPr>
          <w:rStyle w:val="VerbatimChar"/>
        </w:rPr>
        <w:t xml:space="preserve">ValidationError: DOI '10.1234/fake.2023.12345' failed to resolve.</w:t>
      </w:r>
      <w:r>
        <w:br/>
      </w:r>
      <w:r>
        <w:rPr>
          <w:rStyle w:val="VerbatimChar"/>
        </w:rPr>
        <w:t xml:space="preserve">Verify at https://doi.org/10.1234/fake.2023.12345</w:t>
      </w:r>
    </w:p>
    <w:bookmarkEnd w:id="26"/>
    <w:bookmarkStart w:id="27" w:name="value-in-snippet-validator"/>
    <w:p>
      <w:pPr>
        <w:pStyle w:val="Heading2"/>
      </w:pPr>
      <w:r>
        <w:rPr>
          <w:rStyle w:val="SectionNumber"/>
        </w:rPr>
        <w:t xml:space="preserve">3.3</w:t>
      </w:r>
      <w:r>
        <w:tab/>
      </w:r>
      <w:r>
        <w:t xml:space="preserve">Value-in-Snippet Validator</w:t>
      </w:r>
    </w:p>
    <w:p>
      <w:pPr>
        <w:pStyle w:val="FirstParagraph"/>
      </w:pPr>
      <w:r>
        <w:t xml:space="preserve">The value-in-snippet validator checks that each extracted numeric value appears in its associated source text. This catches hallucinations where an LLM extracts a plausible but incorrect value. The validator handles multiple numeric formats including scientific notation, percentages, and Unicode superscripts.</w:t>
      </w:r>
    </w:p>
    <w:p>
      <w:pPr>
        <w:pStyle w:val="SourceCode"/>
      </w:pPr>
      <w:r>
        <w:rPr>
          <w:rStyle w:val="VerbatimChar"/>
        </w:rPr>
        <w:t xml:space="preserve">def check_value_in_text(text: str, value: float) -&gt; bool:</w:t>
      </w:r>
      <w:r>
        <w:br/>
      </w:r>
      <w:r>
        <w:rPr>
          <w:rStyle w:val="VerbatimChar"/>
        </w:rPr>
        <w:t xml:space="preserve">    """Check if numeric value appears in text."""</w:t>
      </w:r>
      <w:r>
        <w:br/>
      </w:r>
      <w:r>
        <w:rPr>
          <w:rStyle w:val="VerbatimChar"/>
        </w:rPr>
        <w:t xml:space="preserve">    text_norm = text.lower().replace(",", "")</w:t>
      </w:r>
      <w:r>
        <w:br/>
      </w:r>
      <w:r>
        <w:rPr>
          <w:rStyle w:val="VerbatimChar"/>
        </w:rPr>
        <w:t xml:space="preserve">    patterns = []</w:t>
      </w:r>
      <w:r>
        <w:br/>
      </w:r>
      <w:r>
        <w:br/>
      </w:r>
      <w:r>
        <w:rPr>
          <w:rStyle w:val="VerbatimChar"/>
        </w:rPr>
        <w:t xml:space="preserve">    # Direct value and common formats</w:t>
      </w:r>
      <w:r>
        <w:br/>
      </w:r>
      <w:r>
        <w:rPr>
          <w:rStyle w:val="VerbatimChar"/>
        </w:rPr>
        <w:t xml:space="preserve">    patterns.append(str(value))</w:t>
      </w:r>
      <w:r>
        <w:br/>
      </w:r>
      <w:r>
        <w:rPr>
          <w:rStyle w:val="VerbatimChar"/>
        </w:rPr>
        <w:t xml:space="preserve">    patterns.append(f"{value:.1f}")</w:t>
      </w:r>
      <w:r>
        <w:br/>
      </w:r>
      <w:r>
        <w:rPr>
          <w:rStyle w:val="VerbatimChar"/>
        </w:rPr>
        <w:t xml:space="preserve">    patterns.append(f"{value:.2f}")</w:t>
      </w:r>
      <w:r>
        <w:br/>
      </w:r>
      <w:r>
        <w:br/>
      </w:r>
      <w:r>
        <w:rPr>
          <w:rStyle w:val="VerbatimChar"/>
        </w:rPr>
        <w:t xml:space="preserve">    # Scientific notation (e.g., "1.5e-3", "1.5E-03")</w:t>
      </w:r>
      <w:r>
        <w:br/>
      </w:r>
      <w:r>
        <w:rPr>
          <w:rStyle w:val="VerbatimChar"/>
        </w:rPr>
        <w:t xml:space="preserve">    if abs(value) &lt; 0.01 or abs(value) &gt; 1000:</w:t>
      </w:r>
      <w:r>
        <w:br/>
      </w:r>
      <w:r>
        <w:rPr>
          <w:rStyle w:val="VerbatimChar"/>
        </w:rPr>
        <w:t xml:space="preserve">        patterns.append(f"{value:e}")</w:t>
      </w:r>
      <w:r>
        <w:br/>
      </w:r>
      <w:r>
        <w:rPr>
          <w:rStyle w:val="VerbatimChar"/>
        </w:rPr>
        <w:t xml:space="preserve">        patterns.append(f"{value:.2e}")</w:t>
      </w:r>
      <w:r>
        <w:br/>
      </w:r>
      <w:r>
        <w:br/>
      </w:r>
      <w:r>
        <w:rPr>
          <w:rStyle w:val="VerbatimChar"/>
        </w:rPr>
        <w:t xml:space="preserve">    # Percentage format (if value is between 0 and 1)</w:t>
      </w:r>
      <w:r>
        <w:br/>
      </w:r>
      <w:r>
        <w:rPr>
          <w:rStyle w:val="VerbatimChar"/>
        </w:rPr>
        <w:t xml:space="preserve">    if 0 &lt; value &lt; 1:</w:t>
      </w:r>
      <w:r>
        <w:br/>
      </w:r>
      <w:r>
        <w:rPr>
          <w:rStyle w:val="VerbatimChar"/>
        </w:rPr>
        <w:t xml:space="preserve">        pct = value * 100</w:t>
      </w:r>
      <w:r>
        <w:br/>
      </w:r>
      <w:r>
        <w:rPr>
          <w:rStyle w:val="VerbatimChar"/>
        </w:rPr>
        <w:t xml:space="preserve">        patterns.extend([f"{pct}%", f"{pct:.0f}%", f"{pct:.1f}%"])</w:t>
      </w:r>
      <w:r>
        <w:br/>
      </w:r>
      <w:r>
        <w:br/>
      </w:r>
      <w:r>
        <w:rPr>
          <w:rStyle w:val="VerbatimChar"/>
        </w:rPr>
        <w:t xml:space="preserve">    return any(p.lower() in text_norm for p in patterns)</w:t>
      </w:r>
      <w:r>
        <w:br/>
      </w:r>
      <w:r>
        <w:br/>
      </w:r>
      <w:r>
        <w:rPr>
          <w:rStyle w:val="VerbatimChar"/>
        </w:rPr>
        <w:t xml:space="preserve">@model_validator(mode="after")</w:t>
      </w:r>
      <w:r>
        <w:br/>
      </w:r>
      <w:r>
        <w:rPr>
          <w:rStyle w:val="VerbatimChar"/>
        </w:rPr>
        <w:t xml:space="preserve">def validate_input_values_in_snippets(self) -&gt; "SubmodelTarget":</w:t>
      </w:r>
      <w:r>
        <w:br/>
      </w:r>
      <w:r>
        <w:rPr>
          <w:rStyle w:val="VerbatimChar"/>
        </w:rPr>
        <w:t xml:space="preserve">    """Validate that extracted values appear in their value_snippet."""</w:t>
      </w:r>
      <w:r>
        <w:br/>
      </w:r>
      <w:r>
        <w:rPr>
          <w:rStyle w:val="VerbatimChar"/>
        </w:rPr>
        <w:t xml:space="preserve">    errors = []</w:t>
      </w:r>
      <w:r>
        <w:br/>
      </w:r>
      <w:r>
        <w:rPr>
          <w:rStyle w:val="VerbatimChar"/>
        </w:rPr>
        <w:t xml:space="preserve">    for inp in self.inputs:</w:t>
      </w:r>
      <w:r>
        <w:br/>
      </w:r>
      <w:r>
        <w:rPr>
          <w:rStyle w:val="VerbatimChar"/>
        </w:rPr>
        <w:t xml:space="preserve">        if not inp.value_snippet:</w:t>
      </w:r>
      <w:r>
        <w:br/>
      </w:r>
      <w:r>
        <w:rPr>
          <w:rStyle w:val="VerbatimChar"/>
        </w:rPr>
        <w:t xml:space="preserve">            continue</w:t>
      </w:r>
      <w:r>
        <w:br/>
      </w:r>
      <w:r>
        <w:rPr>
          <w:rStyle w:val="VerbatimChar"/>
        </w:rPr>
        <w:t xml:space="preserve">        # Skip types that may not have explicit values in text</w:t>
      </w:r>
      <w:r>
        <w:br/>
      </w:r>
      <w:r>
        <w:rPr>
          <w:rStyle w:val="VerbatimChar"/>
        </w:rPr>
        <w:t xml:space="preserve">        if inp.input_type in (InputType.INFERRED_ESTIMATE, InputType.ASSUMED_VALUE):</w:t>
      </w:r>
      <w:r>
        <w:br/>
      </w:r>
      <w:r>
        <w:rPr>
          <w:rStyle w:val="VerbatimChar"/>
        </w:rPr>
        <w:t xml:space="preserve">            continue</w:t>
      </w:r>
      <w:r>
        <w:br/>
      </w:r>
      <w:r>
        <w:br/>
      </w:r>
      <w:r>
        <w:rPr>
          <w:rStyle w:val="VerbatimChar"/>
        </w:rPr>
        <w:t xml:space="preserve">        if not check_value_in_text(inp.value_snippet, inp.value):</w:t>
      </w:r>
      <w:r>
        <w:br/>
      </w:r>
      <w:r>
        <w:rPr>
          <w:rStyle w:val="VerbatimChar"/>
        </w:rPr>
        <w:t xml:space="preserve">            errors.append(</w:t>
      </w:r>
      <w:r>
        <w:br/>
      </w:r>
      <w:r>
        <w:rPr>
          <w:rStyle w:val="VerbatimChar"/>
        </w:rPr>
        <w:t xml:space="preserve">                f"Input '{inp.name}': value {inp.value} not found in snippet "</w:t>
      </w:r>
      <w:r>
        <w:br/>
      </w:r>
      <w:r>
        <w:rPr>
          <w:rStyle w:val="VerbatimChar"/>
        </w:rPr>
        <w:t xml:space="preserve">                f"'{inp.value_snippet[:60]}...'"</w:t>
      </w:r>
      <w:r>
        <w:br/>
      </w:r>
      <w:r>
        <w:rPr>
          <w:rStyle w:val="VerbatimChar"/>
        </w:rPr>
        <w:t xml:space="preserve">            )</w:t>
      </w:r>
      <w:r>
        <w:br/>
      </w:r>
      <w:r>
        <w:br/>
      </w:r>
      <w:r>
        <w:rPr>
          <w:rStyle w:val="VerbatimChar"/>
        </w:rPr>
        <w:t xml:space="preserve">    if errors:</w:t>
      </w:r>
      <w:r>
        <w:br/>
      </w:r>
      <w:r>
        <w:rPr>
          <w:rStyle w:val="VerbatimChar"/>
        </w:rPr>
        <w:t xml:space="preserve">        raise ValueError("Value-snippet mismatches (possible hallucination):\n  - "</w:t>
      </w:r>
      <w:r>
        <w:br/>
      </w:r>
      <w:r>
        <w:rPr>
          <w:rStyle w:val="VerbatimChar"/>
        </w:rPr>
        <w:t xml:space="preserve">                        + "\n  - ".join(errors))</w:t>
      </w:r>
      <w:r>
        <w:br/>
      </w:r>
      <w:r>
        <w:rPr>
          <w:rStyle w:val="VerbatimChar"/>
        </w:rPr>
        <w:t xml:space="preserve">    return self</w:t>
      </w:r>
    </w:p>
    <w:p>
      <w:pPr>
        <w:pStyle w:val="FirstParagraph"/>
      </w:pPr>
      <w:r>
        <w:rPr>
          <w:b/>
          <w:bCs/>
        </w:rPr>
        <w:t xml:space="preserve">Example failure</w:t>
      </w:r>
      <w:r>
        <w:t xml:space="preserve">: If an input claims</w:t>
      </w:r>
      <w:r>
        <w:t xml:space="preserve"> </w:t>
      </w:r>
      <w:r>
        <w:rPr>
          <w:rStyle w:val="VerbatimChar"/>
        </w:rPr>
        <w:t xml:space="preserve">value: 4.37</w:t>
      </w:r>
      <w:r>
        <w:t xml:space="preserve"> </w:t>
      </w:r>
      <w:r>
        <w:t xml:space="preserve">but the snippet reads</w:t>
      </w:r>
      <w:r>
        <w:t xml:space="preserve"> </w:t>
      </w:r>
      <w:r>
        <w:t xml:space="preserve">“Cell proliferation was 3.21-fold of control”</w:t>
      </w:r>
      <w:r>
        <w:t xml:space="preserve">, validation fails with:</w:t>
      </w:r>
    </w:p>
    <w:p>
      <w:pPr>
        <w:pStyle w:val="SourceCode"/>
      </w:pPr>
      <w:r>
        <w:rPr>
          <w:rStyle w:val="VerbatimChar"/>
        </w:rPr>
        <w:t xml:space="preserve">ValidationError: Value-snippet mismatches (possible hallucination):</w:t>
      </w:r>
      <w:r>
        <w:br/>
      </w:r>
      <w:r>
        <w:rPr>
          <w:rStyle w:val="VerbatimChar"/>
        </w:rPr>
        <w:t xml:space="preserve">  - Input 'pdgf_fold_mean': value 4.37 not found in snippet</w:t>
      </w:r>
      <w:r>
        <w:br/>
      </w:r>
      <w:r>
        <w:rPr>
          <w:rStyle w:val="VerbatimChar"/>
        </w:rPr>
        <w:t xml:space="preserve">    'Cell proliferation was 3.21-fold of control...'</w:t>
      </w:r>
    </w:p>
    <w:p>
      <w:pPr>
        <w:pStyle w:val="FirstParagraph"/>
      </w:pPr>
      <w:r>
        <w:t xml:space="preserve">This validator is particularly effective because LLMs that hallucinate values rarely fabricate consistent snippets—the mismatch provides a reliable detection signal.</w:t>
      </w:r>
    </w:p>
    <w:bookmarkEnd w:id="27"/>
    <w:bookmarkStart w:id="28" w:name="unit-validation"/>
    <w:p>
      <w:pPr>
        <w:pStyle w:val="Heading2"/>
      </w:pPr>
      <w:r>
        <w:rPr>
          <w:rStyle w:val="SectionNumber"/>
        </w:rPr>
        <w:t xml:space="preserve">3.4</w:t>
      </w:r>
      <w:r>
        <w:tab/>
      </w:r>
      <w:r>
        <w:t xml:space="preserve">Unit Validation</w:t>
      </w:r>
    </w:p>
    <w:p>
      <w:pPr>
        <w:pStyle w:val="FirstParagraph"/>
      </w:pPr>
      <w:r>
        <w:t xml:space="preserve">The unit validator parses all unit strings using Pint, a Python library for physical quantities. Malformed or unrecognized units trigger validation failure.</w:t>
      </w:r>
    </w:p>
    <w:p>
      <w:pPr>
        <w:pStyle w:val="SourceCode"/>
      </w:pPr>
      <w:r>
        <w:rPr>
          <w:rStyle w:val="VerbatimChar"/>
        </w:rPr>
        <w:t xml:space="preserve">@model_validator(mode="after")</w:t>
      </w:r>
      <w:r>
        <w:br/>
      </w:r>
      <w:r>
        <w:rPr>
          <w:rStyle w:val="VerbatimChar"/>
        </w:rPr>
        <w:t xml:space="preserve">def validate_units_are_valid_pint(self) -&gt; "SubmodelTarget":</w:t>
      </w:r>
      <w:r>
        <w:br/>
      </w:r>
      <w:r>
        <w:rPr>
          <w:rStyle w:val="VerbatimChar"/>
        </w:rPr>
        <w:t xml:space="preserve">    """Validate that all unit strings are valid Pint units."""</w:t>
      </w:r>
      <w:r>
        <w:br/>
      </w:r>
      <w:r>
        <w:rPr>
          <w:rStyle w:val="VerbatimChar"/>
        </w:rPr>
        <w:t xml:space="preserve">    from pint import UnitRegistry</w:t>
      </w:r>
      <w:r>
        <w:br/>
      </w:r>
      <w:r>
        <w:rPr>
          <w:rStyle w:val="VerbatimChar"/>
        </w:rPr>
        <w:t xml:space="preserve">    ureg = UnitRegistry()</w:t>
      </w:r>
      <w:r>
        <w:br/>
      </w:r>
      <w:r>
        <w:rPr>
          <w:rStyle w:val="VerbatimChar"/>
        </w:rPr>
        <w:t xml:space="preserve">    errors = []</w:t>
      </w:r>
      <w:r>
        <w:br/>
      </w:r>
      <w:r>
        <w:br/>
      </w:r>
      <w:r>
        <w:rPr>
          <w:rStyle w:val="VerbatimChar"/>
        </w:rPr>
        <w:t xml:space="preserve">    def check_unit(unit_str: str, location: str):</w:t>
      </w:r>
      <w:r>
        <w:br/>
      </w:r>
      <w:r>
        <w:rPr>
          <w:rStyle w:val="VerbatimChar"/>
        </w:rPr>
        <w:t xml:space="preserve">        try:</w:t>
      </w:r>
      <w:r>
        <w:br/>
      </w:r>
      <w:r>
        <w:rPr>
          <w:rStyle w:val="VerbatimChar"/>
        </w:rPr>
        <w:t xml:space="preserve">            ureg(unit_str)</w:t>
      </w:r>
      <w:r>
        <w:br/>
      </w:r>
      <w:r>
        <w:rPr>
          <w:rStyle w:val="VerbatimChar"/>
        </w:rPr>
        <w:t xml:space="preserve">        except Exception as e:</w:t>
      </w:r>
      <w:r>
        <w:br/>
      </w:r>
      <w:r>
        <w:rPr>
          <w:rStyle w:val="VerbatimChar"/>
        </w:rPr>
        <w:t xml:space="preserve">            errors.append(f"{location}: '{unit_str}' is not valid ({e})")</w:t>
      </w:r>
      <w:r>
        <w:br/>
      </w:r>
      <w:r>
        <w:br/>
      </w:r>
      <w:r>
        <w:rPr>
          <w:rStyle w:val="VerbatimChar"/>
        </w:rPr>
        <w:t xml:space="preserve">    for inp in self.inputs:</w:t>
      </w:r>
      <w:r>
        <w:br/>
      </w:r>
      <w:r>
        <w:rPr>
          <w:rStyle w:val="VerbatimChar"/>
        </w:rPr>
        <w:t xml:space="preserve">        check_unit(inp.units, f"Input '{inp.name}'")</w:t>
      </w:r>
      <w:r>
        <w:br/>
      </w:r>
      <w:r>
        <w:rPr>
          <w:rStyle w:val="VerbatimChar"/>
        </w:rPr>
        <w:t xml:space="preserve">    for param in self.calibration.parameters:</w:t>
      </w:r>
      <w:r>
        <w:br/>
      </w:r>
      <w:r>
        <w:rPr>
          <w:rStyle w:val="VerbatimChar"/>
        </w:rPr>
        <w:t xml:space="preserve">        check_unit(param.units, f"Parameter '{param.name}'")</w:t>
      </w:r>
      <w:r>
        <w:br/>
      </w:r>
      <w:r>
        <w:br/>
      </w:r>
      <w:r>
        <w:rPr>
          <w:rStyle w:val="VerbatimChar"/>
        </w:rPr>
        <w:t xml:space="preserve">    if errors:</w:t>
      </w:r>
      <w:r>
        <w:br/>
      </w:r>
      <w:r>
        <w:rPr>
          <w:rStyle w:val="VerbatimChar"/>
        </w:rPr>
        <w:t xml:space="preserve">        raise ValueError("Invalid Pint units:\n  - " + "\n  - ".join(errors))</w:t>
      </w:r>
      <w:r>
        <w:br/>
      </w:r>
      <w:r>
        <w:rPr>
          <w:rStyle w:val="VerbatimChar"/>
        </w:rPr>
        <w:t xml:space="preserve">    return self</w:t>
      </w:r>
    </w:p>
    <w:p>
      <w:pPr>
        <w:pStyle w:val="FirstParagraph"/>
      </w:pPr>
      <w:r>
        <w:rPr>
          <w:b/>
          <w:bCs/>
        </w:rPr>
        <w:t xml:space="preserve">Example failure</w:t>
      </w:r>
      <w:r>
        <w:t xml:space="preserve">: If a parameter specifies</w:t>
      </w:r>
      <w:r>
        <w:t xml:space="preserve"> </w:t>
      </w:r>
      <w:r>
        <w:rPr>
          <w:rStyle w:val="VerbatimChar"/>
        </w:rPr>
        <w:t xml:space="preserve">units: cells/mL/day</w:t>
      </w:r>
      <w:r>
        <w:t xml:space="preserve"> </w:t>
      </w:r>
      <w:r>
        <w:t xml:space="preserve">(invalid compound unit), validation fails with:</w:t>
      </w:r>
    </w:p>
    <w:p>
      <w:pPr>
        <w:pStyle w:val="SourceCode"/>
      </w:pPr>
      <w:r>
        <w:rPr>
          <w:rStyle w:val="VerbatimChar"/>
        </w:rPr>
        <w:t xml:space="preserve">ValidationError: Invalid Pint units:</w:t>
      </w:r>
      <w:r>
        <w:br/>
      </w:r>
      <w:r>
        <w:rPr>
          <w:rStyle w:val="VerbatimChar"/>
        </w:rPr>
        <w:t xml:space="preserve">  - Parameter 'k_recruit': 'cells/mL/day' is not valid (...)</w:t>
      </w:r>
    </w:p>
    <w:bookmarkEnd w:id="28"/>
    <w:bookmarkStart w:id="29" w:name="reference-consistency-validators"/>
    <w:p>
      <w:pPr>
        <w:pStyle w:val="Heading2"/>
      </w:pPr>
      <w:r>
        <w:rPr>
          <w:rStyle w:val="SectionNumber"/>
        </w:rPr>
        <w:t xml:space="preserve">3.5</w:t>
      </w:r>
      <w:r>
        <w:tab/>
      </w:r>
      <w:r>
        <w:t xml:space="preserve">Reference Consistency Validators</w:t>
      </w:r>
    </w:p>
    <w:p>
      <w:pPr>
        <w:pStyle w:val="FirstParagraph"/>
      </w:pPr>
      <w:r>
        <w:t xml:space="preserve">Four validators check that all cross-references within the schema are consistent:</w:t>
      </w:r>
    </w:p>
    <w:p>
      <w:pPr>
        <w:numPr>
          <w:ilvl w:val="0"/>
          <w:numId w:val="1004"/>
        </w:numPr>
      </w:pPr>
      <w:r>
        <w:rPr>
          <w:b/>
          <w:bCs/>
        </w:rPr>
        <w:t xml:space="preserve">Input references</w:t>
      </w:r>
      <w:r>
        <w:t xml:space="preserve">: Every</w:t>
      </w:r>
      <w:r>
        <w:t xml:space="preserve"> </w:t>
      </w:r>
      <w:r>
        <w:rPr>
          <w:rStyle w:val="VerbatimChar"/>
        </w:rPr>
        <w:t xml:space="preserve">uses_inputs</w:t>
      </w:r>
      <w:r>
        <w:t xml:space="preserve"> </w:t>
      </w:r>
      <w:r>
        <w:t xml:space="preserve">entry and</w:t>
      </w:r>
      <w:r>
        <w:t xml:space="preserve"> </w:t>
      </w:r>
      <w:r>
        <w:rPr>
          <w:rStyle w:val="VerbatimChar"/>
        </w:rPr>
        <w:t xml:space="preserve">initial_condition.input_ref</w:t>
      </w:r>
      <w:r>
        <w:t xml:space="preserve"> </w:t>
      </w:r>
      <w:r>
        <w:t xml:space="preserve">must match a defined input name.</w:t>
      </w:r>
    </w:p>
    <w:p>
      <w:pPr>
        <w:numPr>
          <w:ilvl w:val="0"/>
          <w:numId w:val="1004"/>
        </w:numPr>
      </w:pPr>
      <w:r>
        <w:rPr>
          <w:b/>
          <w:bCs/>
        </w:rPr>
        <w:t xml:space="preserve">Source references</w:t>
      </w:r>
      <w:r>
        <w:t xml:space="preserve">: Every</w:t>
      </w:r>
      <w:r>
        <w:t xml:space="preserve"> </w:t>
      </w:r>
      <w:r>
        <w:rPr>
          <w:rStyle w:val="VerbatimChar"/>
        </w:rPr>
        <w:t xml:space="preserve">source_ref</w:t>
      </w:r>
      <w:r>
        <w:t xml:space="preserve"> </w:t>
      </w:r>
      <w:r>
        <w:t xml:space="preserve">must match</w:t>
      </w:r>
      <w:r>
        <w:t xml:space="preserve"> </w:t>
      </w:r>
      <w:r>
        <w:rPr>
          <w:rStyle w:val="VerbatimChar"/>
        </w:rPr>
        <w:t xml:space="preserve">primary_data_source.source_tag</w:t>
      </w:r>
      <w:r>
        <w:t xml:space="preserve"> </w:t>
      </w:r>
      <w:r>
        <w:t xml:space="preserve">or a</w:t>
      </w:r>
      <w:r>
        <w:t xml:space="preserve"> </w:t>
      </w:r>
      <w:r>
        <w:rPr>
          <w:rStyle w:val="VerbatimChar"/>
        </w:rPr>
        <w:t xml:space="preserve">secondary_data_sources[].source_tag</w:t>
      </w:r>
      <w:r>
        <w:t xml:space="preserve">.</w:t>
      </w:r>
    </w:p>
    <w:p>
      <w:pPr>
        <w:numPr>
          <w:ilvl w:val="0"/>
          <w:numId w:val="1004"/>
        </w:numPr>
      </w:pPr>
      <w:r>
        <w:rPr>
          <w:b/>
          <w:bCs/>
        </w:rPr>
        <w:t xml:space="preserve">Parameter references</w:t>
      </w:r>
      <w:r>
        <w:t xml:space="preserve">: When a model field like</w:t>
      </w:r>
      <w:r>
        <w:t xml:space="preserve"> </w:t>
      </w:r>
      <w:r>
        <w:rPr>
          <w:rStyle w:val="VerbatimChar"/>
        </w:rPr>
        <w:t xml:space="preserve">rate_constant</w:t>
      </w:r>
      <w:r>
        <w:t xml:space="preserve"> </w:t>
      </w:r>
      <w:r>
        <w:t xml:space="preserve">contains a string (not an</w:t>
      </w:r>
      <w:r>
        <w:t xml:space="preserve"> </w:t>
      </w:r>
      <w:r>
        <w:rPr>
          <w:rStyle w:val="VerbatimChar"/>
        </w:rPr>
        <w:t xml:space="preserve">InputRef</w:t>
      </w:r>
      <w:r>
        <w:t xml:space="preserve">), it must match a parameter name in</w:t>
      </w:r>
      <w:r>
        <w:t xml:space="preserve"> </w:t>
      </w:r>
      <w:r>
        <w:rPr>
          <w:rStyle w:val="VerbatimChar"/>
        </w:rPr>
        <w:t xml:space="preserve">calibration.parameters</w:t>
      </w:r>
      <w:r>
        <w:t xml:space="preserve">.</w:t>
      </w:r>
    </w:p>
    <w:p>
      <w:pPr>
        <w:numPr>
          <w:ilvl w:val="0"/>
          <w:numId w:val="1004"/>
        </w:numPr>
      </w:pPr>
      <w:r>
        <w:rPr>
          <w:b/>
          <w:bCs/>
        </w:rPr>
        <w:t xml:space="preserve">State variable references</w:t>
      </w:r>
      <w:r>
        <w:t xml:space="preserve">: Every state variable referenced in</w:t>
      </w:r>
      <w:r>
        <w:t xml:space="preserve"> </w:t>
      </w:r>
      <w:r>
        <w:rPr>
          <w:rStyle w:val="VerbatimChar"/>
        </w:rPr>
        <w:t xml:space="preserve">observable.state_variables</w:t>
      </w:r>
      <w:r>
        <w:t xml:space="preserve"> </w:t>
      </w:r>
      <w:r>
        <w:t xml:space="preserve">must exist in</w:t>
      </w:r>
      <w:r>
        <w:t xml:space="preserve"> </w:t>
      </w:r>
      <w:r>
        <w:rPr>
          <w:rStyle w:val="VerbatimChar"/>
        </w:rPr>
        <w:t xml:space="preserve">calibration.state_variables</w:t>
      </w:r>
      <w:r>
        <w:t xml:space="preserve">.</w:t>
      </w:r>
    </w:p>
    <w:p>
      <w:pPr>
        <w:pStyle w:val="FirstParagraph"/>
      </w:pPr>
      <w:r>
        <w:t xml:space="preserve">These validators catch internal inconsistencies where an LLM generates references to entities that don’t exist elsewhere in the document.</w:t>
      </w:r>
    </w:p>
    <w:bookmarkEnd w:id="29"/>
    <w:bookmarkStart w:id="30" w:name="code-execution-validation"/>
    <w:p>
      <w:pPr>
        <w:pStyle w:val="Heading2"/>
      </w:pPr>
      <w:r>
        <w:rPr>
          <w:rStyle w:val="SectionNumber"/>
        </w:rPr>
        <w:t xml:space="preserve">3.6</w:t>
      </w:r>
      <w:r>
        <w:tab/>
      </w:r>
      <w:r>
        <w:t xml:space="preserve">Code Execution Validation</w:t>
      </w:r>
    </w:p>
    <w:p>
      <w:pPr>
        <w:pStyle w:val="FirstParagraph"/>
      </w:pPr>
      <w:r>
        <w:t xml:space="preserve">Code validation goes beyond syntax checking. The validator parses the code structure, then executes it with mock data to verify correct behavior. For</w:t>
      </w:r>
      <w:r>
        <w:t xml:space="preserve"> </w:t>
      </w:r>
      <w:r>
        <w:rPr>
          <w:rStyle w:val="VerbatimChar"/>
        </w:rPr>
        <w:t xml:space="preserve">observation_code</w:t>
      </w:r>
      <w:r>
        <w:t xml:space="preserve">, execution must return the required dictionary keys (</w:t>
      </w:r>
      <w:r>
        <w:rPr>
          <w:rStyle w:val="VerbatimChar"/>
        </w:rPr>
        <w:t xml:space="preserve">value</w:t>
      </w:r>
      <w:r>
        <w:t xml:space="preserve">,</w:t>
      </w:r>
      <w:r>
        <w:t xml:space="preserve"> </w:t>
      </w:r>
      <w:r>
        <w:rPr>
          <w:rStyle w:val="VerbatimChar"/>
        </w:rPr>
        <w:t xml:space="preserve">sd</w:t>
      </w:r>
      <w:r>
        <w:t xml:space="preserve">,</w:t>
      </w:r>
      <w:r>
        <w:t xml:space="preserve"> </w:t>
      </w:r>
      <w:r>
        <w:rPr>
          <w:rStyle w:val="VerbatimChar"/>
        </w:rPr>
        <w:t xml:space="preserve">sd_uncertain</w:t>
      </w:r>
      <w:r>
        <w:t xml:space="preserve">) with appropriate types. For observable code, execution must return arrays with correct units and dimensions. This catches logic errors and signature mismatches before inference.</w:t>
      </w:r>
    </w:p>
    <w:bookmarkEnd w:id="30"/>
    <w:bookmarkStart w:id="31" w:name="hardcoded-constant-detection"/>
    <w:p>
      <w:pPr>
        <w:pStyle w:val="Heading2"/>
      </w:pPr>
      <w:r>
        <w:rPr>
          <w:rStyle w:val="SectionNumber"/>
        </w:rPr>
        <w:t xml:space="preserve">3.7</w:t>
      </w:r>
      <w:r>
        <w:tab/>
      </w:r>
      <w:r>
        <w:t xml:space="preserve">Hardcoded Constant Detection</w:t>
      </w:r>
    </w:p>
    <w:p>
      <w:pPr>
        <w:pStyle w:val="FirstParagraph"/>
      </w:pPr>
      <w:r>
        <w:t xml:space="preserve">Hardcoded constant detection scans code blocks for numeric literals that should be documented inputs. The parser identifies constants (e.g.,</w:t>
      </w:r>
      <w:r>
        <w:t xml:space="preserve"> </w:t>
      </w:r>
      <w:r>
        <w:rPr>
          <w:rStyle w:val="VerbatimChar"/>
        </w:rPr>
        <w:t xml:space="preserve">1440</w:t>
      </w:r>
      <w:r>
        <w:t xml:space="preserve"> </w:t>
      </w:r>
      <w:r>
        <w:t xml:space="preserve">for a minutes-to-days conversion) that are not in the allowed set (small integers 0–5, common fractions, statistical percentiles). Each flagged constant must either be moved to an input with provenance or documented as an</w:t>
      </w:r>
      <w:r>
        <w:t xml:space="preserve"> </w:t>
      </w:r>
      <w:r>
        <w:rPr>
          <w:rStyle w:val="VerbatimChar"/>
        </w:rPr>
        <w:t xml:space="preserve">observable_constant</w:t>
      </w:r>
      <w:r>
        <w:t xml:space="preserve"> </w:t>
      </w:r>
      <w:r>
        <w:t xml:space="preserve">with a</w:t>
      </w:r>
      <w:r>
        <w:t xml:space="preserve"> </w:t>
      </w:r>
      <w:r>
        <w:rPr>
          <w:rStyle w:val="VerbatimChar"/>
        </w:rPr>
        <w:t xml:space="preserve">biological_basis</w:t>
      </w:r>
      <w:r>
        <w:t xml:space="preserve"> </w:t>
      </w:r>
      <w:r>
        <w:t xml:space="preserve">explanation.</w:t>
      </w:r>
    </w:p>
    <w:bookmarkEnd w:id="31"/>
    <w:bookmarkStart w:id="32" w:name="scale-consistency-validation"/>
    <w:p>
      <w:pPr>
        <w:pStyle w:val="Heading2"/>
      </w:pPr>
      <w:r>
        <w:rPr>
          <w:rStyle w:val="SectionNumber"/>
        </w:rPr>
        <w:t xml:space="preserve">3.8</w:t>
      </w:r>
      <w:r>
        <w:tab/>
      </w:r>
      <w:r>
        <w:t xml:space="preserve">Scale Consistency Validation</w:t>
      </w:r>
    </w:p>
    <w:p>
      <w:pPr>
        <w:pStyle w:val="FirstParagraph"/>
      </w:pPr>
      <w:r>
        <w:t xml:space="preserve">Scale consistency validation executes observable code with mock species data spanning a 1000-fold range. If the output is constant despite varying inputs, or if the output magnitude suggests a ratio/score mismatch (e.g., values near 100 when 0–1 is expected), validation warns of potential unit or scaling errors.</w:t>
      </w:r>
    </w:p>
    <w:bookmarkEnd w:id="32"/>
    <w:bookmarkStart w:id="33" w:name="control-character-validation"/>
    <w:p>
      <w:pPr>
        <w:pStyle w:val="Heading2"/>
      </w:pPr>
      <w:r>
        <w:rPr>
          <w:rStyle w:val="SectionNumber"/>
        </w:rPr>
        <w:t xml:space="preserve">3.9</w:t>
      </w:r>
      <w:r>
        <w:tab/>
      </w:r>
      <w:r>
        <w:t xml:space="preserve">Control Character Validation</w:t>
      </w:r>
    </w:p>
    <w:p>
      <w:pPr>
        <w:pStyle w:val="FirstParagraph"/>
      </w:pPr>
      <w:r>
        <w:t xml:space="preserve">Control character validation scans all string fields for characters that corrupt YAML parsing (ASCII control codes, non-breaking spaces, and similar). PDF copy-paste often introduces invisible characters that cause parsing failures; this validator catches them before they propagate.</w:t>
      </w:r>
    </w:p>
    <w:bookmarkEnd w:id="33"/>
    <w:bookmarkStart w:id="34" w:name="calibrationtarget-specific-validation"/>
    <w:p>
      <w:pPr>
        <w:pStyle w:val="Heading2"/>
      </w:pPr>
      <w:r>
        <w:rPr>
          <w:rStyle w:val="SectionNumber"/>
        </w:rPr>
        <w:t xml:space="preserve">3.10</w:t>
      </w:r>
      <w:r>
        <w:tab/>
      </w:r>
      <w:r>
        <w:t xml:space="preserve">CalibrationTarget-Specific Validation</w:t>
      </w:r>
    </w:p>
    <w:p>
      <w:pPr>
        <w:pStyle w:val="FirstParagraph"/>
      </w:pPr>
      <w:r>
        <w:t xml:space="preserve">CalibrationTarget adds validators for full-model observables. Observable code is executed against mock species data to verify correct function signatures, output dimensionality, and unit consistency. A denominator audit requires that density or fraction observables explicitly document what tissue area or cell population serves as the denominator, both experimentally and in the model, catching a common source of order-of-magnitude errors. Species existence checks verify that every species referenced in the observable code exists in the model structure. Distribution code is executed with the declared inputs to verify that computed summary statistics (median and CI95) match the values reported in the empirical data block within tolerance (1% for median, 10% for CI bounds), catching transcription errors and code bugs before they propagate to calibration.</w:t>
      </w:r>
    </w:p>
    <w:bookmarkEnd w:id="34"/>
    <w:bookmarkEnd w:id="35"/>
    <w:bookmarkStart w:id="36" w:name="sec:julia-code"/>
    <w:p>
      <w:pPr>
        <w:pStyle w:val="Heading1"/>
      </w:pPr>
      <w:r>
        <w:rPr>
          <w:rStyle w:val="SectionNumber"/>
        </w:rPr>
        <w:t xml:space="preserve">4</w:t>
      </w:r>
      <w:r>
        <w:tab/>
      </w:r>
      <w:r>
        <w:t xml:space="preserve">Generated Julia Code Structure</w:t>
      </w:r>
    </w:p>
    <w:p>
      <w:pPr>
        <w:pStyle w:val="FirstParagraph"/>
      </w:pPr>
      <w:r>
        <w:t xml:space="preserve">The translator generates Julia scripts with the following structure:</w:t>
      </w:r>
    </w:p>
    <w:p>
      <w:pPr>
        <w:pStyle w:val="SourceCode"/>
      </w:pPr>
      <w:r>
        <w:rPr>
          <w:rStyle w:val="VerbatimChar"/>
        </w:rPr>
        <w:t xml:space="preserve">using DifferentialEquations</w:t>
      </w:r>
      <w:r>
        <w:br/>
      </w:r>
      <w:r>
        <w:rPr>
          <w:rStyle w:val="VerbatimChar"/>
        </w:rPr>
        <w:t xml:space="preserve">using Turing</w:t>
      </w:r>
      <w:r>
        <w:br/>
      </w:r>
      <w:r>
        <w:rPr>
          <w:rStyle w:val="VerbatimChar"/>
        </w:rPr>
        <w:t xml:space="preserve">using Distributions</w:t>
      </w:r>
      <w:r>
        <w:br/>
      </w:r>
      <w:r>
        <w:br/>
      </w:r>
      <w:r>
        <w:rPr>
          <w:rStyle w:val="VerbatimChar"/>
        </w:rPr>
        <w:t xml:space="preserve"># Observed data (from inputs layer)</w:t>
      </w:r>
      <w:r>
        <w:br/>
      </w:r>
      <w:r>
        <w:rPr>
          <w:rStyle w:val="VerbatimChar"/>
        </w:rPr>
        <w:t xml:space="preserve">const obs_proliferation_median = 4.37</w:t>
      </w:r>
      <w:r>
        <w:br/>
      </w:r>
      <w:r>
        <w:rPr>
          <w:rStyle w:val="VerbatimChar"/>
        </w:rPr>
        <w:t xml:space="preserve">const obs_proliferation_sigma = 0.25  # derived from CI95</w:t>
      </w:r>
      <w:r>
        <w:br/>
      </w:r>
      <w:r>
        <w:br/>
      </w:r>
      <w:r>
        <w:rPr>
          <w:rStyle w:val="VerbatimChar"/>
        </w:rPr>
        <w:t xml:space="preserve"># ODE function</w:t>
      </w:r>
      <w:r>
        <w:br/>
      </w:r>
      <w:r>
        <w:rPr>
          <w:rStyle w:val="VerbatimChar"/>
        </w:rPr>
        <w:t xml:space="preserve">function ode_proliferation!(du, u, p, t)</w:t>
      </w:r>
      <w:r>
        <w:br/>
      </w:r>
      <w:r>
        <w:rPr>
          <w:rStyle w:val="VerbatimChar"/>
        </w:rPr>
        <w:t xml:space="preserve">    k = p[1]</w:t>
      </w:r>
      <w:r>
        <w:br/>
      </w:r>
      <w:r>
        <w:rPr>
          <w:rStyle w:val="VerbatimChar"/>
        </w:rPr>
        <w:t xml:space="preserve">    du[1] = k * u[1]  # exponential growth</w:t>
      </w:r>
      <w:r>
        <w:br/>
      </w:r>
      <w:r>
        <w:rPr>
          <w:rStyle w:val="VerbatimChar"/>
        </w:rPr>
        <w:t xml:space="preserve">end</w:t>
      </w:r>
      <w:r>
        <w:br/>
      </w:r>
      <w:r>
        <w:br/>
      </w:r>
      <w:r>
        <w:rPr>
          <w:rStyle w:val="VerbatimChar"/>
        </w:rPr>
        <w:t xml:space="preserve"># Simulate function</w:t>
      </w:r>
      <w:r>
        <w:br/>
      </w:r>
      <w:r>
        <w:rPr>
          <w:rStyle w:val="VerbatimChar"/>
        </w:rPr>
        <w:t xml:space="preserve">function simulate_proliferation(k; t_span=(0.0, 1.0), u0=[1.0])</w:t>
      </w:r>
      <w:r>
        <w:br/>
      </w:r>
      <w:r>
        <w:rPr>
          <w:rStyle w:val="VerbatimChar"/>
        </w:rPr>
        <w:t xml:space="preserve">    prob = ODEProblem(ode_proliferation!, u0, t_span, [k])</w:t>
      </w:r>
      <w:r>
        <w:br/>
      </w:r>
      <w:r>
        <w:rPr>
          <w:rStyle w:val="VerbatimChar"/>
        </w:rPr>
        <w:t xml:space="preserve">    sol = solve(prob, Tsit5())</w:t>
      </w:r>
      <w:r>
        <w:br/>
      </w:r>
      <w:r>
        <w:rPr>
          <w:rStyle w:val="VerbatimChar"/>
        </w:rPr>
        <w:t xml:space="preserve">    return sol[end][1]  # final value</w:t>
      </w:r>
      <w:r>
        <w:br/>
      </w:r>
      <w:r>
        <w:rPr>
          <w:rStyle w:val="VerbatimChar"/>
        </w:rPr>
        <w:t xml:space="preserve">end</w:t>
      </w:r>
      <w:r>
        <w:br/>
      </w:r>
      <w:r>
        <w:br/>
      </w:r>
      <w:r>
        <w:rPr>
          <w:rStyle w:val="VerbatimChar"/>
        </w:rPr>
        <w:t xml:space="preserve"># Turing model</w:t>
      </w:r>
      <w:r>
        <w:br/>
      </w:r>
      <w:r>
        <w:rPr>
          <w:rStyle w:val="VerbatimChar"/>
        </w:rPr>
        <w:t xml:space="preserve">@model function proliferation_model()</w:t>
      </w:r>
      <w:r>
        <w:br/>
      </w:r>
      <w:r>
        <w:rPr>
          <w:rStyle w:val="VerbatimChar"/>
        </w:rPr>
        <w:t xml:space="preserve">    # Prior</w:t>
      </w:r>
      <w:r>
        <w:br/>
      </w:r>
      <w:r>
        <w:rPr>
          <w:rStyle w:val="VerbatimChar"/>
        </w:rPr>
        <w:t xml:space="preserve">    k_apsc_prolif ~ LogNormal(0.0, 1.0)</w:t>
      </w:r>
      <w:r>
        <w:br/>
      </w:r>
      <w:r>
        <w:br/>
      </w:r>
      <w:r>
        <w:rPr>
          <w:rStyle w:val="VerbatimChar"/>
        </w:rPr>
        <w:t xml:space="preserve">    # Simulate</w:t>
      </w:r>
      <w:r>
        <w:br/>
      </w:r>
      <w:r>
        <w:rPr>
          <w:rStyle w:val="VerbatimChar"/>
        </w:rPr>
        <w:t xml:space="preserve">    pred = simulate_proliferation(k_apsc_prolif)</w:t>
      </w:r>
      <w:r>
        <w:br/>
      </w:r>
      <w:r>
        <w:br/>
      </w:r>
      <w:r>
        <w:rPr>
          <w:rStyle w:val="VerbatimChar"/>
        </w:rPr>
        <w:t xml:space="preserve">    # Likelihood</w:t>
      </w:r>
      <w:r>
        <w:br/>
      </w:r>
      <w:r>
        <w:rPr>
          <w:rStyle w:val="VerbatimChar"/>
        </w:rPr>
        <w:t xml:space="preserve">    obs_proliferation_median ~ LogNormal(log(pred), obs_proliferation_sigma)</w:t>
      </w:r>
      <w:r>
        <w:br/>
      </w:r>
      <w:r>
        <w:rPr>
          <w:rStyle w:val="VerbatimChar"/>
        </w:rPr>
        <w:t xml:space="preserve">end</w:t>
      </w:r>
      <w:r>
        <w:br/>
      </w:r>
      <w:r>
        <w:br/>
      </w:r>
      <w:r>
        <w:rPr>
          <w:rStyle w:val="VerbatimChar"/>
        </w:rPr>
        <w:t xml:space="preserve"># Run inference</w:t>
      </w:r>
      <w:r>
        <w:br/>
      </w:r>
      <w:r>
        <w:rPr>
          <w:rStyle w:val="VerbatimChar"/>
        </w:rPr>
        <w:t xml:space="preserve">model = proliferation_model()</w:t>
      </w:r>
      <w:r>
        <w:br/>
      </w:r>
      <w:r>
        <w:rPr>
          <w:rStyle w:val="VerbatimChar"/>
        </w:rPr>
        <w:t xml:space="preserve">chain = sample(model, NUTS(), MCMCThreads(), 1000, 4)</w:t>
      </w:r>
    </w:p>
    <w:p>
      <w:pPr>
        <w:pStyle w:val="FirstParagraph"/>
      </w:pPr>
      <w:r>
        <w:t xml:space="preserve">For joint inference over multiple targets, the translator identifies shared parameters by name and generates a single model with one prior per unique parameter.</w:t>
      </w:r>
    </w:p>
    <w:bookmarkEnd w:id="36"/>
    <w:bookmarkStart w:id="46" w:name="sec:pydantic-models"/>
    <w:p>
      <w:pPr>
        <w:pStyle w:val="Heading1"/>
      </w:pPr>
      <w:r>
        <w:rPr>
          <w:rStyle w:val="SectionNumber"/>
        </w:rPr>
        <w:t xml:space="preserve">5</w:t>
      </w:r>
      <w:r>
        <w:tab/>
      </w:r>
      <w:r>
        <w:t xml:space="preserve">Pydantic Model Definitions</w:t>
      </w:r>
    </w:p>
    <w:p>
      <w:pPr>
        <w:pStyle w:val="FirstParagraph"/>
      </w:pPr>
      <w:r>
        <w:t xml:space="preserve">This section provides the key Pydantic model definitions that implement both calibration target schemas. The full implementations are available in the repository at</w:t>
      </w:r>
      <w:r>
        <w:t xml:space="preserve"> </w:t>
      </w:r>
      <w:r>
        <w:rPr>
          <w:rStyle w:val="VerbatimChar"/>
        </w:rPr>
        <w:t xml:space="preserve">src/qsp_llm_workflows/core/calibration/</w:t>
      </w:r>
      <w:r>
        <w:t xml:space="preserve">.</w:t>
      </w:r>
    </w:p>
    <w:bookmarkStart w:id="37" w:name="top-level-model"/>
    <w:p>
      <w:pPr>
        <w:pStyle w:val="Heading2"/>
      </w:pPr>
      <w:r>
        <w:rPr>
          <w:rStyle w:val="SectionNumber"/>
        </w:rPr>
        <w:t xml:space="preserve">5.1</w:t>
      </w:r>
      <w:r>
        <w:tab/>
      </w:r>
      <w:r>
        <w:t xml:space="preserve">Top-Level Model</w:t>
      </w:r>
    </w:p>
    <w:p>
      <w:pPr>
        <w:pStyle w:val="FirstParagraph"/>
      </w:pPr>
      <w:r>
        <w:t xml:space="preserve">The</w:t>
      </w:r>
      <w:r>
        <w:t xml:space="preserve"> </w:t>
      </w:r>
      <w:r>
        <w:rPr>
          <w:rStyle w:val="VerbatimChar"/>
        </w:rPr>
        <w:t xml:space="preserve">SubmodelTarget</w:t>
      </w:r>
      <w:r>
        <w:t xml:space="preserve"> </w:t>
      </w:r>
      <w:r>
        <w:t xml:space="preserve">class is the entry point for validation. When a YAML file is loaded, Pydantic recursively validates all nested models.</w:t>
      </w:r>
    </w:p>
    <w:p>
      <w:pPr>
        <w:pStyle w:val="SourceCode"/>
      </w:pPr>
      <w:r>
        <w:rPr>
          <w:rStyle w:val="VerbatimChar"/>
        </w:rPr>
        <w:t xml:space="preserve">class SubmodelTarget(BaseModel):</w:t>
      </w:r>
      <w:r>
        <w:br/>
      </w:r>
      <w:r>
        <w:rPr>
          <w:rStyle w:val="VerbatimChar"/>
        </w:rPr>
        <w:t xml:space="preserve">    """</w:t>
      </w:r>
      <w:r>
        <w:br/>
      </w:r>
      <w:r>
        <w:rPr>
          <w:rStyle w:val="VerbatimChar"/>
        </w:rPr>
        <w:t xml:space="preserve">    Submodel-based calibration target for QSP parameter inference.</w:t>
      </w:r>
      <w:r>
        <w:br/>
      </w:r>
      <w:r>
        <w:br/>
      </w:r>
      <w:r>
        <w:rPr>
          <w:rStyle w:val="VerbatimChar"/>
        </w:rPr>
        <w:t xml:space="preserve">    Separates:</w:t>
      </w:r>
      <w:r>
        <w:br/>
      </w:r>
      <w:r>
        <w:rPr>
          <w:rStyle w:val="VerbatimChar"/>
        </w:rPr>
        <w:t xml:space="preserve">    - `inputs`: What was extracted from papers (with full provenance)</w:t>
      </w:r>
      <w:r>
        <w:br/>
      </w:r>
      <w:r>
        <w:rPr>
          <w:rStyle w:val="VerbatimChar"/>
        </w:rPr>
        <w:t xml:space="preserve">    - `calibration`: How to use those inputs for inference</w:t>
      </w:r>
      <w:r>
        <w:br/>
      </w:r>
      <w:r>
        <w:rPr>
          <w:rStyle w:val="VerbatimChar"/>
        </w:rPr>
        <w:t xml:space="preserve">    """</w:t>
      </w:r>
      <w:r>
        <w:br/>
      </w:r>
      <w:r>
        <w:rPr>
          <w:rStyle w:val="VerbatimChar"/>
        </w:rPr>
        <w:t xml:space="preserve">    target_id: str = Field(description="Unique identifier for this target")</w:t>
      </w:r>
      <w:r>
        <w:br/>
      </w:r>
      <w:r>
        <w:br/>
      </w:r>
      <w:r>
        <w:rPr>
          <w:rStyle w:val="VerbatimChar"/>
        </w:rPr>
        <w:t xml:space="preserve">    # Extracted data with provenance</w:t>
      </w:r>
      <w:r>
        <w:br/>
      </w:r>
      <w:r>
        <w:rPr>
          <w:rStyle w:val="VerbatimChar"/>
        </w:rPr>
        <w:t xml:space="preserve">    inputs: List[Input] = Field(</w:t>
      </w:r>
      <w:r>
        <w:br/>
      </w:r>
      <w:r>
        <w:rPr>
          <w:rStyle w:val="VerbatimChar"/>
        </w:rPr>
        <w:t xml:space="preserve">        description="Values extracted from literature with full provenance"</w:t>
      </w:r>
      <w:r>
        <w:br/>
      </w:r>
      <w:r>
        <w:rPr>
          <w:rStyle w:val="VerbatimChar"/>
        </w:rPr>
        <w:t xml:space="preserve">    )</w:t>
      </w:r>
      <w:r>
        <w:br/>
      </w:r>
      <w:r>
        <w:br/>
      </w:r>
      <w:r>
        <w:rPr>
          <w:rStyle w:val="VerbatimChar"/>
        </w:rPr>
        <w:t xml:space="preserve">    # Calibration specification</w:t>
      </w:r>
      <w:r>
        <w:br/>
      </w:r>
      <w:r>
        <w:rPr>
          <w:rStyle w:val="VerbatimChar"/>
        </w:rPr>
        <w:t xml:space="preserve">    calibration: Calibration = Field(</w:t>
      </w:r>
      <w:r>
        <w:br/>
      </w:r>
      <w:r>
        <w:rPr>
          <w:rStyle w:val="VerbatimChar"/>
        </w:rPr>
        <w:t xml:space="preserve">        description="Everything needed for inference code generation"</w:t>
      </w:r>
      <w:r>
        <w:br/>
      </w:r>
      <w:r>
        <w:rPr>
          <w:rStyle w:val="VerbatimChar"/>
        </w:rPr>
        <w:t xml:space="preserve">    )</w:t>
      </w:r>
      <w:r>
        <w:br/>
      </w:r>
      <w:r>
        <w:br/>
      </w:r>
      <w:r>
        <w:rPr>
          <w:rStyle w:val="VerbatimChar"/>
        </w:rPr>
        <w:t xml:space="preserve">    # Experimental context</w:t>
      </w:r>
      <w:r>
        <w:br/>
      </w:r>
      <w:r>
        <w:rPr>
          <w:rStyle w:val="VerbatimChar"/>
        </w:rPr>
        <w:t xml:space="preserve">    experimental_context: ExperimentalContext = Field(</w:t>
      </w:r>
      <w:r>
        <w:br/>
      </w:r>
      <w:r>
        <w:rPr>
          <w:rStyle w:val="VerbatimChar"/>
        </w:rPr>
        <w:t xml:space="preserve">        description="Experimental context for the target"</w:t>
      </w:r>
      <w:r>
        <w:br/>
      </w:r>
      <w:r>
        <w:rPr>
          <w:rStyle w:val="VerbatimChar"/>
        </w:rPr>
        <w:t xml:space="preserve">    )</w:t>
      </w:r>
      <w:r>
        <w:br/>
      </w:r>
      <w:r>
        <w:br/>
      </w:r>
      <w:r>
        <w:rPr>
          <w:rStyle w:val="VerbatimChar"/>
        </w:rPr>
        <w:t xml:space="preserve">    # Study interpretation</w:t>
      </w:r>
      <w:r>
        <w:br/>
      </w:r>
      <w:r>
        <w:rPr>
          <w:rStyle w:val="VerbatimChar"/>
        </w:rPr>
        <w:t xml:space="preserve">    study_interpretation: str = Field(</w:t>
      </w:r>
      <w:r>
        <w:br/>
      </w:r>
      <w:r>
        <w:rPr>
          <w:rStyle w:val="VerbatimChar"/>
        </w:rPr>
        <w:t xml:space="preserve">        description="Scientific interpretation of how the study data informs the model"</w:t>
      </w:r>
      <w:r>
        <w:br/>
      </w:r>
      <w:r>
        <w:rPr>
          <w:rStyle w:val="VerbatimChar"/>
        </w:rPr>
        <w:t xml:space="preserve">    )</w:t>
      </w:r>
      <w:r>
        <w:br/>
      </w:r>
      <w:r>
        <w:rPr>
          <w:rStyle w:val="VerbatimChar"/>
        </w:rPr>
        <w:t xml:space="preserve">    key_assumptions: List[str] = Field(</w:t>
      </w:r>
      <w:r>
        <w:br/>
      </w:r>
      <w:r>
        <w:rPr>
          <w:rStyle w:val="VerbatimChar"/>
        </w:rPr>
        <w:t xml:space="preserve">        description="Key assumptions made in using this data"</w:t>
      </w:r>
      <w:r>
        <w:br/>
      </w:r>
      <w:r>
        <w:rPr>
          <w:rStyle w:val="VerbatimChar"/>
        </w:rPr>
        <w:t xml:space="preserve">    )</w:t>
      </w:r>
      <w:r>
        <w:br/>
      </w:r>
      <w:r>
        <w:rPr>
          <w:rStyle w:val="VerbatimChar"/>
        </w:rPr>
        <w:t xml:space="preserve">    key_study_limitations: Optional[List[str]] = Field(</w:t>
      </w:r>
      <w:r>
        <w:br/>
      </w:r>
      <w:r>
        <w:rPr>
          <w:rStyle w:val="VerbatimChar"/>
        </w:rPr>
        <w:t xml:space="preserve">        default=None, description="Known limitations of the study"</w:t>
      </w:r>
      <w:r>
        <w:br/>
      </w:r>
      <w:r>
        <w:rPr>
          <w:rStyle w:val="VerbatimChar"/>
        </w:rPr>
        <w:t xml:space="preserve">    )</w:t>
      </w:r>
      <w:r>
        <w:br/>
      </w:r>
      <w:r>
        <w:br/>
      </w:r>
      <w:r>
        <w:rPr>
          <w:rStyle w:val="VerbatimChar"/>
        </w:rPr>
        <w:t xml:space="preserve">    # Data sources</w:t>
      </w:r>
      <w:r>
        <w:br/>
      </w:r>
      <w:r>
        <w:rPr>
          <w:rStyle w:val="VerbatimChar"/>
        </w:rPr>
        <w:t xml:space="preserve">    primary_data_source: PrimaryDataSource = Field(</w:t>
      </w:r>
      <w:r>
        <w:br/>
      </w:r>
      <w:r>
        <w:rPr>
          <w:rStyle w:val="VerbatimChar"/>
        </w:rPr>
        <w:t xml:space="preserve">        description="Primary literature source"</w:t>
      </w:r>
      <w:r>
        <w:br/>
      </w:r>
      <w:r>
        <w:rPr>
          <w:rStyle w:val="VerbatimChar"/>
        </w:rPr>
        <w:t xml:space="preserve">    )</w:t>
      </w:r>
      <w:r>
        <w:br/>
      </w:r>
      <w:r>
        <w:rPr>
          <w:rStyle w:val="VerbatimChar"/>
        </w:rPr>
        <w:t xml:space="preserve">    secondary_data_sources: Optional[List[SecondaryDataSource]] = Field(</w:t>
      </w:r>
      <w:r>
        <w:br/>
      </w:r>
      <w:r>
        <w:rPr>
          <w:rStyle w:val="VerbatimChar"/>
        </w:rPr>
        <w:t xml:space="preserve">        default=None, description="Additional literature sources"</w:t>
      </w:r>
      <w:r>
        <w:br/>
      </w:r>
      <w:r>
        <w:rPr>
          <w:rStyle w:val="VerbatimChar"/>
        </w:rPr>
        <w:t xml:space="preserve">    )</w:t>
      </w:r>
      <w:r>
        <w:br/>
      </w:r>
      <w:r>
        <w:br/>
      </w:r>
      <w:r>
        <w:rPr>
          <w:rStyle w:val="VerbatimChar"/>
        </w:rPr>
        <w:t xml:space="preserve">    # Validators (10 total) defined via Pydantic decorators</w:t>
      </w:r>
      <w:r>
        <w:br/>
      </w:r>
      <w:r>
        <w:rPr>
          <w:rStyle w:val="VerbatimChar"/>
        </w:rPr>
        <w:t xml:space="preserve">    # See Section S3 for implementation details</w:t>
      </w:r>
    </w:p>
    <w:bookmarkEnd w:id="37"/>
    <w:bookmarkStart w:id="38" w:name="input-model"/>
    <w:p>
      <w:pPr>
        <w:pStyle w:val="Heading2"/>
      </w:pPr>
      <w:r>
        <w:rPr>
          <w:rStyle w:val="SectionNumber"/>
        </w:rPr>
        <w:t xml:space="preserve">5.2</w:t>
      </w:r>
      <w:r>
        <w:tab/>
      </w:r>
      <w:r>
        <w:t xml:space="preserve">Input Model</w:t>
      </w:r>
    </w:p>
    <w:p>
      <w:pPr>
        <w:pStyle w:val="FirstParagraph"/>
      </w:pPr>
      <w:r>
        <w:t xml:space="preserve">Each input captures a single value extracted from literature with full provenance:</w:t>
      </w:r>
    </w:p>
    <w:p>
      <w:pPr>
        <w:pStyle w:val="SourceCode"/>
      </w:pPr>
      <w:r>
        <w:rPr>
          <w:rStyle w:val="VerbatimChar"/>
        </w:rPr>
        <w:t xml:space="preserve">class InputType(str, Enum):</w:t>
      </w:r>
      <w:r>
        <w:br/>
      </w:r>
      <w:r>
        <w:rPr>
          <w:rStyle w:val="VerbatimChar"/>
        </w:rPr>
        <w:t xml:space="preserve">    """Type of input extracted from literature."""</w:t>
      </w:r>
      <w:r>
        <w:br/>
      </w:r>
      <w:r>
        <w:rPr>
          <w:rStyle w:val="VerbatimChar"/>
        </w:rPr>
        <w:t xml:space="preserve">    DIRECT_MEASUREMENT = "direct_measurement"   # Value reported directly</w:t>
      </w:r>
      <w:r>
        <w:br/>
      </w:r>
      <w:r>
        <w:rPr>
          <w:rStyle w:val="VerbatimChar"/>
        </w:rPr>
        <w:t xml:space="preserve">    PROXY_MEASUREMENT = "proxy_measurement"     # Requires conversion</w:t>
      </w:r>
      <w:r>
        <w:br/>
      </w:r>
      <w:r>
        <w:rPr>
          <w:rStyle w:val="VerbatimChar"/>
        </w:rPr>
        <w:t xml:space="preserve">    EXPERIMENTAL_CONDITION = "experimental_condition"  # Protocol choice</w:t>
      </w:r>
      <w:r>
        <w:br/>
      </w:r>
      <w:r>
        <w:rPr>
          <w:rStyle w:val="VerbatimChar"/>
        </w:rPr>
        <w:t xml:space="preserve">    INFERRED_ESTIMATE = "inferred_estimate"     # Interpreted from qualitative text</w:t>
      </w:r>
      <w:r>
        <w:br/>
      </w:r>
      <w:r>
        <w:rPr>
          <w:rStyle w:val="VerbatimChar"/>
        </w:rPr>
        <w:t xml:space="preserve">    ASSUMED_VALUE = "assumed_value"             # Domain knowledge, not in source</w:t>
      </w:r>
      <w:r>
        <w:br/>
      </w:r>
      <w:r>
        <w:br/>
      </w:r>
      <w:r>
        <w:rPr>
          <w:rStyle w:val="VerbatimChar"/>
        </w:rPr>
        <w:t xml:space="preserve">class InputRole(str, Enum):</w:t>
      </w:r>
      <w:r>
        <w:br/>
      </w:r>
      <w:r>
        <w:rPr>
          <w:rStyle w:val="VerbatimChar"/>
        </w:rPr>
        <w:t xml:space="preserve">    """Role of input in calibration."""</w:t>
      </w:r>
      <w:r>
        <w:br/>
      </w:r>
      <w:r>
        <w:rPr>
          <w:rStyle w:val="VerbatimChar"/>
        </w:rPr>
        <w:t xml:space="preserve">    INITIAL_CONDITION = "initial_condition"  # IC for ODE integration</w:t>
      </w:r>
      <w:r>
        <w:br/>
      </w:r>
      <w:r>
        <w:rPr>
          <w:rStyle w:val="VerbatimChar"/>
        </w:rPr>
        <w:t xml:space="preserve">    TARGET = "target"                        # Calibration target (likelihood term)</w:t>
      </w:r>
      <w:r>
        <w:br/>
      </w:r>
      <w:r>
        <w:rPr>
          <w:rStyle w:val="VerbatimChar"/>
        </w:rPr>
        <w:t xml:space="preserve">    FIXED_PARAMETER = "fixed_parameter"      # Fixed value in model</w:t>
      </w:r>
      <w:r>
        <w:br/>
      </w:r>
      <w:r>
        <w:rPr>
          <w:rStyle w:val="VerbatimChar"/>
        </w:rPr>
        <w:t xml:space="preserve">    AUXILIARY = "auxiliary"                  # Supporting data</w:t>
      </w:r>
      <w:r>
        <w:br/>
      </w:r>
      <w:r>
        <w:br/>
      </w:r>
      <w:r>
        <w:rPr>
          <w:rStyle w:val="VerbatimChar"/>
        </w:rPr>
        <w:t xml:space="preserve">class Input(BaseModel):</w:t>
      </w:r>
      <w:r>
        <w:br/>
      </w:r>
      <w:r>
        <w:rPr>
          <w:rStyle w:val="VerbatimChar"/>
        </w:rPr>
        <w:t xml:space="preserve">    """A value extracted from literature with full provenance."""</w:t>
      </w:r>
      <w:r>
        <w:br/>
      </w:r>
      <w:r>
        <w:rPr>
          <w:rStyle w:val="VerbatimChar"/>
        </w:rPr>
        <w:t xml:space="preserve">    name: str = Field(description="Unique identifier for this input")</w:t>
      </w:r>
      <w:r>
        <w:br/>
      </w:r>
      <w:r>
        <w:rPr>
          <w:rStyle w:val="VerbatimChar"/>
        </w:rPr>
        <w:t xml:space="preserve">    value: float = Field(description="Extracted numeric value")</w:t>
      </w:r>
      <w:r>
        <w:br/>
      </w:r>
      <w:r>
        <w:rPr>
          <w:rStyle w:val="VerbatimChar"/>
        </w:rPr>
        <w:t xml:space="preserve">    units: str = Field(description="Units of the value")</w:t>
      </w:r>
      <w:r>
        <w:br/>
      </w:r>
      <w:r>
        <w:rPr>
          <w:rStyle w:val="VerbatimChar"/>
        </w:rPr>
        <w:t xml:space="preserve">    uncertainty: Optional[Uncertainty] = Field(default=None)</w:t>
      </w:r>
      <w:r>
        <w:br/>
      </w:r>
      <w:r>
        <w:rPr>
          <w:rStyle w:val="VerbatimChar"/>
        </w:rPr>
        <w:t xml:space="preserve">    n: Optional[int] = Field(default=None, description="Sample size")</w:t>
      </w:r>
      <w:r>
        <w:br/>
      </w:r>
      <w:r>
        <w:rPr>
          <w:rStyle w:val="VerbatimChar"/>
        </w:rPr>
        <w:t xml:space="preserve">    input_type: InputType</w:t>
      </w:r>
      <w:r>
        <w:br/>
      </w:r>
      <w:r>
        <w:rPr>
          <w:rStyle w:val="VerbatimChar"/>
        </w:rPr>
        <w:t xml:space="preserve">    role: Optional[InputRole] = Field(default=None)</w:t>
      </w:r>
      <w:r>
        <w:br/>
      </w:r>
      <w:r>
        <w:rPr>
          <w:rStyle w:val="VerbatimChar"/>
        </w:rPr>
        <w:t xml:space="preserve">    source_ref: str = Field(description="Reference to source_tag in data sources")</w:t>
      </w:r>
      <w:r>
        <w:br/>
      </w:r>
      <w:r>
        <w:rPr>
          <w:rStyle w:val="VerbatimChar"/>
        </w:rPr>
        <w:t xml:space="preserve">    source_location: str = Field(description="Location within the source")</w:t>
      </w:r>
      <w:r>
        <w:br/>
      </w:r>
      <w:r>
        <w:rPr>
          <w:rStyle w:val="VerbatimChar"/>
        </w:rPr>
        <w:t xml:space="preserve">    value_snippet: Optional[str] = Field(</w:t>
      </w:r>
      <w:r>
        <w:br/>
      </w:r>
      <w:r>
        <w:rPr>
          <w:rStyle w:val="VerbatimChar"/>
        </w:rPr>
        <w:t xml:space="preserve">        default=None,</w:t>
      </w:r>
      <w:r>
        <w:br/>
      </w:r>
      <w:r>
        <w:rPr>
          <w:rStyle w:val="VerbatimChar"/>
        </w:rPr>
        <w:t xml:space="preserve">        description="Exact text from paper containing the value (for validation)"</w:t>
      </w:r>
      <w:r>
        <w:br/>
      </w:r>
      <w:r>
        <w:rPr>
          <w:rStyle w:val="VerbatimChar"/>
        </w:rPr>
        <w:t xml:space="preserve">    )</w:t>
      </w:r>
    </w:p>
    <w:bookmarkEnd w:id="38"/>
    <w:bookmarkStart w:id="39" w:name="model-type-discriminated-union"/>
    <w:p>
      <w:pPr>
        <w:pStyle w:val="Heading2"/>
      </w:pPr>
      <w:r>
        <w:rPr>
          <w:rStyle w:val="SectionNumber"/>
        </w:rPr>
        <w:t xml:space="preserve">5.3</w:t>
      </w:r>
      <w:r>
        <w:tab/>
      </w:r>
      <w:r>
        <w:t xml:space="preserve">Model Type Discriminated Union</w:t>
      </w:r>
    </w:p>
    <w:p>
      <w:pPr>
        <w:pStyle w:val="FirstParagraph"/>
      </w:pPr>
      <w:r>
        <w:t xml:space="preserve">The schema uses Pydantic’s discriminated union pattern to support multiple model types, each with type-specific required fields:</w:t>
      </w:r>
    </w:p>
    <w:p>
      <w:pPr>
        <w:pStyle w:val="SourceCode"/>
      </w:pPr>
      <w:r>
        <w:rPr>
          <w:rStyle w:val="VerbatimChar"/>
        </w:rPr>
        <w:t xml:space="preserve">class BaseModelSpec(BaseModel):</w:t>
      </w:r>
      <w:r>
        <w:br/>
      </w:r>
      <w:r>
        <w:rPr>
          <w:rStyle w:val="VerbatimChar"/>
        </w:rPr>
        <w:t xml:space="preserve">    """Base class for all model specifications."""</w:t>
      </w:r>
      <w:r>
        <w:br/>
      </w:r>
      <w:r>
        <w:rPr>
          <w:rStyle w:val="VerbatimChar"/>
        </w:rPr>
        <w:t xml:space="preserve">    data_rationale: str = Field(</w:t>
      </w:r>
      <w:r>
        <w:br/>
      </w:r>
      <w:r>
        <w:rPr>
          <w:rStyle w:val="VerbatimChar"/>
        </w:rPr>
        <w:t xml:space="preserve">        description="Why this model type fits the experimental data"</w:t>
      </w:r>
      <w:r>
        <w:br/>
      </w:r>
      <w:r>
        <w:rPr>
          <w:rStyle w:val="VerbatimChar"/>
        </w:rPr>
        <w:t xml:space="preserve">    )</w:t>
      </w:r>
      <w:r>
        <w:br/>
      </w:r>
      <w:r>
        <w:rPr>
          <w:rStyle w:val="VerbatimChar"/>
        </w:rPr>
        <w:t xml:space="preserve">    submodel_rationale: str = Field(</w:t>
      </w:r>
      <w:r>
        <w:br/>
      </w:r>
      <w:r>
        <w:rPr>
          <w:rStyle w:val="VerbatimChar"/>
        </w:rPr>
        <w:t xml:space="preserve">        description="Why this is a valid submodel of the full QSP model"</w:t>
      </w:r>
      <w:r>
        <w:br/>
      </w:r>
      <w:r>
        <w:rPr>
          <w:rStyle w:val="VerbatimChar"/>
        </w:rPr>
        <w:t xml:space="preserve">    )</w:t>
      </w:r>
      <w:r>
        <w:br/>
      </w:r>
      <w:r>
        <w:br/>
      </w:r>
      <w:r>
        <w:rPr>
          <w:rStyle w:val="VerbatimChar"/>
        </w:rPr>
        <w:t xml:space="preserve">class ExponentialGrowthModel(BaseModelSpec):</w:t>
      </w:r>
      <w:r>
        <w:br/>
      </w:r>
      <w:r>
        <w:rPr>
          <w:rStyle w:val="VerbatimChar"/>
        </w:rPr>
        <w:t xml:space="preserve">    """Exponential growth: dy/dt = k * y"""</w:t>
      </w:r>
      <w:r>
        <w:br/>
      </w:r>
      <w:r>
        <w:rPr>
          <w:rStyle w:val="VerbatimChar"/>
        </w:rPr>
        <w:t xml:space="preserve">    type: Literal["exponential_growth"] = "exponential_growth"</w:t>
      </w:r>
      <w:r>
        <w:br/>
      </w:r>
      <w:r>
        <w:rPr>
          <w:rStyle w:val="VerbatimChar"/>
        </w:rPr>
        <w:t xml:space="preserve">    rate_constant: ParameterRole = Field(</w:t>
      </w:r>
      <w:r>
        <w:br/>
      </w:r>
      <w:r>
        <w:rPr>
          <w:rStyle w:val="VerbatimChar"/>
        </w:rPr>
        <w:t xml:space="preserve">        description="Rate constant parameter name or input_ref"</w:t>
      </w:r>
      <w:r>
        <w:br/>
      </w:r>
      <w:r>
        <w:rPr>
          <w:rStyle w:val="VerbatimChar"/>
        </w:rPr>
        <w:t xml:space="preserve">    )</w:t>
      </w:r>
      <w:r>
        <w:br/>
      </w:r>
      <w:r>
        <w:br/>
      </w:r>
      <w:r>
        <w:rPr>
          <w:rStyle w:val="VerbatimChar"/>
        </w:rPr>
        <w:t xml:space="preserve">class TwoStateModel(BaseModelSpec):</w:t>
      </w:r>
      <w:r>
        <w:br/>
      </w:r>
      <w:r>
        <w:rPr>
          <w:rStyle w:val="VerbatimChar"/>
        </w:rPr>
        <w:t xml:space="preserve">    """Two-state transition: A -&gt; B with first-order kinetics."""</w:t>
      </w:r>
      <w:r>
        <w:br/>
      </w:r>
      <w:r>
        <w:rPr>
          <w:rStyle w:val="VerbatimChar"/>
        </w:rPr>
        <w:t xml:space="preserve">    type: Literal["two_state"] = "two_state"</w:t>
      </w:r>
      <w:r>
        <w:br/>
      </w:r>
      <w:r>
        <w:rPr>
          <w:rStyle w:val="VerbatimChar"/>
        </w:rPr>
        <w:t xml:space="preserve">    forward_rate: ParameterRole = Field(</w:t>
      </w:r>
      <w:r>
        <w:br/>
      </w:r>
      <w:r>
        <w:rPr>
          <w:rStyle w:val="VerbatimChar"/>
        </w:rPr>
        <w:t xml:space="preserve">        description="Forward transition rate constant"</w:t>
      </w:r>
      <w:r>
        <w:br/>
      </w:r>
      <w:r>
        <w:rPr>
          <w:rStyle w:val="VerbatimChar"/>
        </w:rPr>
        <w:t xml:space="preserve">    )</w:t>
      </w:r>
      <w:r>
        <w:br/>
      </w:r>
      <w:r>
        <w:br/>
      </w:r>
      <w:r>
        <w:rPr>
          <w:rStyle w:val="VerbatimChar"/>
        </w:rPr>
        <w:t xml:space="preserve">class CustomModel(BaseModelSpec):</w:t>
      </w:r>
      <w:r>
        <w:br/>
      </w:r>
      <w:r>
        <w:rPr>
          <w:rStyle w:val="VerbatimChar"/>
        </w:rPr>
        <w:t xml:space="preserve">    """Custom ODE with user-provided code"""</w:t>
      </w:r>
      <w:r>
        <w:br/>
      </w:r>
      <w:r>
        <w:rPr>
          <w:rStyle w:val="VerbatimChar"/>
        </w:rPr>
        <w:t xml:space="preserve">    type: Literal["custom"] = "custom"</w:t>
      </w:r>
      <w:r>
        <w:br/>
      </w:r>
      <w:r>
        <w:rPr>
          <w:rStyle w:val="VerbatimChar"/>
        </w:rPr>
        <w:t xml:space="preserve">    code: str = Field(description="Python ODE function")</w:t>
      </w:r>
      <w:r>
        <w:br/>
      </w:r>
      <w:r>
        <w:rPr>
          <w:rStyle w:val="VerbatimChar"/>
        </w:rPr>
        <w:t xml:space="preserve">    code_julia: str = Field(description="Julia ODE function for inference")</w:t>
      </w:r>
      <w:r>
        <w:br/>
      </w:r>
      <w:r>
        <w:br/>
      </w:r>
      <w:r>
        <w:rPr>
          <w:rStyle w:val="VerbatimChar"/>
        </w:rPr>
        <w:t xml:space="preserve"># Discriminated union selects model class based on 'type' field</w:t>
      </w:r>
      <w:r>
        <w:br/>
      </w:r>
      <w:r>
        <w:rPr>
          <w:rStyle w:val="VerbatimChar"/>
        </w:rPr>
        <w:t xml:space="preserve">Model = Annotated[</w:t>
      </w:r>
      <w:r>
        <w:br/>
      </w:r>
      <w:r>
        <w:rPr>
          <w:rStyle w:val="VerbatimChar"/>
        </w:rPr>
        <w:t xml:space="preserve">    Union[</w:t>
      </w:r>
      <w:r>
        <w:br/>
      </w:r>
      <w:r>
        <w:rPr>
          <w:rStyle w:val="VerbatimChar"/>
        </w:rPr>
        <w:t xml:space="preserve">        FirstOrderDecayModel,</w:t>
      </w:r>
      <w:r>
        <w:br/>
      </w:r>
      <w:r>
        <w:rPr>
          <w:rStyle w:val="VerbatimChar"/>
        </w:rPr>
        <w:t xml:space="preserve">        ExponentialGrowthModel,</w:t>
      </w:r>
      <w:r>
        <w:br/>
      </w:r>
      <w:r>
        <w:rPr>
          <w:rStyle w:val="VerbatimChar"/>
        </w:rPr>
        <w:t xml:space="preserve">        LogisticModel,</w:t>
      </w:r>
      <w:r>
        <w:br/>
      </w:r>
      <w:r>
        <w:rPr>
          <w:rStyle w:val="VerbatimChar"/>
        </w:rPr>
        <w:t xml:space="preserve">        MichaelisMentenModel,</w:t>
      </w:r>
      <w:r>
        <w:br/>
      </w:r>
      <w:r>
        <w:rPr>
          <w:rStyle w:val="VerbatimChar"/>
        </w:rPr>
        <w:t xml:space="preserve">        TwoStateModel,</w:t>
      </w:r>
      <w:r>
        <w:br/>
      </w:r>
      <w:r>
        <w:rPr>
          <w:rStyle w:val="VerbatimChar"/>
        </w:rPr>
        <w:t xml:space="preserve">        SaturationModel,</w:t>
      </w:r>
      <w:r>
        <w:br/>
      </w:r>
      <w:r>
        <w:rPr>
          <w:rStyle w:val="VerbatimChar"/>
        </w:rPr>
        <w:t xml:space="preserve">        DirectConversionModel,</w:t>
      </w:r>
      <w:r>
        <w:br/>
      </w:r>
      <w:r>
        <w:rPr>
          <w:rStyle w:val="VerbatimChar"/>
        </w:rPr>
        <w:t xml:space="preserve">        DirectFitModel,</w:t>
      </w:r>
      <w:r>
        <w:br/>
      </w:r>
      <w:r>
        <w:rPr>
          <w:rStyle w:val="VerbatimChar"/>
        </w:rPr>
        <w:t xml:space="preserve">        CustomModel,</w:t>
      </w:r>
      <w:r>
        <w:br/>
      </w:r>
      <w:r>
        <w:rPr>
          <w:rStyle w:val="VerbatimChar"/>
        </w:rPr>
        <w:t xml:space="preserve">    ],</w:t>
      </w:r>
      <w:r>
        <w:br/>
      </w:r>
      <w:r>
        <w:rPr>
          <w:rStyle w:val="VerbatimChar"/>
        </w:rPr>
        <w:t xml:space="preserve">    Field(discriminator="type"),</w:t>
      </w:r>
      <w:r>
        <w:br/>
      </w:r>
      <w:r>
        <w:rPr>
          <w:rStyle w:val="VerbatimChar"/>
        </w:rPr>
        <w:t xml:space="preserve">]</w:t>
      </w:r>
    </w:p>
    <w:p>
      <w:pPr>
        <w:pStyle w:val="FirstParagraph"/>
      </w:pPr>
      <w:r>
        <w:t xml:space="preserve">The</w:t>
      </w:r>
      <w:r>
        <w:t xml:space="preserve"> </w:t>
      </w:r>
      <w:r>
        <w:rPr>
          <w:rStyle w:val="VerbatimChar"/>
        </w:rPr>
        <w:t xml:space="preserve">discriminator="type"</w:t>
      </w:r>
      <w:r>
        <w:t xml:space="preserve"> </w:t>
      </w:r>
      <w:r>
        <w:t xml:space="preserve">annotation tells Pydantic to inspect the</w:t>
      </w:r>
      <w:r>
        <w:t xml:space="preserve"> </w:t>
      </w:r>
      <w:r>
        <w:rPr>
          <w:rStyle w:val="VerbatimChar"/>
        </w:rPr>
        <w:t xml:space="preserve">type</w:t>
      </w:r>
      <w:r>
        <w:t xml:space="preserve"> </w:t>
      </w:r>
      <w:r>
        <w:t xml:space="preserve">field in the YAML to determine which model class to instantiate. This ensures that an</w:t>
      </w:r>
      <w:r>
        <w:t xml:space="preserve"> </w:t>
      </w:r>
      <w:r>
        <w:rPr>
          <w:rStyle w:val="VerbatimChar"/>
        </w:rPr>
        <w:t xml:space="preserve">exponential_growth</w:t>
      </w:r>
      <w:r>
        <w:t xml:space="preserve"> </w:t>
      </w:r>
      <w:r>
        <w:t xml:space="preserve">model is validated against</w:t>
      </w:r>
      <w:r>
        <w:t xml:space="preserve"> </w:t>
      </w:r>
      <w:r>
        <w:rPr>
          <w:rStyle w:val="VerbatimChar"/>
        </w:rPr>
        <w:t xml:space="preserve">ExponentialGrowthModel</w:t>
      </w:r>
      <w:r>
        <w:t xml:space="preserve"> </w:t>
      </w:r>
      <w:r>
        <w:t xml:space="preserve">(which requires</w:t>
      </w:r>
      <w:r>
        <w:t xml:space="preserve"> </w:t>
      </w:r>
      <w:r>
        <w:rPr>
          <w:rStyle w:val="VerbatimChar"/>
        </w:rPr>
        <w:t xml:space="preserve">rate_constant</w:t>
      </w:r>
      <w:r>
        <w:t xml:space="preserve">) while a</w:t>
      </w:r>
      <w:r>
        <w:t xml:space="preserve"> </w:t>
      </w:r>
      <w:r>
        <w:rPr>
          <w:rStyle w:val="VerbatimChar"/>
        </w:rPr>
        <w:t xml:space="preserve">two_state</w:t>
      </w:r>
      <w:r>
        <w:t xml:space="preserve"> </w:t>
      </w:r>
      <w:r>
        <w:t xml:space="preserve">model is validated against</w:t>
      </w:r>
      <w:r>
        <w:t xml:space="preserve"> </w:t>
      </w:r>
      <w:r>
        <w:rPr>
          <w:rStyle w:val="VerbatimChar"/>
        </w:rPr>
        <w:t xml:space="preserve">TwoStateModel</w:t>
      </w:r>
      <w:r>
        <w:t xml:space="preserve"> </w:t>
      </w:r>
      <w:r>
        <w:t xml:space="preserve">(which requires</w:t>
      </w:r>
      <w:r>
        <w:t xml:space="preserve"> </w:t>
      </w:r>
      <w:r>
        <w:rPr>
          <w:rStyle w:val="VerbatimChar"/>
        </w:rPr>
        <w:t xml:space="preserve">forward_rate</w:t>
      </w:r>
      <w:r>
        <w:t xml:space="preserve">).</w:t>
      </w:r>
    </w:p>
    <w:bookmarkEnd w:id="39"/>
    <w:bookmarkStart w:id="40" w:name="prior-specification"/>
    <w:p>
      <w:pPr>
        <w:pStyle w:val="Heading2"/>
      </w:pPr>
      <w:r>
        <w:rPr>
          <w:rStyle w:val="SectionNumber"/>
        </w:rPr>
        <w:t xml:space="preserve">5.4</w:t>
      </w:r>
      <w:r>
        <w:tab/>
      </w:r>
      <w:r>
        <w:t xml:space="preserve">Prior Specification</w:t>
      </w:r>
    </w:p>
    <w:p>
      <w:pPr>
        <w:pStyle w:val="FirstParagraph"/>
      </w:pPr>
      <w:r>
        <w:t xml:space="preserve">Priors are specified with distribution type and parameters:</w:t>
      </w:r>
    </w:p>
    <w:p>
      <w:pPr>
        <w:pStyle w:val="SourceCode"/>
      </w:pPr>
      <w:r>
        <w:rPr>
          <w:rStyle w:val="VerbatimChar"/>
        </w:rPr>
        <w:t xml:space="preserve">class PriorDistribution(str, Enum):</w:t>
      </w:r>
      <w:r>
        <w:br/>
      </w:r>
      <w:r>
        <w:rPr>
          <w:rStyle w:val="VerbatimChar"/>
        </w:rPr>
        <w:t xml:space="preserve">    """Supported prior distribution types."""</w:t>
      </w:r>
      <w:r>
        <w:br/>
      </w:r>
      <w:r>
        <w:rPr>
          <w:rStyle w:val="VerbatimChar"/>
        </w:rPr>
        <w:t xml:space="preserve">    LOGNORMAL = "lognormal"    # For positive parameters (rates, densities)</w:t>
      </w:r>
      <w:r>
        <w:br/>
      </w:r>
      <w:r>
        <w:rPr>
          <w:rStyle w:val="VerbatimChar"/>
        </w:rPr>
        <w:t xml:space="preserve">    NORMAL = "normal"          # For unconstrained parameters</w:t>
      </w:r>
      <w:r>
        <w:br/>
      </w:r>
      <w:r>
        <w:rPr>
          <w:rStyle w:val="VerbatimChar"/>
        </w:rPr>
        <w:t xml:space="preserve">    UNIFORM = "uniform"        # For bounded parameters</w:t>
      </w:r>
      <w:r>
        <w:br/>
      </w:r>
      <w:r>
        <w:rPr>
          <w:rStyle w:val="VerbatimChar"/>
        </w:rPr>
        <w:t xml:space="preserve">    HALF_NORMAL = "half_normal"  # For positive parameters with mode at 0</w:t>
      </w:r>
      <w:r>
        <w:br/>
      </w:r>
      <w:r>
        <w:br/>
      </w:r>
      <w:r>
        <w:rPr>
          <w:rStyle w:val="VerbatimChar"/>
        </w:rPr>
        <w:t xml:space="preserve">class Prior(BaseModel):</w:t>
      </w:r>
      <w:r>
        <w:br/>
      </w:r>
      <w:r>
        <w:rPr>
          <w:rStyle w:val="VerbatimChar"/>
        </w:rPr>
        <w:t xml:space="preserve">    """Prior distribution specification for Bayesian inference."""</w:t>
      </w:r>
      <w:r>
        <w:br/>
      </w:r>
      <w:r>
        <w:rPr>
          <w:rStyle w:val="VerbatimChar"/>
        </w:rPr>
        <w:t xml:space="preserve">    distribution: PriorDistribution</w:t>
      </w:r>
      <w:r>
        <w:br/>
      </w:r>
      <w:r>
        <w:rPr>
          <w:rStyle w:val="VerbatimChar"/>
        </w:rPr>
        <w:t xml:space="preserve">    mu: Optional[float] = Field(default=None, description="Location parameter")</w:t>
      </w:r>
      <w:r>
        <w:br/>
      </w:r>
      <w:r>
        <w:rPr>
          <w:rStyle w:val="VerbatimChar"/>
        </w:rPr>
        <w:t xml:space="preserve">    sigma: Optional[float] = Field(default=None, description="Scale parameter")</w:t>
      </w:r>
      <w:r>
        <w:br/>
      </w:r>
      <w:r>
        <w:rPr>
          <w:rStyle w:val="VerbatimChar"/>
        </w:rPr>
        <w:t xml:space="preserve">    lower: Optional[float] = Field(default=None, description="Lower bound")</w:t>
      </w:r>
      <w:r>
        <w:br/>
      </w:r>
      <w:r>
        <w:rPr>
          <w:rStyle w:val="VerbatimChar"/>
        </w:rPr>
        <w:t xml:space="preserve">    upper: Optional[float] = Field(default=None, description="Upper bound")</w:t>
      </w:r>
      <w:r>
        <w:br/>
      </w:r>
      <w:r>
        <w:rPr>
          <w:rStyle w:val="VerbatimChar"/>
        </w:rPr>
        <w:t xml:space="preserve">    rationale: Optional[str] = Field(default=None)</w:t>
      </w:r>
      <w:r>
        <w:br/>
      </w:r>
      <w:r>
        <w:br/>
      </w:r>
      <w:r>
        <w:rPr>
          <w:rStyle w:val="VerbatimChar"/>
        </w:rPr>
        <w:t xml:space="preserve">    @model_validator(mode="after")</w:t>
      </w:r>
      <w:r>
        <w:br/>
      </w:r>
      <w:r>
        <w:rPr>
          <w:rStyle w:val="VerbatimChar"/>
        </w:rPr>
        <w:t xml:space="preserve">    def validate_prior_params(self) -&gt; "Prior":</w:t>
      </w:r>
      <w:r>
        <w:br/>
      </w:r>
      <w:r>
        <w:rPr>
          <w:rStyle w:val="VerbatimChar"/>
        </w:rPr>
        <w:t xml:space="preserve">        """Validate that required parameters are provided for each distribution."""</w:t>
      </w:r>
      <w:r>
        <w:br/>
      </w:r>
      <w:r>
        <w:rPr>
          <w:rStyle w:val="VerbatimChar"/>
        </w:rPr>
        <w:t xml:space="preserve">        if self.distribution == PriorDistribution.LOGNORMAL:</w:t>
      </w:r>
      <w:r>
        <w:br/>
      </w:r>
      <w:r>
        <w:rPr>
          <w:rStyle w:val="VerbatimChar"/>
        </w:rPr>
        <w:t xml:space="preserve">            if self.mu is None or self.sigma is None:</w:t>
      </w:r>
      <w:r>
        <w:br/>
      </w:r>
      <w:r>
        <w:rPr>
          <w:rStyle w:val="VerbatimChar"/>
        </w:rPr>
        <w:t xml:space="preserve">                raise ValueError("lognormal prior requires mu and sigma")</w:t>
      </w:r>
      <w:r>
        <w:br/>
      </w:r>
      <w:r>
        <w:rPr>
          <w:rStyle w:val="VerbatimChar"/>
        </w:rPr>
        <w:t xml:space="preserve">        elif self.distribution == PriorDistribution.UNIFORM:</w:t>
      </w:r>
      <w:r>
        <w:br/>
      </w:r>
      <w:r>
        <w:rPr>
          <w:rStyle w:val="VerbatimChar"/>
        </w:rPr>
        <w:t xml:space="preserve">            if self.lower is None or self.upper is None:</w:t>
      </w:r>
      <w:r>
        <w:br/>
      </w:r>
      <w:r>
        <w:rPr>
          <w:rStyle w:val="VerbatimChar"/>
        </w:rPr>
        <w:t xml:space="preserve">                raise ValueError("uniform prior requires lower and upper")</w:t>
      </w:r>
      <w:r>
        <w:br/>
      </w:r>
      <w:r>
        <w:rPr>
          <w:rStyle w:val="VerbatimChar"/>
        </w:rPr>
        <w:t xml:space="preserve">            if self.lower &gt;= self.upper:</w:t>
      </w:r>
      <w:r>
        <w:br/>
      </w:r>
      <w:r>
        <w:rPr>
          <w:rStyle w:val="VerbatimChar"/>
        </w:rPr>
        <w:t xml:space="preserve">                raise ValueError("uniform lower must be &lt; upper")</w:t>
      </w:r>
      <w:r>
        <w:br/>
      </w:r>
      <w:r>
        <w:rPr>
          <w:rStyle w:val="VerbatimChar"/>
        </w:rPr>
        <w:t xml:space="preserve">        return self</w:t>
      </w:r>
    </w:p>
    <w:bookmarkEnd w:id="40"/>
    <w:bookmarkStart w:id="41" w:name="loading-and-validating-yaml-files"/>
    <w:p>
      <w:pPr>
        <w:pStyle w:val="Heading2"/>
      </w:pPr>
      <w:r>
        <w:rPr>
          <w:rStyle w:val="SectionNumber"/>
        </w:rPr>
        <w:t xml:space="preserve">5.5</w:t>
      </w:r>
      <w:r>
        <w:tab/>
      </w:r>
      <w:r>
        <w:t xml:space="preserve">Loading and Validating YAML Files</w:t>
      </w:r>
    </w:p>
    <w:p>
      <w:pPr>
        <w:pStyle w:val="FirstParagraph"/>
      </w:pPr>
      <w:r>
        <w:t xml:space="preserve">To load and validate a calibration target:</w:t>
      </w:r>
    </w:p>
    <w:p>
      <w:pPr>
        <w:pStyle w:val="SourceCode"/>
      </w:pPr>
      <w:r>
        <w:rPr>
          <w:rStyle w:val="VerbatimChar"/>
        </w:rPr>
        <w:t xml:space="preserve">import yaml</w:t>
      </w:r>
      <w:r>
        <w:br/>
      </w:r>
      <w:r>
        <w:rPr>
          <w:rStyle w:val="VerbatimChar"/>
        </w:rPr>
        <w:t xml:space="preserve">from maple.core.calibration import SubmodelTarget</w:t>
      </w:r>
      <w:r>
        <w:br/>
      </w:r>
      <w:r>
        <w:br/>
      </w:r>
      <w:r>
        <w:rPr>
          <w:rStyle w:val="VerbatimChar"/>
        </w:rPr>
        <w:t xml:space="preserve"># Load YAML file</w:t>
      </w:r>
      <w:r>
        <w:br/>
      </w:r>
      <w:r>
        <w:rPr>
          <w:rStyle w:val="VerbatimChar"/>
        </w:rPr>
        <w:t xml:space="preserve">with open("psc_proliferation_PDAC_deriv001.yaml") as f:</w:t>
      </w:r>
      <w:r>
        <w:br/>
      </w:r>
      <w:r>
        <w:rPr>
          <w:rStyle w:val="VerbatimChar"/>
        </w:rPr>
        <w:t xml:space="preserve">    data = yaml.safe_load(f)</w:t>
      </w:r>
      <w:r>
        <w:br/>
      </w:r>
      <w:r>
        <w:br/>
      </w:r>
      <w:r>
        <w:rPr>
          <w:rStyle w:val="VerbatimChar"/>
        </w:rPr>
        <w:t xml:space="preserve"># Parse and validate (raises ValidationError on failure)</w:t>
      </w:r>
      <w:r>
        <w:br/>
      </w:r>
      <w:r>
        <w:rPr>
          <w:rStyle w:val="VerbatimChar"/>
        </w:rPr>
        <w:t xml:space="preserve">target = SubmodelTarget(**data)</w:t>
      </w:r>
      <w:r>
        <w:br/>
      </w:r>
      <w:r>
        <w:br/>
      </w:r>
      <w:r>
        <w:rPr>
          <w:rStyle w:val="VerbatimChar"/>
        </w:rPr>
        <w:t xml:space="preserve"># Access validated fields</w:t>
      </w:r>
      <w:r>
        <w:br/>
      </w:r>
      <w:r>
        <w:rPr>
          <w:rStyle w:val="VerbatimChar"/>
        </w:rPr>
        <w:t xml:space="preserve">print(f"Target: {target.target_id}")</w:t>
      </w:r>
      <w:r>
        <w:br/>
      </w:r>
      <w:r>
        <w:rPr>
          <w:rStyle w:val="VerbatimChar"/>
        </w:rPr>
        <w:t xml:space="preserve">print(f"Parameters: {[p.name for p in target.calibration.parameters]}")</w:t>
      </w:r>
      <w:r>
        <w:br/>
      </w:r>
      <w:r>
        <w:rPr>
          <w:rStyle w:val="VerbatimChar"/>
        </w:rPr>
        <w:t xml:space="preserve">print(f"Model type: {target.calibration.model.type}")</w:t>
      </w:r>
    </w:p>
    <w:p>
      <w:pPr>
        <w:pStyle w:val="FirstParagraph"/>
      </w:pPr>
      <w:r>
        <w:t xml:space="preserve">If validation fails, Pydantic raises a</w:t>
      </w:r>
      <w:r>
        <w:t xml:space="preserve"> </w:t>
      </w:r>
      <w:r>
        <w:rPr>
          <w:rStyle w:val="VerbatimChar"/>
        </w:rPr>
        <w:t xml:space="preserve">ValidationError</w:t>
      </w:r>
      <w:r>
        <w:t xml:space="preserve"> </w:t>
      </w:r>
      <w:r>
        <w:t xml:space="preserve">with detailed error messages:</w:t>
      </w:r>
    </w:p>
    <w:p>
      <w:pPr>
        <w:pStyle w:val="SourceCode"/>
      </w:pPr>
      <w:r>
        <w:rPr>
          <w:rStyle w:val="VerbatimChar"/>
        </w:rPr>
        <w:t xml:space="preserve">pydantic_core._pydantic_core.ValidationError: 2 validation errors for SubmodelTarget</w:t>
      </w:r>
      <w:r>
        <w:br/>
      </w:r>
      <w:r>
        <w:rPr>
          <w:rStyle w:val="VerbatimChar"/>
        </w:rPr>
        <w:t xml:space="preserve">calibration.measurements.0.uses_inputs.0</w:t>
      </w:r>
      <w:r>
        <w:br/>
      </w:r>
      <w:r>
        <w:rPr>
          <w:rStyle w:val="VerbatimChar"/>
        </w:rPr>
        <w:t xml:space="preserve">  Input 'typo_input_name' not found in inputs [...]</w:t>
      </w:r>
      <w:r>
        <w:br/>
      </w:r>
      <w:r>
        <w:rPr>
          <w:rStyle w:val="VerbatimChar"/>
        </w:rPr>
        <w:t xml:space="preserve">primary_data_source.doi</w:t>
      </w:r>
      <w:r>
        <w:br/>
      </w:r>
      <w:r>
        <w:rPr>
          <w:rStyle w:val="VerbatimChar"/>
        </w:rPr>
        <w:t xml:space="preserve">  DOI '10.1234/fake' failed to resolve [...]</w:t>
      </w:r>
    </w:p>
    <w:bookmarkEnd w:id="41"/>
    <w:bookmarkStart w:id="42" w:name="calibrationtarget-model"/>
    <w:p>
      <w:pPr>
        <w:pStyle w:val="Heading2"/>
      </w:pPr>
      <w:r>
        <w:rPr>
          <w:rStyle w:val="SectionNumber"/>
        </w:rPr>
        <w:t xml:space="preserve">5.6</w:t>
      </w:r>
      <w:r>
        <w:tab/>
      </w:r>
      <w:r>
        <w:t xml:space="preserve">CalibrationTarget Model</w:t>
      </w:r>
    </w:p>
    <w:p>
      <w:pPr>
        <w:pStyle w:val="FirstParagraph"/>
      </w:pPr>
      <w:r>
        <w:t xml:space="preserve">The</w:t>
      </w:r>
      <w:r>
        <w:t xml:space="preserve"> </w:t>
      </w:r>
      <w:r>
        <w:rPr>
          <w:rStyle w:val="VerbatimChar"/>
        </w:rPr>
        <w:t xml:space="preserve">CalibrationTarget</w:t>
      </w:r>
      <w:r>
        <w:t xml:space="preserve"> </w:t>
      </w:r>
      <w:r>
        <w:t xml:space="preserve">schema represents clinical and in vivo endpoints for full-model calibration. Where SubmodelTarget isolates a single mechanism, CalibrationTarget operates on the full model state.</w:t>
      </w:r>
    </w:p>
    <w:p>
      <w:pPr>
        <w:pStyle w:val="SourceCode"/>
      </w:pPr>
      <w:r>
        <w:rPr>
          <w:rStyle w:val="VerbatimChar"/>
        </w:rPr>
        <w:t xml:space="preserve">class CalibrationTarget(BaseModel):</w:t>
      </w:r>
      <w:r>
        <w:br/>
      </w:r>
      <w:r>
        <w:rPr>
          <w:rStyle w:val="VerbatimChar"/>
        </w:rPr>
        <w:t xml:space="preserve">    """</w:t>
      </w:r>
      <w:r>
        <w:br/>
      </w:r>
      <w:r>
        <w:rPr>
          <w:rStyle w:val="VerbatimChar"/>
        </w:rPr>
        <w:t xml:space="preserve">    Calibration target for full-model Bayesian inference.</w:t>
      </w:r>
      <w:r>
        <w:br/>
      </w:r>
      <w:r>
        <w:br/>
      </w:r>
      <w:r>
        <w:rPr>
          <w:rStyle w:val="VerbatimChar"/>
        </w:rPr>
        <w:t xml:space="preserve">    Represents a clinical or in vivo measurement that constrains</w:t>
      </w:r>
      <w:r>
        <w:br/>
      </w:r>
      <w:r>
        <w:rPr>
          <w:rStyle w:val="VerbatimChar"/>
        </w:rPr>
        <w:t xml:space="preserve">    model behavior at the system level.</w:t>
      </w:r>
      <w:r>
        <w:br/>
      </w:r>
      <w:r>
        <w:rPr>
          <w:rStyle w:val="VerbatimChar"/>
        </w:rPr>
        <w:t xml:space="preserve">    """</w:t>
      </w:r>
      <w:r>
        <w:br/>
      </w:r>
      <w:r>
        <w:rPr>
          <w:rStyle w:val="VerbatimChar"/>
        </w:rPr>
        <w:t xml:space="preserve">    # Observable: how to compute the measurement from model species</w:t>
      </w:r>
      <w:r>
        <w:br/>
      </w:r>
      <w:r>
        <w:rPr>
          <w:rStyle w:val="VerbatimChar"/>
        </w:rPr>
        <w:t xml:space="preserve">    observable: Observable = Field(</w:t>
      </w:r>
      <w:r>
        <w:br/>
      </w:r>
      <w:r>
        <w:rPr>
          <w:rStyle w:val="VerbatimChar"/>
        </w:rPr>
        <w:t xml:space="preserve">        description="Maps full model species to measured quantity"</w:t>
      </w:r>
      <w:r>
        <w:br/>
      </w:r>
      <w:r>
        <w:rPr>
          <w:rStyle w:val="VerbatimChar"/>
        </w:rPr>
        <w:t xml:space="preserve">    )</w:t>
      </w:r>
      <w:r>
        <w:br/>
      </w:r>
      <w:r>
        <w:br/>
      </w:r>
      <w:r>
        <w:rPr>
          <w:rStyle w:val="VerbatimChar"/>
        </w:rPr>
        <w:t xml:space="preserve">    # Empirical data: literature-derived distribution</w:t>
      </w:r>
      <w:r>
        <w:br/>
      </w:r>
      <w:r>
        <w:rPr>
          <w:rStyle w:val="VerbatimChar"/>
        </w:rPr>
        <w:t xml:space="preserve">    empirical_data: CalibrationTargetEstimates = Field(</w:t>
      </w:r>
      <w:r>
        <w:br/>
      </w:r>
      <w:r>
        <w:rPr>
          <w:rStyle w:val="VerbatimChar"/>
        </w:rPr>
        <w:t xml:space="preserve">        description="Observed values derived from literature via Monte Carlo"</w:t>
      </w:r>
      <w:r>
        <w:br/>
      </w:r>
      <w:r>
        <w:rPr>
          <w:rStyle w:val="VerbatimChar"/>
        </w:rPr>
        <w:t xml:space="preserve">    )</w:t>
      </w:r>
      <w:r>
        <w:br/>
      </w:r>
      <w:r>
        <w:br/>
      </w:r>
      <w:r>
        <w:rPr>
          <w:rStyle w:val="VerbatimChar"/>
        </w:rPr>
        <w:t xml:space="preserve">    # Clinical/experimental context</w:t>
      </w:r>
      <w:r>
        <w:br/>
      </w:r>
      <w:r>
        <w:rPr>
          <w:rStyle w:val="VerbatimChar"/>
        </w:rPr>
        <w:t xml:space="preserve">    experimental_context: ExperimentalContext = Field(</w:t>
      </w:r>
      <w:r>
        <w:br/>
      </w:r>
      <w:r>
        <w:rPr>
          <w:rStyle w:val="VerbatimChar"/>
        </w:rPr>
        <w:t xml:space="preserve">        description="Species, system, indication, treatment, staging"</w:t>
      </w:r>
      <w:r>
        <w:br/>
      </w:r>
      <w:r>
        <w:rPr>
          <w:rStyle w:val="VerbatimChar"/>
        </w:rPr>
        <w:t xml:space="preserve">    )</w:t>
      </w:r>
      <w:r>
        <w:br/>
      </w:r>
      <w:r>
        <w:rPr>
          <w:rStyle w:val="VerbatimChar"/>
        </w:rPr>
        <w:t xml:space="preserve">    scenario: Optional[Scenario] = Field(</w:t>
      </w:r>
      <w:r>
        <w:br/>
      </w:r>
      <w:r>
        <w:rPr>
          <w:rStyle w:val="VerbatimChar"/>
        </w:rPr>
        <w:t xml:space="preserve">        default=None,</w:t>
      </w:r>
      <w:r>
        <w:br/>
      </w:r>
      <w:r>
        <w:rPr>
          <w:rStyle w:val="VerbatimChar"/>
        </w:rPr>
        <w:t xml:space="preserve">        description="Treatment scenario for intervention studies"</w:t>
      </w:r>
      <w:r>
        <w:br/>
      </w:r>
      <w:r>
        <w:rPr>
          <w:rStyle w:val="VerbatimChar"/>
        </w:rPr>
        <w:t xml:space="preserve">    )</w:t>
      </w:r>
      <w:r>
        <w:br/>
      </w:r>
      <w:r>
        <w:br/>
      </w:r>
      <w:r>
        <w:rPr>
          <w:rStyle w:val="VerbatimChar"/>
        </w:rPr>
        <w:t xml:space="preserve">    # Interpretation and provenance (shared with SubmodelTarget)</w:t>
      </w:r>
      <w:r>
        <w:br/>
      </w:r>
      <w:r>
        <w:rPr>
          <w:rStyle w:val="VerbatimChar"/>
        </w:rPr>
        <w:t xml:space="preserve">    study_interpretation: str</w:t>
      </w:r>
      <w:r>
        <w:br/>
      </w:r>
      <w:r>
        <w:rPr>
          <w:rStyle w:val="VerbatimChar"/>
        </w:rPr>
        <w:t xml:space="preserve">    key_assumptions: List[str]</w:t>
      </w:r>
      <w:r>
        <w:br/>
      </w:r>
      <w:r>
        <w:rPr>
          <w:rStyle w:val="VerbatimChar"/>
        </w:rPr>
        <w:t xml:space="preserve">    key_study_limitations: Optional[List[str]] = None</w:t>
      </w:r>
      <w:r>
        <w:br/>
      </w:r>
      <w:r>
        <w:rPr>
          <w:rStyle w:val="VerbatimChar"/>
        </w:rPr>
        <w:t xml:space="preserve">    primary_data_source: PrimaryDataSource</w:t>
      </w:r>
      <w:r>
        <w:br/>
      </w:r>
      <w:r>
        <w:rPr>
          <w:rStyle w:val="VerbatimChar"/>
        </w:rPr>
        <w:t xml:space="preserve">    secondary_data_sources: Optional[List[SecondaryDataSource]] = None</w:t>
      </w:r>
      <w:r>
        <w:br/>
      </w:r>
      <w:r>
        <w:rPr>
          <w:rStyle w:val="VerbatimChar"/>
        </w:rPr>
        <w:t xml:space="preserve">    source_relevance: Optional[SourceRelevanceAssessment] = None</w:t>
      </w:r>
      <w:r>
        <w:br/>
      </w:r>
      <w:r>
        <w:br/>
      </w:r>
      <w:r>
        <w:rPr>
          <w:rStyle w:val="VerbatimChar"/>
        </w:rPr>
        <w:t xml:space="preserve">    # 30+ validators (see Section S3)</w:t>
      </w:r>
    </w:p>
    <w:bookmarkEnd w:id="42"/>
    <w:bookmarkStart w:id="43" w:name="observable"/>
    <w:p>
      <w:pPr>
        <w:pStyle w:val="Heading2"/>
      </w:pPr>
      <w:r>
        <w:rPr>
          <w:rStyle w:val="SectionNumber"/>
        </w:rPr>
        <w:t xml:space="preserve">5.7</w:t>
      </w:r>
      <w:r>
        <w:tab/>
      </w:r>
      <w:r>
        <w:t xml:space="preserve">Observable</w:t>
      </w:r>
    </w:p>
    <w:p>
      <w:pPr>
        <w:pStyle w:val="FirstParagraph"/>
      </w:pPr>
      <w:r>
        <w:t xml:space="preserve">The</w:t>
      </w:r>
      <w:r>
        <w:t xml:space="preserve"> </w:t>
      </w:r>
      <w:r>
        <w:rPr>
          <w:rStyle w:val="VerbatimChar"/>
        </w:rPr>
        <w:t xml:space="preserve">Observable</w:t>
      </w:r>
      <w:r>
        <w:t xml:space="preserve"> </w:t>
      </w:r>
      <w:r>
        <w:t xml:space="preserve">specifies how to compute the experimental measurement from full model species. Unlike SubmodelTarget’s forward model (which defines isolated dynamics), the observable operates on the solved full-model state.</w:t>
      </w:r>
    </w:p>
    <w:p>
      <w:pPr>
        <w:pStyle w:val="SourceCode"/>
      </w:pPr>
      <w:r>
        <w:rPr>
          <w:rStyle w:val="VerbatimChar"/>
        </w:rPr>
        <w:t xml:space="preserve">class Observable(BaseModel):</w:t>
      </w:r>
      <w:r>
        <w:br/>
      </w:r>
      <w:r>
        <w:rPr>
          <w:rStyle w:val="VerbatimChar"/>
        </w:rPr>
        <w:t xml:space="preserve">    """</w:t>
      </w:r>
      <w:r>
        <w:br/>
      </w:r>
      <w:r>
        <w:rPr>
          <w:rStyle w:val="VerbatimChar"/>
        </w:rPr>
        <w:t xml:space="preserve">    Full-model observable for CalibrationTarget.</w:t>
      </w:r>
      <w:r>
        <w:br/>
      </w:r>
      <w:r>
        <w:br/>
      </w:r>
      <w:r>
        <w:rPr>
          <w:rStyle w:val="VerbatimChar"/>
        </w:rPr>
        <w:t xml:space="preserve">    The code field contains a Python function that computes the</w:t>
      </w:r>
      <w:r>
        <w:br/>
      </w:r>
      <w:r>
        <w:rPr>
          <w:rStyle w:val="VerbatimChar"/>
        </w:rPr>
        <w:t xml:space="preserve">    measured quantity from model species at each time point.</w:t>
      </w:r>
      <w:r>
        <w:br/>
      </w:r>
      <w:r>
        <w:rPr>
          <w:rStyle w:val="VerbatimChar"/>
        </w:rPr>
        <w:t xml:space="preserve">    """</w:t>
      </w:r>
      <w:r>
        <w:br/>
      </w:r>
      <w:r>
        <w:rPr>
          <w:rStyle w:val="VerbatimChar"/>
        </w:rPr>
        <w:t xml:space="preserve">    code: str = Field(</w:t>
      </w:r>
      <w:r>
        <w:br/>
      </w:r>
      <w:r>
        <w:rPr>
          <w:rStyle w:val="VerbatimChar"/>
        </w:rPr>
        <w:t xml:space="preserve">        description="Python: compute_observable(time, species_dict, "</w:t>
      </w:r>
      <w:r>
        <w:br/>
      </w:r>
      <w:r>
        <w:rPr>
          <w:rStyle w:val="VerbatimChar"/>
        </w:rPr>
        <w:t xml:space="preserve">                    "constants, ureg) -&gt; Quantity array"</w:t>
      </w:r>
      <w:r>
        <w:br/>
      </w:r>
      <w:r>
        <w:rPr>
          <w:rStyle w:val="VerbatimChar"/>
        </w:rPr>
        <w:t xml:space="preserve">    )</w:t>
      </w:r>
      <w:r>
        <w:br/>
      </w:r>
      <w:r>
        <w:rPr>
          <w:rStyle w:val="VerbatimChar"/>
        </w:rPr>
        <w:t xml:space="preserve">    units: str = Field(description="Units of the observable output")</w:t>
      </w:r>
      <w:r>
        <w:br/>
      </w:r>
      <w:r>
        <w:rPr>
          <w:rStyle w:val="VerbatimChar"/>
        </w:rPr>
        <w:t xml:space="preserve">    species: List[str] = Field(</w:t>
      </w:r>
      <w:r>
        <w:br/>
      </w:r>
      <w:r>
        <w:rPr>
          <w:rStyle w:val="VerbatimChar"/>
        </w:rPr>
        <w:t xml:space="preserve">        description="Model species accessed (e.g., ['V_T.CD8', 'V_T.C1'])"</w:t>
      </w:r>
      <w:r>
        <w:br/>
      </w:r>
      <w:r>
        <w:rPr>
          <w:rStyle w:val="VerbatimChar"/>
        </w:rPr>
        <w:t xml:space="preserve">    )</w:t>
      </w:r>
      <w:r>
        <w:br/>
      </w:r>
      <w:r>
        <w:rPr>
          <w:rStyle w:val="VerbatimChar"/>
        </w:rPr>
        <w:t xml:space="preserve">    constants: Optional[List[ObservableConstant]] = Field(</w:t>
      </w:r>
      <w:r>
        <w:br/>
      </w:r>
      <w:r>
        <w:rPr>
          <w:rStyle w:val="VerbatimChar"/>
        </w:rPr>
        <w:t xml:space="preserve">        default=None,</w:t>
      </w:r>
      <w:r>
        <w:br/>
      </w:r>
      <w:r>
        <w:rPr>
          <w:rStyle w:val="VerbatimChar"/>
        </w:rPr>
        <w:t xml:space="preserve">        description="Named constants with provenance"</w:t>
      </w:r>
      <w:r>
        <w:br/>
      </w:r>
      <w:r>
        <w:rPr>
          <w:rStyle w:val="VerbatimChar"/>
        </w:rPr>
        <w:t xml:space="preserve">    )</w:t>
      </w:r>
      <w:r>
        <w:br/>
      </w:r>
      <w:r>
        <w:rPr>
          <w:rStyle w:val="VerbatimChar"/>
        </w:rPr>
        <w:t xml:space="preserve">    inputs: Optional[List[SubmodelInput]] = Field(</w:t>
      </w:r>
      <w:r>
        <w:br/>
      </w:r>
      <w:r>
        <w:rPr>
          <w:rStyle w:val="VerbatimChar"/>
        </w:rPr>
        <w:t xml:space="preserve">        default=None,</w:t>
      </w:r>
      <w:r>
        <w:br/>
      </w:r>
      <w:r>
        <w:rPr>
          <w:rStyle w:val="VerbatimChar"/>
        </w:rPr>
        <w:t xml:space="preserve">        description="Literature values used in the observable"</w:t>
      </w:r>
      <w:r>
        <w:br/>
      </w:r>
      <w:r>
        <w:rPr>
          <w:rStyle w:val="VerbatimChar"/>
        </w:rPr>
        <w:t xml:space="preserve">    )</w:t>
      </w:r>
      <w:r>
        <w:br/>
      </w:r>
      <w:r>
        <w:rPr>
          <w:rStyle w:val="VerbatimChar"/>
        </w:rPr>
        <w:t xml:space="preserve">    support: SupportType = Field(</w:t>
      </w:r>
      <w:r>
        <w:br/>
      </w:r>
      <w:r>
        <w:rPr>
          <w:rStyle w:val="VerbatimChar"/>
        </w:rPr>
        <w:t xml:space="preserve">        description="Mathematical domain: positive, non_negative, "</w:t>
      </w:r>
      <w:r>
        <w:br/>
      </w:r>
      <w:r>
        <w:rPr>
          <w:rStyle w:val="VerbatimChar"/>
        </w:rPr>
        <w:t xml:space="preserve">                    "unit_interval, real"</w:t>
      </w:r>
      <w:r>
        <w:br/>
      </w:r>
      <w:r>
        <w:rPr>
          <w:rStyle w:val="VerbatimChar"/>
        </w:rPr>
        <w:t xml:space="preserve">    )</w:t>
      </w:r>
      <w:r>
        <w:br/>
      </w:r>
      <w:r>
        <w:rPr>
          <w:rStyle w:val="VerbatimChar"/>
        </w:rPr>
        <w:t xml:space="preserve">    mapping_rationale: str = Field(</w:t>
      </w:r>
      <w:r>
        <w:br/>
      </w:r>
      <w:r>
        <w:rPr>
          <w:rStyle w:val="VerbatimChar"/>
        </w:rPr>
        <w:t xml:space="preserve">        description="How the literature measurement maps to model species"</w:t>
      </w:r>
      <w:r>
        <w:br/>
      </w:r>
      <w:r>
        <w:rPr>
          <w:rStyle w:val="VerbatimChar"/>
        </w:rPr>
        <w:t xml:space="preserve">    )</w:t>
      </w:r>
      <w:r>
        <w:br/>
      </w:r>
      <w:r>
        <w:rPr>
          <w:rStyle w:val="VerbatimChar"/>
        </w:rPr>
        <w:t xml:space="preserve">    # Denominator audit fields for density/fraction observables</w:t>
      </w:r>
      <w:r>
        <w:br/>
      </w:r>
      <w:r>
        <w:rPr>
          <w:rStyle w:val="VerbatimChar"/>
        </w:rPr>
        <w:t xml:space="preserve">    experimental_denominator: Optional[str] = None</w:t>
      </w:r>
      <w:r>
        <w:br/>
      </w:r>
      <w:r>
        <w:rPr>
          <w:rStyle w:val="VerbatimChar"/>
        </w:rPr>
        <w:t xml:space="preserve">    model_denominator_species: Optional[List[str]] = None</w:t>
      </w:r>
    </w:p>
    <w:p>
      <w:pPr>
        <w:pStyle w:val="FirstParagraph"/>
      </w:pPr>
      <w:r>
        <w:t xml:space="preserve">Each</w:t>
      </w:r>
      <w:r>
        <w:t xml:space="preserve"> </w:t>
      </w:r>
      <w:r>
        <w:rPr>
          <w:rStyle w:val="VerbatimChar"/>
        </w:rPr>
        <w:t xml:space="preserve">ObservableConstant</w:t>
      </w:r>
      <w:r>
        <w:t xml:space="preserve"> </w:t>
      </w:r>
      <w:r>
        <w:t xml:space="preserve">requires a</w:t>
      </w:r>
      <w:r>
        <w:t xml:space="preserve"> </w:t>
      </w:r>
      <w:r>
        <w:rPr>
          <w:rStyle w:val="VerbatimChar"/>
        </w:rPr>
        <w:t xml:space="preserve">biological_basis</w:t>
      </w:r>
      <w:r>
        <w:t xml:space="preserve"> </w:t>
      </w:r>
      <w:r>
        <w:t xml:space="preserve">explanation and must trace to either the curated reference database or a specific literature source.</w:t>
      </w:r>
    </w:p>
    <w:bookmarkEnd w:id="43"/>
    <w:bookmarkStart w:id="44" w:name="calibrationtargetestimates"/>
    <w:p>
      <w:pPr>
        <w:pStyle w:val="Heading2"/>
      </w:pPr>
      <w:r>
        <w:rPr>
          <w:rStyle w:val="SectionNumber"/>
        </w:rPr>
        <w:t xml:space="preserve">5.8</w:t>
      </w:r>
      <w:r>
        <w:tab/>
      </w:r>
      <w:r>
        <w:t xml:space="preserve">CalibrationTargetEstimates</w:t>
      </w:r>
    </w:p>
    <w:p>
      <w:pPr>
        <w:pStyle w:val="FirstParagraph"/>
      </w:pPr>
      <w:r>
        <w:t xml:space="preserve">The empirical data block derives summary statistics from literature inputs via Monte Carlo simulation.</w:t>
      </w:r>
    </w:p>
    <w:p>
      <w:pPr>
        <w:pStyle w:val="SourceCode"/>
      </w:pPr>
      <w:r>
        <w:rPr>
          <w:rStyle w:val="VerbatimChar"/>
        </w:rPr>
        <w:t xml:space="preserve">class CalibrationTargetEstimates(BaseModel):</w:t>
      </w:r>
      <w:r>
        <w:br/>
      </w:r>
      <w:r>
        <w:rPr>
          <w:rStyle w:val="VerbatimChar"/>
        </w:rPr>
        <w:t xml:space="preserve">    """</w:t>
      </w:r>
      <w:r>
        <w:br/>
      </w:r>
      <w:r>
        <w:rPr>
          <w:rStyle w:val="VerbatimChar"/>
        </w:rPr>
        <w:t xml:space="preserve">    Empirical data block: literature values -&gt; distribution for likelihood.</w:t>
      </w:r>
      <w:r>
        <w:br/>
      </w:r>
      <w:r>
        <w:rPr>
          <w:rStyle w:val="VerbatimChar"/>
        </w:rPr>
        <w:t xml:space="preserve">    """</w:t>
      </w:r>
      <w:r>
        <w:br/>
      </w:r>
      <w:r>
        <w:rPr>
          <w:rStyle w:val="VerbatimChar"/>
        </w:rPr>
        <w:t xml:space="preserve">    median: List[float] = Field(</w:t>
      </w:r>
      <w:r>
        <w:br/>
      </w:r>
      <w:r>
        <w:rPr>
          <w:rStyle w:val="VerbatimChar"/>
        </w:rPr>
        <w:t xml:space="preserve">        description="Point estimates (length 1 for scalar, "</w:t>
      </w:r>
      <w:r>
        <w:br/>
      </w:r>
      <w:r>
        <w:rPr>
          <w:rStyle w:val="VerbatimChar"/>
        </w:rPr>
        <w:t xml:space="preserve">                    "or matching index_values for vector)"</w:t>
      </w:r>
      <w:r>
        <w:br/>
      </w:r>
      <w:r>
        <w:rPr>
          <w:rStyle w:val="VerbatimChar"/>
        </w:rPr>
        <w:t xml:space="preserve">    )</w:t>
      </w:r>
      <w:r>
        <w:br/>
      </w:r>
      <w:r>
        <w:rPr>
          <w:rStyle w:val="VerbatimChar"/>
        </w:rPr>
        <w:t xml:space="preserve">    ci95: List[List[float]] = Field(</w:t>
      </w:r>
      <w:r>
        <w:br/>
      </w:r>
      <w:r>
        <w:rPr>
          <w:rStyle w:val="VerbatimChar"/>
        </w:rPr>
        <w:t xml:space="preserve">        description="95% credible intervals [[lo, hi], ...]"</w:t>
      </w:r>
      <w:r>
        <w:br/>
      </w:r>
      <w:r>
        <w:rPr>
          <w:rStyle w:val="VerbatimChar"/>
        </w:rPr>
        <w:t xml:space="preserve">    )</w:t>
      </w:r>
      <w:r>
        <w:br/>
      </w:r>
      <w:r>
        <w:rPr>
          <w:rStyle w:val="VerbatimChar"/>
        </w:rPr>
        <w:t xml:space="preserve">    units: str</w:t>
      </w:r>
      <w:r>
        <w:br/>
      </w:r>
      <w:r>
        <w:rPr>
          <w:rStyle w:val="VerbatimChar"/>
        </w:rPr>
        <w:t xml:space="preserve">    sample_size: Union[int, List[int]]</w:t>
      </w:r>
      <w:r>
        <w:br/>
      </w:r>
      <w:r>
        <w:rPr>
          <w:rStyle w:val="VerbatimChar"/>
        </w:rPr>
        <w:t xml:space="preserve">    sample_size_rationale: str</w:t>
      </w:r>
      <w:r>
        <w:br/>
      </w:r>
      <w:r>
        <w:br/>
      </w:r>
      <w:r>
        <w:rPr>
          <w:rStyle w:val="VerbatimChar"/>
        </w:rPr>
        <w:t xml:space="preserve">    # For vector-valued data (time courses, dose responses)</w:t>
      </w:r>
      <w:r>
        <w:br/>
      </w:r>
      <w:r>
        <w:rPr>
          <w:rStyle w:val="VerbatimChar"/>
        </w:rPr>
        <w:t xml:space="preserve">    index_values: Optional[List[float]] = None</w:t>
      </w:r>
      <w:r>
        <w:br/>
      </w:r>
      <w:r>
        <w:rPr>
          <w:rStyle w:val="VerbatimChar"/>
        </w:rPr>
        <w:t xml:space="preserve">    index_unit: Optional[str] = None</w:t>
      </w:r>
      <w:r>
        <w:br/>
      </w:r>
      <w:r>
        <w:rPr>
          <w:rStyle w:val="VerbatimChar"/>
        </w:rPr>
        <w:t xml:space="preserve">    index_type: Optional[IndexType] = None</w:t>
      </w:r>
      <w:r>
        <w:br/>
      </w:r>
      <w:r>
        <w:br/>
      </w:r>
      <w:r>
        <w:rPr>
          <w:rStyle w:val="VerbatimChar"/>
        </w:rPr>
        <w:t xml:space="preserve">    # Inputs and assumptions</w:t>
      </w:r>
      <w:r>
        <w:br/>
      </w:r>
      <w:r>
        <w:rPr>
          <w:rStyle w:val="VerbatimChar"/>
        </w:rPr>
        <w:t xml:space="preserve">    inputs: List[EstimateInput] = Field(</w:t>
      </w:r>
      <w:r>
        <w:br/>
      </w:r>
      <w:r>
        <w:rPr>
          <w:rStyle w:val="VerbatimChar"/>
        </w:rPr>
        <w:t xml:space="preserve">        description="Literature values with provenance"</w:t>
      </w:r>
      <w:r>
        <w:br/>
      </w:r>
      <w:r>
        <w:rPr>
          <w:rStyle w:val="VerbatimChar"/>
        </w:rPr>
        <w:t xml:space="preserve">    )</w:t>
      </w:r>
      <w:r>
        <w:br/>
      </w:r>
      <w:r>
        <w:rPr>
          <w:rStyle w:val="VerbatimChar"/>
        </w:rPr>
        <w:t xml:space="preserve">    assumptions: Optional[List[ModelingAssumption]] = None</w:t>
      </w:r>
      <w:r>
        <w:br/>
      </w:r>
      <w:r>
        <w:br/>
      </w:r>
      <w:r>
        <w:rPr>
          <w:rStyle w:val="VerbatimChar"/>
        </w:rPr>
        <w:t xml:space="preserve">    # Monte Carlo code</w:t>
      </w:r>
      <w:r>
        <w:br/>
      </w:r>
      <w:r>
        <w:rPr>
          <w:rStyle w:val="VerbatimChar"/>
        </w:rPr>
        <w:t xml:space="preserve">    distribution_code: str = Field(</w:t>
      </w:r>
      <w:r>
        <w:br/>
      </w:r>
      <w:r>
        <w:rPr>
          <w:rStyle w:val="VerbatimChar"/>
        </w:rPr>
        <w:t xml:space="preserve">        description="Python: derive_distribution(inputs, ureg) -&gt; "</w:t>
      </w:r>
      <w:r>
        <w:br/>
      </w:r>
      <w:r>
        <w:rPr>
          <w:rStyle w:val="VerbatimChar"/>
        </w:rPr>
        <w:t xml:space="preserve">                    "{'median': [...], 'ci95': [...], 'units': str}"</w:t>
      </w:r>
      <w:r>
        <w:br/>
      </w:r>
      <w:r>
        <w:rPr>
          <w:rStyle w:val="VerbatimChar"/>
        </w:rPr>
        <w:t xml:space="preserve">    )</w:t>
      </w:r>
    </w:p>
    <w:bookmarkEnd w:id="44"/>
    <w:bookmarkStart w:id="45" w:name="scenario-and-intervention"/>
    <w:p>
      <w:pPr>
        <w:pStyle w:val="Heading2"/>
      </w:pPr>
      <w:r>
        <w:rPr>
          <w:rStyle w:val="SectionNumber"/>
        </w:rPr>
        <w:t xml:space="preserve">5.9</w:t>
      </w:r>
      <w:r>
        <w:tab/>
      </w:r>
      <w:r>
        <w:t xml:space="preserve">Scenario and Intervention</w:t>
      </w:r>
    </w:p>
    <w:p>
      <w:pPr>
        <w:pStyle w:val="FirstParagraph"/>
      </w:pPr>
      <w:r>
        <w:t xml:space="preserve">For studies involving treatment, the</w:t>
      </w:r>
      <w:r>
        <w:t xml:space="preserve"> </w:t>
      </w:r>
      <w:r>
        <w:rPr>
          <w:rStyle w:val="VerbatimChar"/>
        </w:rPr>
        <w:t xml:space="preserve">Scenario</w:t>
      </w:r>
      <w:r>
        <w:t xml:space="preserve"> </w:t>
      </w:r>
      <w:r>
        <w:t xml:space="preserve">captures the clinical context.</w:t>
      </w:r>
    </w:p>
    <w:p>
      <w:pPr>
        <w:pStyle w:val="SourceCode"/>
      </w:pPr>
      <w:r>
        <w:rPr>
          <w:rStyle w:val="VerbatimChar"/>
        </w:rPr>
        <w:t xml:space="preserve">class Intervention(BaseModel):</w:t>
      </w:r>
      <w:r>
        <w:br/>
      </w:r>
      <w:r>
        <w:rPr>
          <w:rStyle w:val="VerbatimChar"/>
        </w:rPr>
        <w:t xml:space="preserve">    """A single treatment intervention."""</w:t>
      </w:r>
      <w:r>
        <w:br/>
      </w:r>
      <w:r>
        <w:rPr>
          <w:rStyle w:val="VerbatimChar"/>
        </w:rPr>
        <w:t xml:space="preserve">    agent: str = Field(description="Drug or treatment name")</w:t>
      </w:r>
      <w:r>
        <w:br/>
      </w:r>
      <w:r>
        <w:rPr>
          <w:rStyle w:val="VerbatimChar"/>
        </w:rPr>
        <w:t xml:space="preserve">    dose: Optional[str] = None</w:t>
      </w:r>
      <w:r>
        <w:br/>
      </w:r>
      <w:r>
        <w:rPr>
          <w:rStyle w:val="VerbatimChar"/>
        </w:rPr>
        <w:t xml:space="preserve">    route: Optional[str] = None</w:t>
      </w:r>
      <w:r>
        <w:br/>
      </w:r>
      <w:r>
        <w:rPr>
          <w:rStyle w:val="VerbatimChar"/>
        </w:rPr>
        <w:t xml:space="preserve">    schedule: Optional[str] = None</w:t>
      </w:r>
      <w:r>
        <w:br/>
      </w:r>
      <w:r>
        <w:br/>
      </w:r>
      <w:r>
        <w:rPr>
          <w:rStyle w:val="VerbatimChar"/>
        </w:rPr>
        <w:t xml:space="preserve">class Scenario(BaseModel):</w:t>
      </w:r>
      <w:r>
        <w:br/>
      </w:r>
      <w:r>
        <w:rPr>
          <w:rStyle w:val="VerbatimChar"/>
        </w:rPr>
        <w:t xml:space="preserve">    """Treatment scenario for intervention studies."""</w:t>
      </w:r>
      <w:r>
        <w:br/>
      </w:r>
      <w:r>
        <w:rPr>
          <w:rStyle w:val="VerbatimChar"/>
        </w:rPr>
        <w:t xml:space="preserve">    interventions: List[Intervention]</w:t>
      </w:r>
      <w:r>
        <w:br/>
      </w:r>
      <w:r>
        <w:rPr>
          <w:rStyle w:val="VerbatimChar"/>
        </w:rPr>
        <w:t xml:space="preserve">    treatment_line: Optional[str] = None</w:t>
      </w:r>
      <w:r>
        <w:br/>
      </w:r>
      <w:r>
        <w:rPr>
          <w:rStyle w:val="VerbatimChar"/>
        </w:rPr>
        <w:t xml:space="preserve">    prior_treatments: Optional[List[str]] = None</w:t>
      </w:r>
      <w:r>
        <w:br/>
      </w:r>
      <w:r>
        <w:rPr>
          <w:rStyle w:val="VerbatimChar"/>
        </w:rPr>
        <w:t xml:space="preserve">    description: str = Field(</w:t>
      </w:r>
      <w:r>
        <w:br/>
      </w:r>
      <w:r>
        <w:rPr>
          <w:rStyle w:val="VerbatimChar"/>
        </w:rPr>
        <w:t xml:space="preserve">        description="Narrative description of the clinical scenario"</w:t>
      </w:r>
      <w:r>
        <w:br/>
      </w:r>
      <w:r>
        <w:rPr>
          <w:rStyle w:val="VerbatimChar"/>
        </w:rPr>
        <w:t xml:space="preserve">    )</w:t>
      </w:r>
    </w:p>
    <w:bookmarkEnd w:id="45"/>
    <w:bookmarkEnd w:id="46"/>
    <w:bookmarkStart w:id="55" w:name="sec:submodel-field-reference"/>
    <w:p>
      <w:pPr>
        <w:pStyle w:val="Heading1"/>
      </w:pPr>
      <w:r>
        <w:rPr>
          <w:rStyle w:val="SectionNumber"/>
        </w:rPr>
        <w:t xml:space="preserve">6</w:t>
      </w:r>
      <w:r>
        <w:tab/>
      </w:r>
      <w:r>
        <w:t xml:space="preserve">SubmodelTarget Schema Details</w:t>
      </w:r>
    </w:p>
    <w:p>
      <w:pPr>
        <w:pStyle w:val="FirstParagraph"/>
      </w:pPr>
      <w:r>
        <w:t xml:space="preserve">This section provides detailed field descriptions and representative YAML examples for each layer of the SubmodelTarget schema. These examples are referenced from the Methods section; the complete schema is defined in Section </w:t>
      </w:r>
      <w:hyperlink w:anchor="sec:pydantic-models">
        <w:r>
          <w:rPr>
            <w:rStyle w:val="Hyperlink"/>
          </w:rPr>
          <w:t xml:space="preserve">5</w:t>
        </w:r>
      </w:hyperlink>
      <w:r>
        <w:t xml:space="preserve">.</w:t>
      </w:r>
    </w:p>
    <w:bookmarkStart w:id="48" w:name="input-fields"/>
    <w:p>
      <w:pPr>
        <w:pStyle w:val="Heading2"/>
      </w:pPr>
      <w:r>
        <w:rPr>
          <w:rStyle w:val="SectionNumber"/>
        </w:rPr>
        <w:t xml:space="preserve">6.1</w:t>
      </w:r>
      <w:r>
        <w:tab/>
      </w:r>
      <w:r>
        <w:t xml:space="preserve">Input Fields</w:t>
      </w:r>
    </w:p>
    <w:p>
      <w:pPr>
        <w:pStyle w:val="FirstParagraph"/>
      </w:pPr>
      <w:r>
        <w:t xml:space="preserve">Each input captures a single value extracted from literature with full provenance. The key fields are:</w:t>
      </w:r>
    </w:p>
    <w:p>
      <w:pPr>
        <w:numPr>
          <w:ilvl w:val="0"/>
          <w:numId w:val="1005"/>
        </w:numPr>
      </w:pPr>
      <w:r>
        <w:rPr>
          <w:rStyle w:val="VerbatimChar"/>
        </w:rPr>
        <w:t xml:space="preserve">name</w:t>
      </w:r>
      <w:r>
        <w:t xml:space="preserve">: Unique identifier referenced elsewhere in the schema</w:t>
      </w:r>
    </w:p>
    <w:p>
      <w:pPr>
        <w:numPr>
          <w:ilvl w:val="0"/>
          <w:numId w:val="1005"/>
        </w:numPr>
      </w:pPr>
      <w:r>
        <w:rPr>
          <w:rStyle w:val="VerbatimChar"/>
        </w:rPr>
        <w:t xml:space="preserve">value</w:t>
      </w:r>
      <w:r>
        <w:t xml:space="preserve"> </w:t>
      </w:r>
      <w:r>
        <w:t xml:space="preserve">and</w:t>
      </w:r>
      <w:r>
        <w:t xml:space="preserve"> </w:t>
      </w:r>
      <w:r>
        <w:rPr>
          <w:rStyle w:val="VerbatimChar"/>
        </w:rPr>
        <w:t xml:space="preserve">units</w:t>
      </w:r>
      <w:r>
        <w:t xml:space="preserve">: The extracted numeric value with units</w:t>
      </w:r>
    </w:p>
    <w:p>
      <w:pPr>
        <w:numPr>
          <w:ilvl w:val="0"/>
          <w:numId w:val="1005"/>
        </w:numPr>
      </w:pPr>
      <w:r>
        <w:rPr>
          <w:rStyle w:val="VerbatimChar"/>
        </w:rPr>
        <w:t xml:space="preserve">uncertainty</w:t>
      </w:r>
      <w:r>
        <w:t xml:space="preserve">: Standard deviation or 95% confidence interval, when reported</w:t>
      </w:r>
    </w:p>
    <w:p>
      <w:pPr>
        <w:numPr>
          <w:ilvl w:val="0"/>
          <w:numId w:val="1005"/>
        </w:numPr>
      </w:pPr>
      <w:r>
        <w:rPr>
          <w:rStyle w:val="VerbatimChar"/>
        </w:rPr>
        <w:t xml:space="preserve">n</w:t>
      </w:r>
      <w:r>
        <w:t xml:space="preserve">: Sample size, for propagating uncertainty through the likelihood</w:t>
      </w:r>
    </w:p>
    <w:p>
      <w:pPr>
        <w:numPr>
          <w:ilvl w:val="0"/>
          <w:numId w:val="1005"/>
        </w:numPr>
      </w:pPr>
      <w:r>
        <w:rPr>
          <w:rStyle w:val="VerbatimChar"/>
        </w:rPr>
        <w:t xml:space="preserve">input_type</w:t>
      </w:r>
      <w:r>
        <w:t xml:space="preserve">: Classification as</w:t>
      </w:r>
      <w:r>
        <w:t xml:space="preserve"> </w:t>
      </w:r>
      <w:r>
        <w:rPr>
          <w:rStyle w:val="VerbatimChar"/>
        </w:rPr>
        <w:t xml:space="preserve">direct_measurement</w:t>
      </w:r>
      <w:r>
        <w:t xml:space="preserve">,</w:t>
      </w:r>
      <w:r>
        <w:t xml:space="preserve"> </w:t>
      </w:r>
      <w:r>
        <w:rPr>
          <w:rStyle w:val="VerbatimChar"/>
        </w:rPr>
        <w:t xml:space="preserve">proxy_measurement</w:t>
      </w:r>
      <w:r>
        <w:t xml:space="preserve">,</w:t>
      </w:r>
      <w:r>
        <w:t xml:space="preserve"> </w:t>
      </w:r>
      <w:r>
        <w:rPr>
          <w:rStyle w:val="VerbatimChar"/>
        </w:rPr>
        <w:t xml:space="preserve">inferred_estimate</w:t>
      </w:r>
      <w:r>
        <w:t xml:space="preserve">, or</w:t>
      </w:r>
      <w:r>
        <w:t xml:space="preserve"> </w:t>
      </w:r>
      <w:r>
        <w:rPr>
          <w:rStyle w:val="VerbatimChar"/>
        </w:rPr>
        <w:t xml:space="preserve">assumed_value</w:t>
      </w:r>
    </w:p>
    <w:p>
      <w:pPr>
        <w:numPr>
          <w:ilvl w:val="0"/>
          <w:numId w:val="1005"/>
        </w:numPr>
      </w:pPr>
      <w:r>
        <w:rPr>
          <w:rStyle w:val="VerbatimChar"/>
        </w:rPr>
        <w:t xml:space="preserve">role</w:t>
      </w:r>
      <w:r>
        <w:t xml:space="preserve">: How the input is used:</w:t>
      </w:r>
      <w:r>
        <w:t xml:space="preserve"> </w:t>
      </w:r>
      <w:r>
        <w:rPr>
          <w:rStyle w:val="VerbatimChar"/>
        </w:rPr>
        <w:t xml:space="preserve">target</w:t>
      </w:r>
      <w:r>
        <w:t xml:space="preserve"> </w:t>
      </w:r>
      <w:r>
        <w:t xml:space="preserve">(likelihood term),</w:t>
      </w:r>
      <w:r>
        <w:t xml:space="preserve"> </w:t>
      </w:r>
      <w:r>
        <w:rPr>
          <w:rStyle w:val="VerbatimChar"/>
        </w:rPr>
        <w:t xml:space="preserve">auxiliary</w:t>
      </w:r>
      <w:r>
        <w:t xml:space="preserve"> </w:t>
      </w:r>
      <w:r>
        <w:t xml:space="preserve">(supporting),</w:t>
      </w:r>
      <w:r>
        <w:t xml:space="preserve"> </w:t>
      </w:r>
      <w:r>
        <w:rPr>
          <w:rStyle w:val="VerbatimChar"/>
        </w:rPr>
        <w:t xml:space="preserve">initial_condition</w:t>
      </w:r>
      <w:r>
        <w:t xml:space="preserve">, or</w:t>
      </w:r>
      <w:r>
        <w:t xml:space="preserve"> </w:t>
      </w:r>
      <w:r>
        <w:rPr>
          <w:rStyle w:val="VerbatimChar"/>
        </w:rPr>
        <w:t xml:space="preserve">fixed_parameter</w:t>
      </w:r>
    </w:p>
    <w:p>
      <w:pPr>
        <w:numPr>
          <w:ilvl w:val="0"/>
          <w:numId w:val="1005"/>
        </w:numPr>
      </w:pPr>
      <w:r>
        <w:rPr>
          <w:rStyle w:val="VerbatimChar"/>
        </w:rPr>
        <w:t xml:space="preserve">source_ref</w:t>
      </w:r>
      <w:r>
        <w:t xml:space="preserve">: Reference to a literature source with DOI</w:t>
      </w:r>
    </w:p>
    <w:p>
      <w:pPr>
        <w:numPr>
          <w:ilvl w:val="0"/>
          <w:numId w:val="1005"/>
        </w:numPr>
      </w:pPr>
      <w:r>
        <w:rPr>
          <w:rStyle w:val="VerbatimChar"/>
        </w:rPr>
        <w:t xml:space="preserve">value_snippet</w:t>
      </w:r>
      <w:r>
        <w:t xml:space="preserve">: Quoted text from the source containing the value</w:t>
      </w:r>
    </w:p>
    <w:p>
      <w:pPr>
        <w:pStyle w:val="FirstParagraph"/>
      </w:pPr>
      <w:r>
        <w:t xml:space="preserve">Code block </w:t>
      </w:r>
      <w:hyperlink w:anchor="lst:input">
        <w:r>
          <w:rPr>
            <w:rStyle w:val="Hyperlink"/>
          </w:rPr>
          <w:t xml:space="preserve">1</w:t>
        </w:r>
      </w:hyperlink>
      <w:r>
        <w:t xml:space="preserve"> </w:t>
      </w:r>
      <w:r>
        <w:t xml:space="preserve">shows a representative input.</w:t>
      </w:r>
    </w:p>
    <w:bookmarkStart w:id="47" w:name="lst:input"/>
    <w:tbl>
      <w:tblPr>
        <w:tblStyle w:val="FigureTable"/>
        <w:tblW w:type="auto" w:w="0"/>
        <w:jc w:val="center"/>
        <w:tblLook w:firstRow="0" w:lastRow="0" w:firstColumn="0" w:lastColumn="0"/>
      </w:tblPr>
      <w:tblGrid>
        <w:gridCol w:w="7920"/>
      </w:tblGrid>
      <w:tr>
        <w:tc>
          <w:tcPr/>
          <w:p>
            <w:pPr>
              <w:pStyle w:val="SourceCode"/>
              <w:jc w:val="center"/>
            </w:pPr>
            <w:r>
              <w:rPr>
                <w:rStyle w:val="VerbatimChar"/>
                <w:b/>
              </w:rPr>
              <w:t xml:space="preserve">inputs:</w:t>
            </w:r>
            <w:r>
              <w:rPr>
                <w:b/>
              </w:rPr>
              <w:br/>
            </w:r>
            <w:r>
              <w:rPr>
                <w:rStyle w:val="VerbatimChar"/>
                <w:b/>
              </w:rPr>
              <w:t xml:space="preserve">  - name: pdgf_fold_mean</w:t>
            </w:r>
            <w:r>
              <w:rPr>
                <w:b/>
              </w:rPr>
              <w:br/>
            </w:r>
            <w:r>
              <w:rPr>
                <w:rStyle w:val="VerbatimChar"/>
                <w:b/>
              </w:rPr>
              <w:t xml:space="preserve">    value: 4.37</w:t>
            </w:r>
            <w:r>
              <w:rPr>
                <w:b/>
              </w:rPr>
              <w:br/>
            </w:r>
            <w:r>
              <w:rPr>
                <w:rStyle w:val="VerbatimChar"/>
                <w:b/>
              </w:rPr>
              <w:t xml:space="preserve">    units: dimensionless</w:t>
            </w:r>
            <w:r>
              <w:rPr>
                <w:b/>
              </w:rPr>
              <w:br/>
            </w:r>
            <w:r>
              <w:rPr>
                <w:rStyle w:val="VerbatimChar"/>
                <w:b/>
              </w:rPr>
              <w:t xml:space="preserve">    uncertainty:</w:t>
            </w:r>
            <w:r>
              <w:rPr>
                <w:b/>
              </w:rPr>
              <w:br/>
            </w:r>
            <w:r>
              <w:rPr>
                <w:rStyle w:val="VerbatimChar"/>
                <w:b/>
              </w:rPr>
              <w:t xml:space="preserve">      sd: 0.49</w:t>
            </w:r>
            <w:r>
              <w:rPr>
                <w:b/>
              </w:rPr>
              <w:br/>
            </w:r>
            <w:r>
              <w:rPr>
                <w:rStyle w:val="VerbatimChar"/>
                <w:b/>
              </w:rPr>
              <w:t xml:space="preserve">    n: 3</w:t>
            </w:r>
            <w:r>
              <w:rPr>
                <w:b/>
              </w:rPr>
              <w:br/>
            </w:r>
            <w:r>
              <w:rPr>
                <w:rStyle w:val="VerbatimChar"/>
                <w:b/>
              </w:rPr>
              <w:t xml:space="preserve">    input_type: direct_measurement</w:t>
            </w:r>
            <w:r>
              <w:rPr>
                <w:b/>
              </w:rPr>
              <w:br/>
            </w:r>
            <w:r>
              <w:rPr>
                <w:rStyle w:val="VerbatimChar"/>
                <w:b/>
              </w:rPr>
              <w:t xml:space="preserve">    role: target</w:t>
            </w:r>
            <w:r>
              <w:rPr>
                <w:b/>
              </w:rPr>
              <w:br/>
            </w:r>
            <w:r>
              <w:rPr>
                <w:rStyle w:val="VerbatimChar"/>
                <w:b/>
              </w:rPr>
              <w:t xml:space="preserve">    source_ref: Schneider2001</w:t>
            </w:r>
            <w:r>
              <w:rPr>
                <w:b/>
              </w:rPr>
              <w:br/>
            </w:r>
            <w:r>
              <w:rPr>
                <w:rStyle w:val="VerbatimChar"/>
                <w:b/>
              </w:rPr>
              <w:t xml:space="preserve">    source_location: Abstract</w:t>
            </w:r>
            <w:r>
              <w:rPr>
                <w:b/>
              </w:rPr>
              <w:br/>
            </w:r>
            <w:r>
              <w:rPr>
                <w:rStyle w:val="VerbatimChar"/>
                <w:b/>
              </w:rPr>
              <w:t xml:space="preserve">    value_snippet: "Cell proliferation (4.37 +/- 0.49-</w:t>
            </w:r>
            <w:r>
              <w:rPr>
                <w:b/>
              </w:rPr>
              <w:br/>
            </w:r>
            <w:r>
              <w:rPr>
                <w:rStyle w:val="VerbatimChar"/>
                <w:b/>
              </w:rPr>
              <w:t xml:space="preserve">                    and 2.96 +/- 0.39-fold of control)."</w:t>
            </w:r>
          </w:p>
        </w:tc>
      </w:tr>
    </w:tbl>
    <w:p>
      <w:pPr>
        <w:pStyle w:val="ImageCaption"/>
      </w:pPr>
      <w:r>
        <w:rPr>
          <w:rFonts w:ascii="Arial" w:hAnsi="Arial"/>
          <w:b/>
          <w:sz w:val="20"/>
        </w:rPr>
        <w:t xml:space="preserve">Figure 1. </w:t>
      </w:r>
      <w:r>
        <w:rPr>
          <w:rFonts w:ascii="Arial" w:hAnsi="Arial"/>
          <w:sz w:val="20"/>
        </w:rPr>
        <w:t>An input capturing a proliferation measurement with provenance.</w:t>
      </w:r>
    </w:p>
    <w:bookmarkEnd w:id="47"/>
    <w:bookmarkEnd w:id="48"/>
    <w:bookmarkStart w:id="50" w:name="parameter-and-prior-specification"/>
    <w:p>
      <w:pPr>
        <w:pStyle w:val="Heading2"/>
      </w:pPr>
      <w:r>
        <w:rPr>
          <w:rStyle w:val="SectionNumber"/>
        </w:rPr>
        <w:t xml:space="preserve">6.2</w:t>
      </w:r>
      <w:r>
        <w:tab/>
      </w:r>
      <w:r>
        <w:t xml:space="preserve">Parameter and Prior Specification</w:t>
      </w:r>
    </w:p>
    <w:p>
      <w:pPr>
        <w:pStyle w:val="FirstParagraph"/>
      </w:pPr>
      <w:r>
        <w:t xml:space="preserve">Each parameter includes a prior distribution with documented rationale. The schema supports four distribution families: LogNormal (positive parameters with multiplicative uncertainty), Normal (unconstrained), Uniform (bounded with no preference), and HalfNormal (positive with mode at zero).</w:t>
      </w:r>
    </w:p>
    <w:p>
      <w:pPr>
        <w:pStyle w:val="BodyText"/>
      </w:pPr>
      <w:r>
        <w:t xml:space="preserve">Code block </w:t>
      </w:r>
      <w:hyperlink w:anchor="lst:param">
        <w:r>
          <w:rPr>
            <w:rStyle w:val="Hyperlink"/>
          </w:rPr>
          <w:t xml:space="preserve">2</w:t>
        </w:r>
      </w:hyperlink>
      <w:r>
        <w:t xml:space="preserve"> </w:t>
      </w:r>
      <w:r>
        <w:t xml:space="preserve">shows a parameter specification.</w:t>
      </w:r>
    </w:p>
    <w:bookmarkStart w:id="49" w:name="lst:param"/>
    <w:tbl>
      <w:tblPr>
        <w:tblStyle w:val="FigureTable"/>
        <w:tblW w:type="auto" w:w="0"/>
        <w:jc w:val="center"/>
        <w:tblLook w:firstRow="0" w:lastRow="0" w:firstColumn="0" w:lastColumn="0"/>
      </w:tblPr>
      <w:tblGrid>
        <w:gridCol w:w="7920"/>
      </w:tblGrid>
      <w:tr>
        <w:tc>
          <w:tcPr/>
          <w:p>
            <w:pPr>
              <w:pStyle w:val="SourceCode"/>
              <w:jc w:val="center"/>
            </w:pPr>
            <w:r>
              <w:rPr>
                <w:rStyle w:val="VerbatimChar"/>
                <w:b/>
              </w:rPr>
              <w:t xml:space="preserve">calibration:</w:t>
            </w:r>
            <w:r>
              <w:rPr>
                <w:b/>
              </w:rPr>
              <w:br/>
            </w:r>
            <w:r>
              <w:rPr>
                <w:rStyle w:val="VerbatimChar"/>
                <w:b/>
              </w:rPr>
              <w:t xml:space="preserve">  parameters:</w:t>
            </w:r>
            <w:r>
              <w:rPr>
                <w:b/>
              </w:rPr>
              <w:br/>
            </w:r>
            <w:r>
              <w:rPr>
                <w:rStyle w:val="VerbatimChar"/>
                <w:b/>
              </w:rPr>
              <w:t xml:space="preserve">    - name: k_apsc_prolif</w:t>
            </w:r>
            <w:r>
              <w:rPr>
                <w:b/>
              </w:rPr>
              <w:br/>
            </w:r>
            <w:r>
              <w:rPr>
                <w:rStyle w:val="VerbatimChar"/>
                <w:b/>
              </w:rPr>
              <w:t xml:space="preserve">      units: 1/day</w:t>
            </w:r>
            <w:r>
              <w:rPr>
                <w:b/>
              </w:rPr>
              <w:br/>
            </w:r>
            <w:r>
              <w:rPr>
                <w:rStyle w:val="VerbatimChar"/>
                <w:b/>
              </w:rPr>
              <w:t xml:space="preserve">      prior:</w:t>
            </w:r>
            <w:r>
              <w:rPr>
                <w:b/>
              </w:rPr>
              <w:br/>
            </w:r>
            <w:r>
              <w:rPr>
                <w:rStyle w:val="VerbatimChar"/>
                <w:b/>
              </w:rPr>
              <w:t xml:space="preserve">        distribution: lognormal</w:t>
            </w:r>
            <w:r>
              <w:rPr>
                <w:b/>
              </w:rPr>
              <w:br/>
            </w:r>
            <w:r>
              <w:rPr>
                <w:rStyle w:val="VerbatimChar"/>
                <w:b/>
              </w:rPr>
              <w:t xml:space="preserve">        mu: 0.0      # log(1.0)</w:t>
            </w:r>
            <w:r>
              <w:rPr>
                <w:b/>
              </w:rPr>
              <w:br/>
            </w:r>
            <w:r>
              <w:rPr>
                <w:rStyle w:val="VerbatimChar"/>
                <w:b/>
              </w:rPr>
              <w:t xml:space="preserve">        sigma: 1.0</w:t>
            </w:r>
            <w:r>
              <w:rPr>
                <w:b/>
              </w:rPr>
              <w:br/>
            </w:r>
            <w:r>
              <w:rPr>
                <w:rStyle w:val="VerbatimChar"/>
                <w:b/>
              </w:rPr>
              <w:t xml:space="preserve">        rationale: |</w:t>
            </w:r>
            <w:r>
              <w:rPr>
                <w:b/>
              </w:rPr>
              <w:br/>
            </w:r>
            <w:r>
              <w:rPr>
                <w:rStyle w:val="VerbatimChar"/>
                <w:b/>
              </w:rPr>
              <w:t xml:space="preserve">          Wide prior centered at 1/day. A 4-fold increase</w:t>
            </w:r>
            <w:r>
              <w:rPr>
                <w:b/>
              </w:rPr>
              <w:br/>
            </w:r>
            <w:r>
              <w:rPr>
                <w:rStyle w:val="VerbatimChar"/>
                <w:b/>
              </w:rPr>
              <w:t xml:space="preserve">          in 1 day implies k ~ ln(4) ~ 1.4/day.</w:t>
            </w:r>
          </w:p>
        </w:tc>
      </w:tr>
    </w:tbl>
    <w:p>
      <w:pPr>
        <w:pStyle w:val="ImageCaption"/>
      </w:pPr>
      <w:r>
        <w:rPr>
          <w:rFonts w:ascii="Arial" w:hAnsi="Arial"/>
          <w:b/>
          <w:sz w:val="20"/>
        </w:rPr>
        <w:t xml:space="preserve">Figure 2. </w:t>
      </w:r>
      <w:r>
        <w:rPr>
          <w:rFonts w:ascii="Arial" w:hAnsi="Arial"/>
          <w:sz w:val="20"/>
        </w:rPr>
        <w:t>A parameter with lognormal prior and documented rationale.</w:t>
      </w:r>
    </w:p>
    <w:bookmarkEnd w:id="49"/>
    <w:bookmarkEnd w:id="50"/>
    <w:bookmarkStart w:id="52" w:name="forward-model-specification"/>
    <w:p>
      <w:pPr>
        <w:pStyle w:val="Heading2"/>
      </w:pPr>
      <w:r>
        <w:rPr>
          <w:rStyle w:val="SectionNumber"/>
        </w:rPr>
        <w:t xml:space="preserve">6.3</w:t>
      </w:r>
      <w:r>
        <w:tab/>
      </w:r>
      <w:r>
        <w:t xml:space="preserve">Forward Model Specification</w:t>
      </w:r>
    </w:p>
    <w:p>
      <w:pPr>
        <w:pStyle w:val="FirstParagraph"/>
      </w:pPr>
      <w:r>
        <w:t xml:space="preserve">The forward model captures the dynamics relevant to the experiment. For time-course data, this is typically a simplified ODE; for steady-state or derived measurements, an algebraic model may suffice.</w:t>
      </w:r>
    </w:p>
    <w:p>
      <w:pPr>
        <w:pStyle w:val="BodyText"/>
      </w:pPr>
      <w:r>
        <w:t xml:space="preserve">Code block </w:t>
      </w:r>
      <w:hyperlink w:anchor="lst:model">
        <w:r>
          <w:rPr>
            <w:rStyle w:val="Hyperlink"/>
          </w:rPr>
          <w:t xml:space="preserve">3</w:t>
        </w:r>
      </w:hyperlink>
      <w:r>
        <w:t xml:space="preserve"> </w:t>
      </w:r>
      <w:r>
        <w:t xml:space="preserve">shows a forward model using the exponential growth template.</w:t>
      </w:r>
    </w:p>
    <w:bookmarkStart w:id="51" w:name="lst:model"/>
    <w:tbl>
      <w:tblPr>
        <w:tblStyle w:val="FigureTable"/>
        <w:tblW w:type="auto" w:w="0"/>
        <w:jc w:val="center"/>
        <w:tblLook w:firstRow="0" w:lastRow="0" w:firstColumn="0" w:lastColumn="0"/>
      </w:tblPr>
      <w:tblGrid>
        <w:gridCol w:w="7920"/>
      </w:tblGrid>
      <w:tr>
        <w:tc>
          <w:tcPr/>
          <w:p>
            <w:pPr>
              <w:pStyle w:val="SourceCode"/>
              <w:jc w:val="center"/>
            </w:pPr>
            <w:r>
              <w:rPr>
                <w:rStyle w:val="VerbatimChar"/>
                <w:b/>
              </w:rPr>
              <w:t xml:space="preserve">calibration:</w:t>
            </w:r>
            <w:r>
              <w:rPr>
                <w:b/>
              </w:rPr>
              <w:br/>
            </w:r>
            <w:r>
              <w:rPr>
                <w:rStyle w:val="VerbatimChar"/>
                <w:b/>
              </w:rPr>
              <w:t xml:space="preserve">  forward_model:</w:t>
            </w:r>
            <w:r>
              <w:rPr>
                <w:b/>
              </w:rPr>
              <w:br/>
            </w:r>
            <w:r>
              <w:rPr>
                <w:rStyle w:val="VerbatimChar"/>
                <w:b/>
              </w:rPr>
              <w:t xml:space="preserve">    type: exponential_growth</w:t>
            </w:r>
            <w:r>
              <w:rPr>
                <w:b/>
              </w:rPr>
              <w:br/>
            </w:r>
            <w:r>
              <w:rPr>
                <w:rStyle w:val="VerbatimChar"/>
                <w:b/>
              </w:rPr>
              <w:t xml:space="preserve">    rate_constant: k_apsc_prolif</w:t>
            </w:r>
            <w:r>
              <w:rPr>
                <w:b/>
              </w:rPr>
              <w:br/>
            </w:r>
            <w:r>
              <w:rPr>
                <w:rStyle w:val="VerbatimChar"/>
                <w:b/>
              </w:rPr>
              <w:t xml:space="preserve">    independent_variable:</w:t>
            </w:r>
            <w:r>
              <w:rPr>
                <w:b/>
              </w:rPr>
              <w:br/>
            </w:r>
            <w:r>
              <w:rPr>
                <w:rStyle w:val="VerbatimChar"/>
                <w:b/>
              </w:rPr>
              <w:t xml:space="preserve">      name: time</w:t>
            </w:r>
            <w:r>
              <w:rPr>
                <w:b/>
              </w:rPr>
              <w:br/>
            </w:r>
            <w:r>
              <w:rPr>
                <w:rStyle w:val="VerbatimChar"/>
                <w:b/>
              </w:rPr>
              <w:t xml:space="preserve">      units: day</w:t>
            </w:r>
            <w:r>
              <w:rPr>
                <w:b/>
              </w:rPr>
              <w:br/>
            </w:r>
            <w:r>
              <w:rPr>
                <w:rStyle w:val="VerbatimChar"/>
                <w:b/>
              </w:rPr>
              <w:t xml:space="preserve">      span: [0.0, 1.0]</w:t>
            </w:r>
            <w:r>
              <w:rPr>
                <w:b/>
              </w:rPr>
              <w:br/>
            </w:r>
            <w:r>
              <w:rPr>
                <w:rStyle w:val="VerbatimChar"/>
                <w:b/>
              </w:rPr>
              <w:t xml:space="preserve">    state_variables:</w:t>
            </w:r>
            <w:r>
              <w:rPr>
                <w:b/>
              </w:rPr>
              <w:br/>
            </w:r>
            <w:r>
              <w:rPr>
                <w:rStyle w:val="VerbatimChar"/>
                <w:b/>
              </w:rPr>
              <w:t xml:space="preserve">      - name: aPSC_rel</w:t>
            </w:r>
            <w:r>
              <w:rPr>
                <w:b/>
              </w:rPr>
              <w:br/>
            </w:r>
            <w:r>
              <w:rPr>
                <w:rStyle w:val="VerbatimChar"/>
                <w:b/>
              </w:rPr>
              <w:t xml:space="preserve">        units: dimensionless</w:t>
            </w:r>
            <w:r>
              <w:rPr>
                <w:b/>
              </w:rPr>
              <w:br/>
            </w:r>
            <w:r>
              <w:rPr>
                <w:rStyle w:val="VerbatimChar"/>
                <w:b/>
              </w:rPr>
              <w:t xml:space="preserve">        initial_condition:</w:t>
            </w:r>
            <w:r>
              <w:rPr>
                <w:b/>
              </w:rPr>
              <w:br/>
            </w:r>
            <w:r>
              <w:rPr>
                <w:rStyle w:val="VerbatimChar"/>
                <w:b/>
              </w:rPr>
              <w:t xml:space="preserve">          value: 1.0</w:t>
            </w:r>
            <w:r>
              <w:rPr>
                <w:b/>
              </w:rPr>
              <w:br/>
            </w:r>
            <w:r>
              <w:rPr>
                <w:rStyle w:val="VerbatimChar"/>
                <w:b/>
              </w:rPr>
              <w:t xml:space="preserve">          rationale: Normalized to control baseline.</w:t>
            </w:r>
            <w:r>
              <w:rPr>
                <w:b/>
              </w:rPr>
              <w:br/>
            </w:r>
            <w:r>
              <w:rPr>
                <w:rStyle w:val="VerbatimChar"/>
                <w:b/>
              </w:rPr>
              <w:t xml:space="preserve">    data_rationale: |</w:t>
            </w:r>
            <w:r>
              <w:rPr>
                <w:b/>
              </w:rPr>
              <w:br/>
            </w:r>
            <w:r>
              <w:rPr>
                <w:rStyle w:val="VerbatimChar"/>
                <w:b/>
              </w:rPr>
              <w:t xml:space="preserve">      BrdU assay measures proliferation over ~24h with</w:t>
            </w:r>
            <w:r>
              <w:rPr>
                <w:b/>
              </w:rPr>
              <w:br/>
            </w:r>
            <w:r>
              <w:rPr>
                <w:rStyle w:val="VerbatimChar"/>
                <w:b/>
              </w:rPr>
              <w:t xml:space="preserve">      constant PDGF stimulus. Exponential growth fits.</w:t>
            </w:r>
            <w:r>
              <w:rPr>
                <w:b/>
              </w:rPr>
              <w:br/>
            </w:r>
            <w:r>
              <w:rPr>
                <w:rStyle w:val="VerbatimChar"/>
                <w:b/>
              </w:rPr>
              <w:t xml:space="preserve">    submodel_rationale: |</w:t>
            </w:r>
            <w:r>
              <w:rPr>
                <w:b/>
              </w:rPr>
              <w:br/>
            </w:r>
            <w:r>
              <w:rPr>
                <w:rStyle w:val="VerbatimChar"/>
                <w:b/>
              </w:rPr>
              <w:t xml:space="preserve">      At saturating PDGF, the full model reduces to</w:t>
            </w:r>
            <w:r>
              <w:rPr>
                <w:b/>
              </w:rPr>
              <w:br/>
            </w:r>
            <w:r>
              <w:rPr>
                <w:rStyle w:val="VerbatimChar"/>
                <w:b/>
              </w:rPr>
              <w:t xml:space="preserve">      dN/dt = k_apsc_prolif * N.</w:t>
            </w:r>
          </w:p>
        </w:tc>
      </w:tr>
    </w:tbl>
    <w:p>
      <w:pPr>
        <w:pStyle w:val="ImageCaption"/>
      </w:pPr>
      <w:r>
        <w:rPr>
          <w:rFonts w:ascii="Arial" w:hAnsi="Arial"/>
          <w:b/>
          <w:sz w:val="20"/>
        </w:rPr>
        <w:t xml:space="preserve">Figure 3. </w:t>
      </w:r>
      <w:r>
        <w:rPr>
          <w:rFonts w:ascii="Arial" w:hAnsi="Arial"/>
          <w:sz w:val="20"/>
        </w:rPr>
        <w:t>Forward model specification with state variable and time span.</w:t>
      </w:r>
    </w:p>
    <w:bookmarkEnd w:id="51"/>
    <w:bookmarkEnd w:id="52"/>
    <w:bookmarkStart w:id="54" w:name="error-model-specification"/>
    <w:p>
      <w:pPr>
        <w:pStyle w:val="Heading2"/>
      </w:pPr>
      <w:r>
        <w:rPr>
          <w:rStyle w:val="SectionNumber"/>
        </w:rPr>
        <w:t xml:space="preserve">6.4</w:t>
      </w:r>
      <w:r>
        <w:tab/>
      </w:r>
      <w:r>
        <w:t xml:space="preserve">Error Model Specification</w:t>
      </w:r>
    </w:p>
    <w:p>
      <w:pPr>
        <w:pStyle w:val="FirstParagraph"/>
      </w:pPr>
      <w:r>
        <w:t xml:space="preserve">The error model specifies the statistical relationship between predictions and observed data. The</w:t>
      </w:r>
      <w:r>
        <w:t xml:space="preserve"> </w:t>
      </w:r>
      <w:r>
        <w:rPr>
          <w:rStyle w:val="VerbatimChar"/>
        </w:rPr>
        <w:t xml:space="preserve">observation_code</w:t>
      </w:r>
      <w:r>
        <w:t xml:space="preserve"> </w:t>
      </w:r>
      <w:r>
        <w:t xml:space="preserve">derives the observed value and uncertainty from raw inputs. The</w:t>
      </w:r>
      <w:r>
        <w:t xml:space="preserve"> </w:t>
      </w:r>
      <w:r>
        <w:rPr>
          <w:rStyle w:val="VerbatimChar"/>
        </w:rPr>
        <w:t xml:space="preserve">observable</w:t>
      </w:r>
      <w:r>
        <w:t xml:space="preserve"> </w:t>
      </w:r>
      <w:r>
        <w:t xml:space="preserve">defines the transformation from state variables to predicted measurement. The</w:t>
      </w:r>
      <w:r>
        <w:t xml:space="preserve"> </w:t>
      </w:r>
      <w:r>
        <w:rPr>
          <w:rStyle w:val="VerbatimChar"/>
        </w:rPr>
        <w:t xml:space="preserve">likelihood</w:t>
      </w:r>
      <w:r>
        <w:t xml:space="preserve"> </w:t>
      </w:r>
      <w:r>
        <w:t xml:space="preserve">specifies the distribution family.</w:t>
      </w:r>
    </w:p>
    <w:p>
      <w:pPr>
        <w:pStyle w:val="BodyText"/>
      </w:pPr>
      <w:r>
        <w:t xml:space="preserve">Code block </w:t>
      </w:r>
      <w:hyperlink w:anchor="lst:error-model">
        <w:r>
          <w:rPr>
            <w:rStyle w:val="Hyperlink"/>
          </w:rPr>
          <w:t xml:space="preserve">4</w:t>
        </w:r>
      </w:hyperlink>
      <w:r>
        <w:t xml:space="preserve"> </w:t>
      </w:r>
      <w:r>
        <w:t xml:space="preserve">shows a complete error model entry.</w:t>
      </w:r>
    </w:p>
    <w:bookmarkStart w:id="53" w:name="lst:error-model"/>
    <w:tbl>
      <w:tblPr>
        <w:tblStyle w:val="FigureTable"/>
        <w:tblW w:type="auto" w:w="0"/>
        <w:jc w:val="center"/>
        <w:tblLook w:firstRow="0" w:lastRow="0" w:firstColumn="0" w:lastColumn="0"/>
      </w:tblPr>
      <w:tblGrid>
        <w:gridCol w:w="7920"/>
      </w:tblGrid>
      <w:tr>
        <w:tc>
          <w:tcPr/>
          <w:p>
            <w:pPr>
              <w:pStyle w:val="SourceCode"/>
              <w:jc w:val="center"/>
            </w:pPr>
            <w:r>
              <w:rPr>
                <w:rStyle w:val="VerbatimChar"/>
                <w:b/>
              </w:rPr>
              <w:t xml:space="preserve">  error_model:</w:t>
            </w:r>
            <w:r>
              <w:rPr>
                <w:b/>
              </w:rPr>
              <w:br/>
            </w:r>
            <w:r>
              <w:rPr>
                <w:rStyle w:val="VerbatimChar"/>
                <w:b/>
              </w:rPr>
              <w:t xml:space="preserve">    - name: viability_48h</w:t>
            </w:r>
            <w:r>
              <w:rPr>
                <w:b/>
              </w:rPr>
              <w:br/>
            </w:r>
            <w:r>
              <w:rPr>
                <w:rStyle w:val="VerbatimChar"/>
                <w:b/>
              </w:rPr>
              <w:t xml:space="preserve">      units: dimensionless</w:t>
            </w:r>
            <w:r>
              <w:rPr>
                <w:b/>
              </w:rPr>
              <w:br/>
            </w:r>
            <w:r>
              <w:rPr>
                <w:rStyle w:val="VerbatimChar"/>
                <w:b/>
              </w:rPr>
              <w:t xml:space="preserve">      uses_inputs: [viability_mean, viability_sem]</w:t>
            </w:r>
            <w:r>
              <w:rPr>
                <w:b/>
              </w:rPr>
              <w:br/>
            </w:r>
            <w:r>
              <w:rPr>
                <w:rStyle w:val="VerbatimChar"/>
                <w:b/>
              </w:rPr>
              <w:t xml:space="preserve">      evaluation_points: [2.0]  # days</w:t>
            </w:r>
            <w:r>
              <w:rPr>
                <w:b/>
              </w:rPr>
              <w:br/>
            </w:r>
            <w:r>
              <w:rPr>
                <w:rStyle w:val="VerbatimChar"/>
                <w:b/>
              </w:rPr>
              <w:t xml:space="preserve">      sample_size: 3</w:t>
            </w:r>
            <w:r>
              <w:rPr>
                <w:b/>
              </w:rPr>
              <w:br/>
            </w:r>
            <w:r>
              <w:rPr>
                <w:rStyle w:val="VerbatimChar"/>
                <w:b/>
              </w:rPr>
              <w:t xml:space="preserve">      observable:</w:t>
            </w:r>
            <w:r>
              <w:rPr>
                <w:b/>
              </w:rPr>
              <w:br/>
            </w:r>
            <w:r>
              <w:rPr>
                <w:rStyle w:val="VerbatimChar"/>
                <w:b/>
              </w:rPr>
              <w:t xml:space="preserve">        type: identity</w:t>
            </w:r>
            <w:r>
              <w:rPr>
                <w:b/>
              </w:rPr>
              <w:br/>
            </w:r>
            <w:r>
              <w:rPr>
                <w:rStyle w:val="VerbatimChar"/>
                <w:b/>
              </w:rPr>
              <w:t xml:space="preserve">        state_variables: [aPSC_norm]</w:t>
            </w:r>
            <w:r>
              <w:rPr>
                <w:b/>
              </w:rPr>
              <w:br/>
            </w:r>
            <w:r>
              <w:rPr>
                <w:rStyle w:val="VerbatimChar"/>
                <w:b/>
              </w:rPr>
              <w:t xml:space="preserve">      observation_code: |</w:t>
            </w:r>
            <w:r>
              <w:rPr>
                <w:b/>
              </w:rPr>
              <w:br/>
            </w:r>
            <w:r>
              <w:rPr>
                <w:rStyle w:val="VerbatimChar"/>
                <w:b/>
              </w:rPr>
              <w:t xml:space="preserve">        def derive_observation(inputs, sample_size):</w:t>
            </w:r>
            <w:r>
              <w:rPr>
                <w:b/>
              </w:rPr>
              <w:br/>
            </w:r>
            <w:r>
              <w:rPr>
                <w:rStyle w:val="VerbatimChar"/>
                <w:b/>
              </w:rPr>
              <w:t xml:space="preserve">            mean = inputs['viability_mean']</w:t>
            </w:r>
            <w:r>
              <w:rPr>
                <w:b/>
              </w:rPr>
              <w:br/>
            </w:r>
            <w:r>
              <w:rPr>
                <w:rStyle w:val="VerbatimChar"/>
                <w:b/>
              </w:rPr>
              <w:t xml:space="preserve">            sem = inputs['viability_sem']</w:t>
            </w:r>
            <w:r>
              <w:rPr>
                <w:b/>
              </w:rPr>
              <w:br/>
            </w:r>
            <w:r>
              <w:rPr>
                <w:rStyle w:val="VerbatimChar"/>
                <w:b/>
              </w:rPr>
              <w:t xml:space="preserve">            sd = sem * np.sqrt(sample_size)  # SEM to SD</w:t>
            </w:r>
            <w:r>
              <w:rPr>
                <w:b/>
              </w:rPr>
              <w:br/>
            </w:r>
            <w:r>
              <w:rPr>
                <w:rStyle w:val="VerbatimChar"/>
                <w:b/>
              </w:rPr>
              <w:t xml:space="preserve">            return {'value': mean, 'sd': sd}</w:t>
            </w:r>
            <w:r>
              <w:rPr>
                <w:b/>
              </w:rPr>
              <w:br/>
            </w:r>
            <w:r>
              <w:rPr>
                <w:rStyle w:val="VerbatimChar"/>
                <w:b/>
              </w:rPr>
              <w:t xml:space="preserve">      likelihood:</w:t>
            </w:r>
            <w:r>
              <w:rPr>
                <w:b/>
              </w:rPr>
              <w:br/>
            </w:r>
            <w:r>
              <w:rPr>
                <w:rStyle w:val="VerbatimChar"/>
                <w:b/>
              </w:rPr>
              <w:t xml:space="preserve">        distribution: normal</w:t>
            </w:r>
            <w:r>
              <w:rPr>
                <w:b/>
              </w:rPr>
              <w:br/>
            </w:r>
            <w:r>
              <w:rPr>
                <w:rStyle w:val="VerbatimChar"/>
                <w:b/>
              </w:rPr>
              <w:t xml:space="preserve">        rationale: |</w:t>
            </w:r>
            <w:r>
              <w:rPr>
                <w:b/>
              </w:rPr>
              <w:br/>
            </w:r>
            <w:r>
              <w:rPr>
                <w:rStyle w:val="VerbatimChar"/>
                <w:b/>
              </w:rPr>
              <w:t xml:space="preserve">          Viability near 1 with small SD; normal adequate.</w:t>
            </w:r>
          </w:p>
        </w:tc>
      </w:tr>
    </w:tbl>
    <w:p>
      <w:pPr>
        <w:pStyle w:val="ImageCaption"/>
      </w:pPr>
      <w:r>
        <w:rPr>
          <w:rFonts w:ascii="Arial" w:hAnsi="Arial"/>
          <w:b/>
          <w:sz w:val="20"/>
        </w:rPr>
        <w:t xml:space="preserve">Figure 4. </w:t>
      </w:r>
      <w:r>
        <w:rPr>
          <w:rFonts w:ascii="Arial" w:hAnsi="Arial"/>
          <w:sz w:val="20"/>
        </w:rPr>
        <w:t>Error model specification linking forward model predictions to observed data.</w:t>
      </w:r>
    </w:p>
    <w:bookmarkEnd w:id="53"/>
    <w:bookmarkEnd w:id="54"/>
    <w:bookmarkEnd w:id="55"/>
    <w:bookmarkStart w:id="60" w:name="sec:calibration-target-example"/>
    <w:p>
      <w:pPr>
        <w:pStyle w:val="Heading1"/>
      </w:pPr>
      <w:r>
        <w:rPr>
          <w:rStyle w:val="SectionNumber"/>
        </w:rPr>
        <w:t xml:space="preserve">7</w:t>
      </w:r>
      <w:r>
        <w:tab/>
      </w:r>
      <w:r>
        <w:t xml:space="preserve">Complete CalibrationTarget Example</w:t>
      </w:r>
    </w:p>
    <w:p>
      <w:pPr>
        <w:pStyle w:val="FirstParagraph"/>
      </w:pPr>
      <w:r>
        <w:t xml:space="preserve">This section presents a complete CalibrationTarget for baseline CD8+ T cell density in PDAC, demonstrating how full-model observables, reference database constants, and Monte Carlo distribution derivation work together.</w:t>
      </w:r>
    </w:p>
    <w:bookmarkStart w:id="56" w:name="overview-1"/>
    <w:p>
      <w:pPr>
        <w:pStyle w:val="Heading2"/>
      </w:pPr>
      <w:r>
        <w:rPr>
          <w:rStyle w:val="SectionNumber"/>
        </w:rPr>
        <w:t xml:space="preserve">7.1</w:t>
      </w:r>
      <w:r>
        <w:tab/>
      </w:r>
      <w:r>
        <w:t xml:space="preserve">Overview</w:t>
      </w:r>
    </w:p>
    <w:p>
      <w:pPr>
        <w:pStyle w:val="FirstParagraph"/>
      </w:pPr>
      <w:r>
        <w:t xml:space="preserve">This target constrains baseline intratumoral CD8+ T cell density using immunohistochemistry data from Jansen et al. (2021), who measured CD8 density across 599 pancreatic cancers using tissue microarrays. The observable computes CD8+ density from full model species (effector and exhausted CD8+ T cells) and reference database constants (cancer cell geometry). The distribution code combines two patient subgroups via a mixture of lognormals.</w:t>
      </w:r>
    </w:p>
    <w:bookmarkEnd w:id="56"/>
    <w:bookmarkStart w:id="57" w:name="observable-1"/>
    <w:p>
      <w:pPr>
        <w:pStyle w:val="Heading2"/>
      </w:pPr>
      <w:r>
        <w:rPr>
          <w:rStyle w:val="SectionNumber"/>
        </w:rPr>
        <w:t xml:space="preserve">7.2</w:t>
      </w:r>
      <w:r>
        <w:tab/>
      </w:r>
      <w:r>
        <w:t xml:space="preserve">Observable</w:t>
      </w:r>
    </w:p>
    <w:p>
      <w:pPr>
        <w:pStyle w:val="FirstParagraph"/>
      </w:pPr>
      <w:r>
        <w:t xml:space="preserve">The observable maps full model species to the experimental measurement:</w:t>
      </w:r>
    </w:p>
    <w:p>
      <w:pPr>
        <w:pStyle w:val="SourceCode"/>
      </w:pPr>
      <w:r>
        <w:rPr>
          <w:rStyle w:val="VerbatimChar"/>
        </w:rPr>
        <w:t xml:space="preserve">observable:</w:t>
      </w:r>
      <w:r>
        <w:br/>
      </w:r>
      <w:r>
        <w:rPr>
          <w:rStyle w:val="VerbatimChar"/>
        </w:rPr>
        <w:t xml:space="preserve">  code: |</w:t>
      </w:r>
      <w:r>
        <w:br/>
      </w:r>
      <w:r>
        <w:rPr>
          <w:rStyle w:val="VerbatimChar"/>
        </w:rPr>
        <w:t xml:space="preserve">    def compute_observable(time, species_dict, constants, ureg):</w:t>
      </w:r>
      <w:r>
        <w:br/>
      </w:r>
      <w:r>
        <w:rPr>
          <w:rStyle w:val="VerbatimChar"/>
        </w:rPr>
        <w:t xml:space="preserve">        import numpy as np</w:t>
      </w:r>
      <w:r>
        <w:br/>
      </w:r>
      <w:r>
        <w:rPr>
          <w:rStyle w:val="VerbatimChar"/>
        </w:rPr>
        <w:t xml:space="preserve">        cd8_eff = species_dict['V_T.CD8']</w:t>
      </w:r>
      <w:r>
        <w:br/>
      </w:r>
      <w:r>
        <w:rPr>
          <w:rStyle w:val="VerbatimChar"/>
        </w:rPr>
        <w:t xml:space="preserve">        cd8_exh = species_dict['V_T.CD8_exh']</w:t>
      </w:r>
      <w:r>
        <w:br/>
      </w:r>
      <w:r>
        <w:rPr>
          <w:rStyle w:val="VerbatimChar"/>
        </w:rPr>
        <w:t xml:space="preserve">        C1 = species_dict['V_T.C1']</w:t>
      </w:r>
      <w:r>
        <w:br/>
      </w:r>
      <w:r>
        <w:rPr>
          <w:rStyle w:val="VerbatimChar"/>
        </w:rPr>
        <w:t xml:space="preserve">        cross_section = constants['pdac_cancer_cell_cross_section']</w:t>
      </w:r>
      <w:r>
        <w:br/>
      </w:r>
      <w:r>
        <w:rPr>
          <w:rStyle w:val="VerbatimChar"/>
        </w:rPr>
        <w:t xml:space="preserve">        cellularity = constants['pdac_cellularity_fraction']</w:t>
      </w:r>
      <w:r>
        <w:br/>
      </w:r>
      <w:r>
        <w:br/>
      </w:r>
      <w:r>
        <w:rPr>
          <w:rStyle w:val="VerbatimChar"/>
        </w:rPr>
        <w:t xml:space="preserve">        total_cd8 = cd8_eff + cd8_exh</w:t>
      </w:r>
      <w:r>
        <w:br/>
      </w:r>
      <w:r>
        <w:rPr>
          <w:rStyle w:val="VerbatimChar"/>
        </w:rPr>
        <w:t xml:space="preserve">        tumor_area = C1 * cross_section / cellularity</w:t>
      </w:r>
      <w:r>
        <w:br/>
      </w:r>
      <w:r>
        <w:rPr>
          <w:rStyle w:val="VerbatimChar"/>
        </w:rPr>
        <w:t xml:space="preserve">        density = total_cd8 / tumor_area</w:t>
      </w:r>
      <w:r>
        <w:br/>
      </w:r>
      <w:r>
        <w:rPr>
          <w:rStyle w:val="VerbatimChar"/>
        </w:rPr>
        <w:t xml:space="preserve">        return density * ureg('cell / millimeter**2')</w:t>
      </w:r>
      <w:r>
        <w:br/>
      </w:r>
      <w:r>
        <w:rPr>
          <w:rStyle w:val="VerbatimChar"/>
        </w:rPr>
        <w:t xml:space="preserve">  units: cell / millimeter**2</w:t>
      </w:r>
      <w:r>
        <w:br/>
      </w:r>
      <w:r>
        <w:rPr>
          <w:rStyle w:val="VerbatimChar"/>
        </w:rPr>
        <w:t xml:space="preserve">  species: [V_T.CD8, V_T.CD8_exh, V_T.C1]</w:t>
      </w:r>
      <w:r>
        <w:br/>
      </w:r>
      <w:r>
        <w:rPr>
          <w:rStyle w:val="VerbatimChar"/>
        </w:rPr>
        <w:t xml:space="preserve">  constants:</w:t>
      </w:r>
      <w:r>
        <w:br/>
      </w:r>
      <w:r>
        <w:rPr>
          <w:rStyle w:val="VerbatimChar"/>
        </w:rPr>
        <w:t xml:space="preserve">    - name: pdac_cancer_cell_cross_section</w:t>
      </w:r>
      <w:r>
        <w:br/>
      </w:r>
      <w:r>
        <w:rPr>
          <w:rStyle w:val="VerbatimChar"/>
        </w:rPr>
        <w:t xml:space="preserve">      value: 0.000227</w:t>
      </w:r>
      <w:r>
        <w:br/>
      </w:r>
      <w:r>
        <w:rPr>
          <w:rStyle w:val="VerbatimChar"/>
        </w:rPr>
        <w:t xml:space="preserve">      units: millimeter**2 / cell</w:t>
      </w:r>
      <w:r>
        <w:br/>
      </w:r>
      <w:r>
        <w:rPr>
          <w:rStyle w:val="VerbatimChar"/>
        </w:rPr>
        <w:t xml:space="preserve">      biological_basis: |</w:t>
      </w:r>
      <w:r>
        <w:br/>
      </w:r>
      <w:r>
        <w:rPr>
          <w:rStyle w:val="VerbatimChar"/>
        </w:rPr>
        <w:t xml:space="preserve">        Mean cross-sectional area of PDAC cancer cells from</w:t>
      </w:r>
      <w:r>
        <w:br/>
      </w:r>
      <w:r>
        <w:rPr>
          <w:rStyle w:val="VerbatimChar"/>
        </w:rPr>
        <w:t xml:space="preserve">        histomorphometric measurements. Derived from mean cell</w:t>
      </w:r>
      <w:r>
        <w:br/>
      </w:r>
      <w:r>
        <w:rPr>
          <w:rStyle w:val="VerbatimChar"/>
        </w:rPr>
        <w:t xml:space="preserve">        diameter of 17 micrometers.</w:t>
      </w:r>
      <w:r>
        <w:br/>
      </w:r>
      <w:r>
        <w:rPr>
          <w:rStyle w:val="VerbatimChar"/>
        </w:rPr>
        <w:t xml:space="preserve">      source_type: reference_db</w:t>
      </w:r>
      <w:r>
        <w:br/>
      </w:r>
      <w:r>
        <w:rPr>
          <w:rStyle w:val="VerbatimChar"/>
        </w:rPr>
        <w:t xml:space="preserve">      reference_db_name: pdac_cancer_cell_cross_section</w:t>
      </w:r>
      <w:r>
        <w:br/>
      </w:r>
      <w:r>
        <w:rPr>
          <w:rStyle w:val="VerbatimChar"/>
        </w:rPr>
        <w:t xml:space="preserve">    - name: pdac_cellularity_fraction</w:t>
      </w:r>
      <w:r>
        <w:br/>
      </w:r>
      <w:r>
        <w:rPr>
          <w:rStyle w:val="VerbatimChar"/>
        </w:rPr>
        <w:t xml:space="preserve">      value: 0.15</w:t>
      </w:r>
      <w:r>
        <w:br/>
      </w:r>
      <w:r>
        <w:rPr>
          <w:rStyle w:val="VerbatimChar"/>
        </w:rPr>
        <w:t xml:space="preserve">      units: dimensionless</w:t>
      </w:r>
      <w:r>
        <w:br/>
      </w:r>
      <w:r>
        <w:rPr>
          <w:rStyle w:val="VerbatimChar"/>
        </w:rPr>
        <w:t xml:space="preserve">      biological_basis: |</w:t>
      </w:r>
      <w:r>
        <w:br/>
      </w:r>
      <w:r>
        <w:rPr>
          <w:rStyle w:val="VerbatimChar"/>
        </w:rPr>
        <w:t xml:space="preserve">        Fraction of tumor volume occupied by cancer cells in PDAC.</w:t>
      </w:r>
      <w:r>
        <w:br/>
      </w:r>
      <w:r>
        <w:rPr>
          <w:rStyle w:val="VerbatimChar"/>
        </w:rPr>
        <w:t xml:space="preserve">        PDAC tumors are characteristically desmoplastic with low</w:t>
      </w:r>
      <w:r>
        <w:br/>
      </w:r>
      <w:r>
        <w:rPr>
          <w:rStyle w:val="VerbatimChar"/>
        </w:rPr>
        <w:t xml:space="preserve">        cellularity (10-20%).</w:t>
      </w:r>
      <w:r>
        <w:br/>
      </w:r>
      <w:r>
        <w:rPr>
          <w:rStyle w:val="VerbatimChar"/>
        </w:rPr>
        <w:t xml:space="preserve">      source_type: reference_db</w:t>
      </w:r>
      <w:r>
        <w:br/>
      </w:r>
      <w:r>
        <w:rPr>
          <w:rStyle w:val="VerbatimChar"/>
        </w:rPr>
        <w:t xml:space="preserve">      reference_db_name: pdac_cellularity_fraction</w:t>
      </w:r>
      <w:r>
        <w:br/>
      </w:r>
      <w:r>
        <w:rPr>
          <w:rStyle w:val="VerbatimChar"/>
        </w:rPr>
        <w:t xml:space="preserve">  support: positive</w:t>
      </w:r>
      <w:r>
        <w:br/>
      </w:r>
      <w:r>
        <w:rPr>
          <w:rStyle w:val="VerbatimChar"/>
        </w:rPr>
        <w:t xml:space="preserve">  mapping_rationale: |</w:t>
      </w:r>
      <w:r>
        <w:br/>
      </w:r>
      <w:r>
        <w:rPr>
          <w:rStyle w:val="VerbatimChar"/>
        </w:rPr>
        <w:t xml:space="preserve">    IHC measures CD8+ cells per mm^2 of tissue section. The model</w:t>
      </w:r>
      <w:r>
        <w:br/>
      </w:r>
      <w:r>
        <w:rPr>
          <w:rStyle w:val="VerbatimChar"/>
        </w:rPr>
        <w:t xml:space="preserve">    tracks CD8+ T cells as counts in the tumor compartment (V_T).</w:t>
      </w:r>
      <w:r>
        <w:br/>
      </w:r>
      <w:r>
        <w:rPr>
          <w:rStyle w:val="VerbatimChar"/>
        </w:rPr>
        <w:t xml:space="preserve">    To convert model cell counts to density, we divide by tumor</w:t>
      </w:r>
      <w:r>
        <w:br/>
      </w:r>
      <w:r>
        <w:rPr>
          <w:rStyle w:val="VerbatimChar"/>
        </w:rPr>
        <w:t xml:space="preserve">    area estimated from cancer cell count, cross-section, and</w:t>
      </w:r>
      <w:r>
        <w:br/>
      </w:r>
      <w:r>
        <w:rPr>
          <w:rStyle w:val="VerbatimChar"/>
        </w:rPr>
        <w:t xml:space="preserve">    cellularity fraction.</w:t>
      </w:r>
      <w:r>
        <w:br/>
      </w:r>
      <w:r>
        <w:rPr>
          <w:rStyle w:val="VerbatimChar"/>
        </w:rPr>
        <w:t xml:space="preserve">  experimental_denominator: "mm^2 of tumor tissue section area"</w:t>
      </w:r>
      <w:r>
        <w:br/>
      </w:r>
      <w:r>
        <w:rPr>
          <w:rStyle w:val="VerbatimChar"/>
        </w:rPr>
        <w:t xml:space="preserve">  model_denominator_species: [V_T.C1]</w:t>
      </w:r>
    </w:p>
    <w:bookmarkEnd w:id="57"/>
    <w:bookmarkStart w:id="58" w:name="empirical-data"/>
    <w:p>
      <w:pPr>
        <w:pStyle w:val="Heading2"/>
      </w:pPr>
      <w:r>
        <w:rPr>
          <w:rStyle w:val="SectionNumber"/>
        </w:rPr>
        <w:t xml:space="preserve">7.3</w:t>
      </w:r>
      <w:r>
        <w:tab/>
      </w:r>
      <w:r>
        <w:t xml:space="preserve">Empirical Data</w:t>
      </w:r>
    </w:p>
    <w:p>
      <w:pPr>
        <w:pStyle w:val="FirstParagraph"/>
      </w:pPr>
      <w:r>
        <w:t xml:space="preserve">The distribution code combines two patient subgroups (DOG1-negative and DOG1-positive) via mixture-of-lognormals Monte Carlo:</w:t>
      </w:r>
    </w:p>
    <w:p>
      <w:pPr>
        <w:pStyle w:val="SourceCode"/>
      </w:pPr>
      <w:r>
        <w:rPr>
          <w:rStyle w:val="VerbatimChar"/>
        </w:rPr>
        <w:t xml:space="preserve">empirical_data:</w:t>
      </w:r>
      <w:r>
        <w:br/>
      </w:r>
      <w:r>
        <w:rPr>
          <w:rStyle w:val="VerbatimChar"/>
        </w:rPr>
        <w:t xml:space="preserve">  median: [138.8]</w:t>
      </w:r>
      <w:r>
        <w:br/>
      </w:r>
      <w:r>
        <w:rPr>
          <w:rStyle w:val="VerbatimChar"/>
        </w:rPr>
        <w:t xml:space="preserve">  ci95: [[20.3, 965.2]]</w:t>
      </w:r>
      <w:r>
        <w:br/>
      </w:r>
      <w:r>
        <w:rPr>
          <w:rStyle w:val="VerbatimChar"/>
        </w:rPr>
        <w:t xml:space="preserve">  units: cell / millimeter**2</w:t>
      </w:r>
      <w:r>
        <w:br/>
      </w:r>
      <w:r>
        <w:rPr>
          <w:rStyle w:val="VerbatimChar"/>
        </w:rPr>
        <w:t xml:space="preserve">  sample_size: 444</w:t>
      </w:r>
      <w:r>
        <w:br/>
      </w:r>
      <w:r>
        <w:rPr>
          <w:rStyle w:val="VerbatimChar"/>
        </w:rPr>
        <w:t xml:space="preserve">  sample_size_rationale: |</w:t>
      </w:r>
      <w:r>
        <w:br/>
      </w:r>
      <w:r>
        <w:rPr>
          <w:rStyle w:val="VerbatimChar"/>
        </w:rPr>
        <w:t xml:space="preserve">    Total of 444 patients: 368 DOG1-negative + 76 DOG1-positive.</w:t>
      </w:r>
      <w:r>
        <w:br/>
      </w:r>
      <w:r>
        <w:rPr>
          <w:rStyle w:val="VerbatimChar"/>
        </w:rPr>
        <w:t xml:space="preserve">  inputs:</w:t>
      </w:r>
      <w:r>
        <w:br/>
      </w:r>
      <w:r>
        <w:rPr>
          <w:rStyle w:val="VerbatimChar"/>
        </w:rPr>
        <w:t xml:space="preserve">    - name: mean_cd8_stroma_neg</w:t>
      </w:r>
      <w:r>
        <w:br/>
      </w:r>
      <w:r>
        <w:rPr>
          <w:rStyle w:val="VerbatimChar"/>
        </w:rPr>
        <w:t xml:space="preserve">      value: 227.7</w:t>
      </w:r>
      <w:r>
        <w:br/>
      </w:r>
      <w:r>
        <w:rPr>
          <w:rStyle w:val="VerbatimChar"/>
        </w:rPr>
        <w:t xml:space="preserve">      units: cell / millimeter**2</w:t>
      </w:r>
      <w:r>
        <w:br/>
      </w:r>
      <w:r>
        <w:rPr>
          <w:rStyle w:val="VerbatimChar"/>
        </w:rPr>
        <w:t xml:space="preserve">      source_ref: Jansen2021</w:t>
      </w:r>
      <w:r>
        <w:br/>
      </w:r>
      <w:r>
        <w:rPr>
          <w:rStyle w:val="VerbatimChar"/>
        </w:rPr>
        <w:t xml:space="preserve">      source_location: "Table 4"</w:t>
      </w:r>
      <w:r>
        <w:br/>
      </w:r>
      <w:r>
        <w:rPr>
          <w:rStyle w:val="VerbatimChar"/>
        </w:rPr>
        <w:t xml:space="preserve">      value_snippet: "CD8 ... 227.7 +/- 15.0"</w:t>
      </w:r>
      <w:r>
        <w:br/>
      </w:r>
      <w:r>
        <w:rPr>
          <w:rStyle w:val="VerbatimChar"/>
        </w:rPr>
        <w:t xml:space="preserve">    - name: sem_cd8_stroma_neg</w:t>
      </w:r>
      <w:r>
        <w:br/>
      </w:r>
      <w:r>
        <w:rPr>
          <w:rStyle w:val="VerbatimChar"/>
        </w:rPr>
        <w:t xml:space="preserve">      value: 15.0</w:t>
      </w:r>
      <w:r>
        <w:br/>
      </w:r>
      <w:r>
        <w:rPr>
          <w:rStyle w:val="VerbatimChar"/>
        </w:rPr>
        <w:t xml:space="preserve">      units: cell / millimeter**2</w:t>
      </w:r>
      <w:r>
        <w:br/>
      </w:r>
      <w:r>
        <w:rPr>
          <w:rStyle w:val="VerbatimChar"/>
        </w:rPr>
        <w:t xml:space="preserve">      source_ref: Jansen2021</w:t>
      </w:r>
      <w:r>
        <w:br/>
      </w:r>
      <w:r>
        <w:rPr>
          <w:rStyle w:val="VerbatimChar"/>
        </w:rPr>
        <w:t xml:space="preserve">      source_location: "Table 4"</w:t>
      </w:r>
      <w:r>
        <w:br/>
      </w:r>
      <w:r>
        <w:rPr>
          <w:rStyle w:val="VerbatimChar"/>
        </w:rPr>
        <w:t xml:space="preserve">      value_snippet: "CD8 ... 227.7 +/- 15.0"</w:t>
      </w:r>
      <w:r>
        <w:br/>
      </w:r>
      <w:r>
        <w:rPr>
          <w:rStyle w:val="VerbatimChar"/>
        </w:rPr>
        <w:t xml:space="preserve">    - name: n_stroma_neg</w:t>
      </w:r>
      <w:r>
        <w:br/>
      </w:r>
      <w:r>
        <w:rPr>
          <w:rStyle w:val="VerbatimChar"/>
        </w:rPr>
        <w:t xml:space="preserve">      value: 368</w:t>
      </w:r>
      <w:r>
        <w:br/>
      </w:r>
      <w:r>
        <w:rPr>
          <w:rStyle w:val="VerbatimChar"/>
        </w:rPr>
        <w:t xml:space="preserve">      units: dimensionless</w:t>
      </w:r>
      <w:r>
        <w:br/>
      </w:r>
      <w:r>
        <w:rPr>
          <w:rStyle w:val="VerbatimChar"/>
        </w:rPr>
        <w:t xml:space="preserve">      source_ref: Jansen2021</w:t>
      </w:r>
      <w:r>
        <w:br/>
      </w:r>
      <w:r>
        <w:rPr>
          <w:rStyle w:val="VerbatimChar"/>
        </w:rPr>
        <w:t xml:space="preserve">      source_location: "Table 1"</w:t>
      </w:r>
      <w:r>
        <w:br/>
      </w:r>
      <w:r>
        <w:rPr>
          <w:rStyle w:val="VerbatimChar"/>
        </w:rPr>
        <w:t xml:space="preserve">      value_snippet: "DOG1 negative 368 (61.4%)"</w:t>
      </w:r>
      <w:r>
        <w:br/>
      </w:r>
      <w:r>
        <w:rPr>
          <w:rStyle w:val="VerbatimChar"/>
        </w:rPr>
        <w:t xml:space="preserve">    - name: mean_cd8_stroma_pos</w:t>
      </w:r>
      <w:r>
        <w:br/>
      </w:r>
      <w:r>
        <w:rPr>
          <w:rStyle w:val="VerbatimChar"/>
        </w:rPr>
        <w:t xml:space="preserve">      value: 220.1</w:t>
      </w:r>
      <w:r>
        <w:br/>
      </w:r>
      <w:r>
        <w:rPr>
          <w:rStyle w:val="VerbatimChar"/>
        </w:rPr>
        <w:t xml:space="preserve">      units: cell / millimeter**2</w:t>
      </w:r>
      <w:r>
        <w:br/>
      </w:r>
      <w:r>
        <w:rPr>
          <w:rStyle w:val="VerbatimChar"/>
        </w:rPr>
        <w:t xml:space="preserve">      source_ref: Jansen2021</w:t>
      </w:r>
      <w:r>
        <w:br/>
      </w:r>
      <w:r>
        <w:rPr>
          <w:rStyle w:val="VerbatimChar"/>
        </w:rPr>
        <w:t xml:space="preserve">      source_location: "Table 4"</w:t>
      </w:r>
      <w:r>
        <w:br/>
      </w:r>
      <w:r>
        <w:rPr>
          <w:rStyle w:val="VerbatimChar"/>
        </w:rPr>
        <w:t xml:space="preserve">      value_snippet: "CD8 ... 220.1 +/- 33.0"</w:t>
      </w:r>
      <w:r>
        <w:br/>
      </w:r>
      <w:r>
        <w:rPr>
          <w:rStyle w:val="VerbatimChar"/>
        </w:rPr>
        <w:t xml:space="preserve">    - name: sem_cd8_stroma_pos</w:t>
      </w:r>
      <w:r>
        <w:br/>
      </w:r>
      <w:r>
        <w:rPr>
          <w:rStyle w:val="VerbatimChar"/>
        </w:rPr>
        <w:t xml:space="preserve">      value: 33.0</w:t>
      </w:r>
      <w:r>
        <w:br/>
      </w:r>
      <w:r>
        <w:rPr>
          <w:rStyle w:val="VerbatimChar"/>
        </w:rPr>
        <w:t xml:space="preserve">      units: cell / millimeter**2</w:t>
      </w:r>
      <w:r>
        <w:br/>
      </w:r>
      <w:r>
        <w:rPr>
          <w:rStyle w:val="VerbatimChar"/>
        </w:rPr>
        <w:t xml:space="preserve">      source_ref: Jansen2021</w:t>
      </w:r>
      <w:r>
        <w:br/>
      </w:r>
      <w:r>
        <w:rPr>
          <w:rStyle w:val="VerbatimChar"/>
        </w:rPr>
        <w:t xml:space="preserve">      source_location: "Table 4"</w:t>
      </w:r>
      <w:r>
        <w:br/>
      </w:r>
      <w:r>
        <w:rPr>
          <w:rStyle w:val="VerbatimChar"/>
        </w:rPr>
        <w:t xml:space="preserve">      value_snippet: "CD8 ... 220.1 +/- 33.0"</w:t>
      </w:r>
      <w:r>
        <w:br/>
      </w:r>
      <w:r>
        <w:rPr>
          <w:rStyle w:val="VerbatimChar"/>
        </w:rPr>
        <w:t xml:space="preserve">    - name: n_stroma_pos</w:t>
      </w:r>
      <w:r>
        <w:br/>
      </w:r>
      <w:r>
        <w:rPr>
          <w:rStyle w:val="VerbatimChar"/>
        </w:rPr>
        <w:t xml:space="preserve">      value: 76</w:t>
      </w:r>
      <w:r>
        <w:br/>
      </w:r>
      <w:r>
        <w:rPr>
          <w:rStyle w:val="VerbatimChar"/>
        </w:rPr>
        <w:t xml:space="preserve">      units: dimensionless</w:t>
      </w:r>
      <w:r>
        <w:br/>
      </w:r>
      <w:r>
        <w:rPr>
          <w:rStyle w:val="VerbatimChar"/>
        </w:rPr>
        <w:t xml:space="preserve">      source_ref: Jansen2021</w:t>
      </w:r>
      <w:r>
        <w:br/>
      </w:r>
      <w:r>
        <w:rPr>
          <w:rStyle w:val="VerbatimChar"/>
        </w:rPr>
        <w:t xml:space="preserve">      source_location: "Table 1"</w:t>
      </w:r>
      <w:r>
        <w:br/>
      </w:r>
      <w:r>
        <w:rPr>
          <w:rStyle w:val="VerbatimChar"/>
        </w:rPr>
        <w:t xml:space="preserve">      value_snippet: "DOG1 positive 76 (12.7%)"</w:t>
      </w:r>
      <w:r>
        <w:br/>
      </w:r>
      <w:r>
        <w:rPr>
          <w:rStyle w:val="VerbatimChar"/>
        </w:rPr>
        <w:t xml:space="preserve">  distribution_code: |</w:t>
      </w:r>
      <w:r>
        <w:br/>
      </w:r>
      <w:r>
        <w:rPr>
          <w:rStyle w:val="VerbatimChar"/>
        </w:rPr>
        <w:t xml:space="preserve">    def derive_distribution(inputs, ureg):</w:t>
      </w:r>
      <w:r>
        <w:br/>
      </w:r>
      <w:r>
        <w:rPr>
          <w:rStyle w:val="VerbatimChar"/>
        </w:rPr>
        <w:t xml:space="preserve">        import numpy as np</w:t>
      </w:r>
      <w:r>
        <w:br/>
      </w:r>
      <w:r>
        <w:rPr>
          <w:rStyle w:val="VerbatimChar"/>
        </w:rPr>
        <w:t xml:space="preserve">        rng = np.random.default_rng(42)</w:t>
      </w:r>
      <w:r>
        <w:br/>
      </w:r>
      <w:r>
        <w:rPr>
          <w:rStyle w:val="VerbatimChar"/>
        </w:rPr>
        <w:t xml:space="preserve">        n_mc = 100000</w:t>
      </w:r>
      <w:r>
        <w:br/>
      </w:r>
      <w:r>
        <w:br/>
      </w:r>
      <w:r>
        <w:rPr>
          <w:rStyle w:val="VerbatimChar"/>
        </w:rPr>
        <w:t xml:space="preserve">        # Subgroup 1: DOG1-negative</w:t>
      </w:r>
      <w:r>
        <w:br/>
      </w:r>
      <w:r>
        <w:rPr>
          <w:rStyle w:val="VerbatimChar"/>
        </w:rPr>
        <w:t xml:space="preserve">        mean1 = inputs['mean_cd8_stroma_neg'].magnitude</w:t>
      </w:r>
      <w:r>
        <w:br/>
      </w:r>
      <w:r>
        <w:rPr>
          <w:rStyle w:val="VerbatimChar"/>
        </w:rPr>
        <w:t xml:space="preserve">        sem1 = inputs['sem_cd8_stroma_neg'].magnitude</w:t>
      </w:r>
      <w:r>
        <w:br/>
      </w:r>
      <w:r>
        <w:rPr>
          <w:rStyle w:val="VerbatimChar"/>
        </w:rPr>
        <w:t xml:space="preserve">        n1 = int(inputs['n_stroma_neg'].magnitude)</w:t>
      </w:r>
      <w:r>
        <w:br/>
      </w:r>
      <w:r>
        <w:rPr>
          <w:rStyle w:val="VerbatimChar"/>
        </w:rPr>
        <w:t xml:space="preserve">        sd1 = sem1 * np.sqrt(n1)</w:t>
      </w:r>
      <w:r>
        <w:br/>
      </w:r>
      <w:r>
        <w:br/>
      </w:r>
      <w:r>
        <w:rPr>
          <w:rStyle w:val="VerbatimChar"/>
        </w:rPr>
        <w:t xml:space="preserve">        # Subgroup 2: DOG1-positive</w:t>
      </w:r>
      <w:r>
        <w:br/>
      </w:r>
      <w:r>
        <w:rPr>
          <w:rStyle w:val="VerbatimChar"/>
        </w:rPr>
        <w:t xml:space="preserve">        mean2 = inputs['mean_cd8_stroma_pos'].magnitude</w:t>
      </w:r>
      <w:r>
        <w:br/>
      </w:r>
      <w:r>
        <w:rPr>
          <w:rStyle w:val="VerbatimChar"/>
        </w:rPr>
        <w:t xml:space="preserve">        sem2 = inputs['sem_cd8_stroma_pos'].magnitude</w:t>
      </w:r>
      <w:r>
        <w:br/>
      </w:r>
      <w:r>
        <w:rPr>
          <w:rStyle w:val="VerbatimChar"/>
        </w:rPr>
        <w:t xml:space="preserve">        n2 = int(inputs['n_stroma_pos'].magnitude)</w:t>
      </w:r>
      <w:r>
        <w:br/>
      </w:r>
      <w:r>
        <w:rPr>
          <w:rStyle w:val="VerbatimChar"/>
        </w:rPr>
        <w:t xml:space="preserve">        sd2 = sem2 * np.sqrt(n2)</w:t>
      </w:r>
      <w:r>
        <w:br/>
      </w:r>
      <w:r>
        <w:br/>
      </w:r>
      <w:r>
        <w:rPr>
          <w:rStyle w:val="VerbatimChar"/>
        </w:rPr>
        <w:t xml:space="preserve">        # Convert to lognormal parameters</w:t>
      </w:r>
      <w:r>
        <w:br/>
      </w:r>
      <w:r>
        <w:rPr>
          <w:rStyle w:val="VerbatimChar"/>
        </w:rPr>
        <w:t xml:space="preserve">        def to_lognormal(m, s):</w:t>
      </w:r>
      <w:r>
        <w:br/>
      </w:r>
      <w:r>
        <w:rPr>
          <w:rStyle w:val="VerbatimChar"/>
        </w:rPr>
        <w:t xml:space="preserve">            var = s**2</w:t>
      </w:r>
      <w:r>
        <w:br/>
      </w:r>
      <w:r>
        <w:rPr>
          <w:rStyle w:val="VerbatimChar"/>
        </w:rPr>
        <w:t xml:space="preserve">            mu = np.log(m**2 / np.sqrt(m**2 + var))</w:t>
      </w:r>
      <w:r>
        <w:br/>
      </w:r>
      <w:r>
        <w:rPr>
          <w:rStyle w:val="VerbatimChar"/>
        </w:rPr>
        <w:t xml:space="preserve">            sigma = np.sqrt(np.log(1 + var / m**2))</w:t>
      </w:r>
      <w:r>
        <w:br/>
      </w:r>
      <w:r>
        <w:rPr>
          <w:rStyle w:val="VerbatimChar"/>
        </w:rPr>
        <w:t xml:space="preserve">            return mu, sigma</w:t>
      </w:r>
      <w:r>
        <w:br/>
      </w:r>
      <w:r>
        <w:br/>
      </w:r>
      <w:r>
        <w:rPr>
          <w:rStyle w:val="VerbatimChar"/>
        </w:rPr>
        <w:t xml:space="preserve">        mu1, sig1 = to_lognormal(mean1, sd1)</w:t>
      </w:r>
      <w:r>
        <w:br/>
      </w:r>
      <w:r>
        <w:rPr>
          <w:rStyle w:val="VerbatimChar"/>
        </w:rPr>
        <w:t xml:space="preserve">        mu2, sig2 = to_lognormal(mean2, sd2)</w:t>
      </w:r>
      <w:r>
        <w:br/>
      </w:r>
      <w:r>
        <w:br/>
      </w:r>
      <w:r>
        <w:rPr>
          <w:rStyle w:val="VerbatimChar"/>
        </w:rPr>
        <w:t xml:space="preserve">        # Mixture sampling</w:t>
      </w:r>
      <w:r>
        <w:br/>
      </w:r>
      <w:r>
        <w:rPr>
          <w:rStyle w:val="VerbatimChar"/>
        </w:rPr>
        <w:t xml:space="preserve">        w1 = n1 / (n1 + n2)</w:t>
      </w:r>
      <w:r>
        <w:br/>
      </w:r>
      <w:r>
        <w:rPr>
          <w:rStyle w:val="VerbatimChar"/>
        </w:rPr>
        <w:t xml:space="preserve">        mask = rng.random(n_mc) &lt; w1</w:t>
      </w:r>
      <w:r>
        <w:br/>
      </w:r>
      <w:r>
        <w:rPr>
          <w:rStyle w:val="VerbatimChar"/>
        </w:rPr>
        <w:t xml:space="preserve">        samples = np.where(</w:t>
      </w:r>
      <w:r>
        <w:br/>
      </w:r>
      <w:r>
        <w:rPr>
          <w:rStyle w:val="VerbatimChar"/>
        </w:rPr>
        <w:t xml:space="preserve">            mask,</w:t>
      </w:r>
      <w:r>
        <w:br/>
      </w:r>
      <w:r>
        <w:rPr>
          <w:rStyle w:val="VerbatimChar"/>
        </w:rPr>
        <w:t xml:space="preserve">            rng.lognormal(mu1, sig1, n_mc),</w:t>
      </w:r>
      <w:r>
        <w:br/>
      </w:r>
      <w:r>
        <w:rPr>
          <w:rStyle w:val="VerbatimChar"/>
        </w:rPr>
        <w:t xml:space="preserve">            rng.lognormal(mu2, sig2, n_mc)</w:t>
      </w:r>
      <w:r>
        <w:br/>
      </w:r>
      <w:r>
        <w:rPr>
          <w:rStyle w:val="VerbatimChar"/>
        </w:rPr>
        <w:t xml:space="preserve">        )</w:t>
      </w:r>
      <w:r>
        <w:br/>
      </w:r>
      <w:r>
        <w:br/>
      </w:r>
      <w:r>
        <w:rPr>
          <w:rStyle w:val="VerbatimChar"/>
        </w:rPr>
        <w:t xml:space="preserve">        return {</w:t>
      </w:r>
      <w:r>
        <w:br/>
      </w:r>
      <w:r>
        <w:rPr>
          <w:rStyle w:val="VerbatimChar"/>
        </w:rPr>
        <w:t xml:space="preserve">            'median': [float(np.median(samples))],</w:t>
      </w:r>
      <w:r>
        <w:br/>
      </w:r>
      <w:r>
        <w:rPr>
          <w:rStyle w:val="VerbatimChar"/>
        </w:rPr>
        <w:t xml:space="preserve">            'ci95': [[float(np.percentile(samples, 2.5)),</w:t>
      </w:r>
      <w:r>
        <w:br/>
      </w:r>
      <w:r>
        <w:rPr>
          <w:rStyle w:val="VerbatimChar"/>
        </w:rPr>
        <w:t xml:space="preserve">                      float(np.percentile(samples, 97.5))]],</w:t>
      </w:r>
      <w:r>
        <w:br/>
      </w:r>
      <w:r>
        <w:rPr>
          <w:rStyle w:val="VerbatimChar"/>
        </w:rPr>
        <w:t xml:space="preserve">            'units': 'cell / millimeter**2'</w:t>
      </w:r>
      <w:r>
        <w:br/>
      </w:r>
      <w:r>
        <w:rPr>
          <w:rStyle w:val="VerbatimChar"/>
        </w:rPr>
        <w:t xml:space="preserve">        }</w:t>
      </w:r>
    </w:p>
    <w:bookmarkEnd w:id="58"/>
    <w:bookmarkStart w:id="59" w:name="source-and-context"/>
    <w:p>
      <w:pPr>
        <w:pStyle w:val="Heading2"/>
      </w:pPr>
      <w:r>
        <w:rPr>
          <w:rStyle w:val="SectionNumber"/>
        </w:rPr>
        <w:t xml:space="preserve">7.4</w:t>
      </w:r>
      <w:r>
        <w:tab/>
      </w:r>
      <w:r>
        <w:t xml:space="preserve">Source and Context</w:t>
      </w:r>
    </w:p>
    <w:p>
      <w:pPr>
        <w:pStyle w:val="SourceCode"/>
      </w:pPr>
      <w:r>
        <w:rPr>
          <w:rStyle w:val="VerbatimChar"/>
        </w:rPr>
        <w:t xml:space="preserve">primary_data_source:</w:t>
      </w:r>
      <w:r>
        <w:br/>
      </w:r>
      <w:r>
        <w:rPr>
          <w:rStyle w:val="VerbatimChar"/>
        </w:rPr>
        <w:t xml:space="preserve">  doi: "10.7717/peerj.11397"</w:t>
      </w:r>
      <w:r>
        <w:br/>
      </w:r>
      <w:r>
        <w:rPr>
          <w:rStyle w:val="VerbatimChar"/>
        </w:rPr>
        <w:t xml:space="preserve">  title: ""; expression of immune cell markers in the tumor</w:t>
      </w:r>
      <w:r>
        <w:br/>
      </w:r>
      <w:r>
        <w:rPr>
          <w:rStyle w:val="VerbatimChar"/>
        </w:rPr>
        <w:t xml:space="preserve">          microenvironment and association with survival"</w:t>
      </w:r>
      <w:r>
        <w:br/>
      </w:r>
      <w:r>
        <w:rPr>
          <w:rStyle w:val="VerbatimChar"/>
        </w:rPr>
        <w:t xml:space="preserve">  authors: [Jansen, van Doorn,"; et al"]</w:t>
      </w:r>
      <w:r>
        <w:br/>
      </w:r>
      <w:r>
        <w:rPr>
          <w:rStyle w:val="VerbatimChar"/>
        </w:rPr>
        <w:t xml:space="preserve">  year: 2021</w:t>
      </w:r>
      <w:r>
        <w:br/>
      </w:r>
      <w:r>
        <w:rPr>
          <w:rStyle w:val="VerbatimChar"/>
        </w:rPr>
        <w:t xml:space="preserve">  source_tag: Jansen2021</w:t>
      </w:r>
      <w:r>
        <w:br/>
      </w:r>
      <w:r>
        <w:br/>
      </w:r>
      <w:r>
        <w:rPr>
          <w:rStyle w:val="VerbatimChar"/>
        </w:rPr>
        <w:t xml:space="preserve">experimental_context:</w:t>
      </w:r>
      <w:r>
        <w:br/>
      </w:r>
      <w:r>
        <w:rPr>
          <w:rStyle w:val="VerbatimChar"/>
        </w:rPr>
        <w:t xml:space="preserve">  species: human</w:t>
      </w:r>
      <w:r>
        <w:br/>
      </w:r>
      <w:r>
        <w:rPr>
          <w:rStyle w:val="VerbatimChar"/>
        </w:rPr>
        <w:t xml:space="preserve">  system: clinical_resection</w:t>
      </w:r>
      <w:r>
        <w:br/>
      </w:r>
      <w:r>
        <w:rPr>
          <w:rStyle w:val="VerbatimChar"/>
        </w:rPr>
        <w:t xml:space="preserve">  indication: PDAC</w:t>
      </w:r>
      <w:r>
        <w:br/>
      </w:r>
      <w:r>
        <w:rPr>
          <w:rStyle w:val="VerbatimChar"/>
        </w:rPr>
        <w:t xml:space="preserve">  treatment_status: treatment_naive</w:t>
      </w:r>
      <w:r>
        <w:br/>
      </w:r>
      <w:r>
        <w:rPr>
          <w:rStyle w:val="VerbatimChar"/>
        </w:rPr>
        <w:t xml:space="preserve">  stage: resectable</w:t>
      </w:r>
      <w:r>
        <w:br/>
      </w:r>
      <w:r>
        <w:br/>
      </w:r>
      <w:r>
        <w:rPr>
          <w:rStyle w:val="VerbatimChar"/>
        </w:rPr>
        <w:t xml:space="preserve">study_interpretation: |</w:t>
      </w:r>
      <w:r>
        <w:br/>
      </w:r>
      <w:r>
        <w:rPr>
          <w:rStyle w:val="VerbatimChar"/>
        </w:rPr>
        <w:t xml:space="preserve">  Jansen et al. measured CD8+ T cell density across 599 pancreatic</w:t>
      </w:r>
      <w:r>
        <w:br/>
      </w:r>
      <w:r>
        <w:rPr>
          <w:rStyle w:val="VerbatimChar"/>
        </w:rPr>
        <w:t xml:space="preserve">  cancers using tissue microarrays and digital image analysis. We</w:t>
      </w:r>
      <w:r>
        <w:br/>
      </w:r>
      <w:r>
        <w:rPr>
          <w:rStyle w:val="VerbatimChar"/>
        </w:rPr>
        <w:t xml:space="preserve">  combine two subgroups (DOG1-positive and DOG1-negative) as a</w:t>
      </w:r>
      <w:r>
        <w:br/>
      </w:r>
      <w:r>
        <w:rPr>
          <w:rStyle w:val="VerbatimChar"/>
        </w:rPr>
        <w:t xml:space="preserve">  mixture of lognormals to capture the full population distribution.</w:t>
      </w:r>
      <w:r>
        <w:br/>
      </w:r>
      <w:r>
        <w:br/>
      </w:r>
      <w:r>
        <w:rPr>
          <w:rStyle w:val="VerbatimChar"/>
        </w:rPr>
        <w:t xml:space="preserve">key_assumptions:</w:t>
      </w:r>
      <w:r>
        <w:br/>
      </w:r>
      <w:r>
        <w:rPr>
          <w:rStyle w:val="VerbatimChar"/>
        </w:rPr>
        <w:t xml:space="preserve">  - "CD8 IHC detects both effector and exhausted T cells equally"</w:t>
      </w:r>
      <w:r>
        <w:br/>
      </w:r>
      <w:r>
        <w:rPr>
          <w:rStyle w:val="VerbatimChar"/>
        </w:rPr>
        <w:t xml:space="preserve">  - "Reported +/- values are SEM (confirmed by sqrt(n) test)"</w:t>
      </w:r>
      <w:r>
        <w:br/>
      </w:r>
      <w:r>
        <w:rPr>
          <w:rStyle w:val="VerbatimChar"/>
        </w:rPr>
        <w:t xml:space="preserve">  - "DOG1 expression does not significantly affect CD8 density"</w:t>
      </w:r>
      <w:r>
        <w:br/>
      </w:r>
      <w:r>
        <w:br/>
      </w:r>
      <w:r>
        <w:rPr>
          <w:rStyle w:val="VerbatimChar"/>
        </w:rPr>
        <w:t xml:space="preserve">key_study_limitations:</w:t>
      </w:r>
      <w:r>
        <w:br/>
      </w:r>
      <w:r>
        <w:rPr>
          <w:rStyle w:val="VerbatimChar"/>
        </w:rPr>
        <w:t xml:space="preserve">  - "TMA cores (0.6mm) may not represent whole-slide heterogeneity"</w:t>
      </w:r>
      <w:r>
        <w:br/>
      </w:r>
      <w:r>
        <w:rPr>
          <w:rStyle w:val="VerbatimChar"/>
        </w:rPr>
        <w:t xml:space="preserve">  - "Mixed pathologic stages without neoadjuvant therapy reporting"</w:t>
      </w:r>
      <w:r>
        <w:br/>
      </w:r>
      <w:r>
        <w:rPr>
          <w:rStyle w:val="VerbatimChar"/>
        </w:rPr>
        <w:t xml:space="preserve">  - "2D histology section vs. 3D model compartment"</w:t>
      </w:r>
    </w:p>
    <w:bookmarkEnd w:id="59"/>
    <w:bookmarkEnd w:id="60"/>
    <w:bookmarkStart w:id="67" w:name="sec:source-characteristics"/>
    <w:p>
      <w:pPr>
        <w:pStyle w:val="Heading1"/>
      </w:pPr>
      <w:r>
        <w:rPr>
          <w:rStyle w:val="SectionNumber"/>
        </w:rPr>
        <w:t xml:space="preserve">8</w:t>
      </w:r>
      <w:r>
        <w:tab/>
      </w:r>
      <w:r>
        <w:t xml:space="preserve">SubmodelTarget Source Characteristics</w:t>
      </w:r>
    </w:p>
    <w:p>
      <w:pPr>
        <w:pStyle w:val="FirstParagraph"/>
      </w:pPr>
      <w:r>
        <w:t xml:space="preserve">This section provides detailed breakdowns of source quality, species translation, and indication match for the 18 SubmodelTarget extractions.</w:t>
      </w:r>
    </w:p>
    <w:bookmarkStart w:id="62" w:name="source-quality"/>
    <w:p>
      <w:pPr>
        <w:pStyle w:val="Heading2"/>
      </w:pPr>
      <w:r>
        <w:rPr>
          <w:rStyle w:val="SectionNumber"/>
        </w:rPr>
        <w:t xml:space="preserve">8.1</w:t>
      </w:r>
      <w:r>
        <w:tab/>
      </w:r>
      <w:r>
        <w:t xml:space="preserve">Source Quality</w:t>
      </w:r>
    </w:p>
    <w:p>
      <w:pPr>
        <w:pStyle w:val="FirstParagraph"/>
      </w:pPr>
      <w:r>
        <w:t xml:space="preserve">Source quality categorizes the type of experimental evidence.</w:t>
      </w:r>
      <w:r>
        <w:t xml:space="preserve"> </w:t>
      </w:r>
      <w:r>
        <w:rPr>
          <w:i/>
          <w:iCs/>
        </w:rPr>
        <w:t xml:space="preserve">Human clinical</w:t>
      </w:r>
      <w:r>
        <w:t xml:space="preserve"> </w:t>
      </w:r>
      <w:r>
        <w:t xml:space="preserve">denotes data from human patient samples or clinical measurements.</w:t>
      </w:r>
      <w:r>
        <w:t xml:space="preserve"> </w:t>
      </w:r>
      <w:r>
        <w:rPr>
          <w:i/>
          <w:iCs/>
        </w:rPr>
        <w:t xml:space="preserve">Human in vitro</w:t>
      </w:r>
      <w:r>
        <w:t xml:space="preserve"> </w:t>
      </w:r>
      <w:r>
        <w:t xml:space="preserve">denotes experiments using human-derived cell lines or primary human cells in culture.</w:t>
      </w:r>
      <w:r>
        <w:t xml:space="preserve"> </w:t>
      </w:r>
      <w:r>
        <w:rPr>
          <w:i/>
          <w:iCs/>
        </w:rPr>
        <w:t xml:space="preserve">Animal in vivo</w:t>
      </w:r>
      <w:r>
        <w:t xml:space="preserve"> </w:t>
      </w:r>
      <w:r>
        <w:t xml:space="preserve">denotes measurements from animal models (e.g., mouse xenografts).</w:t>
      </w:r>
      <w:r>
        <w:t xml:space="preserve"> </w:t>
      </w:r>
      <w:r>
        <w:rPr>
          <w:i/>
          <w:iCs/>
        </w:rPr>
        <w:t xml:space="preserve">Animal in vitro</w:t>
      </w:r>
      <w:r>
        <w:t xml:space="preserve"> </w:t>
      </w:r>
      <w:r>
        <w:t xml:space="preserve">denotes experiments using animal-derived cells in culture (e.g., murine splenocyte assays, rat stellate cell cultures).</w:t>
      </w:r>
    </w:p>
    <w:bookmarkStart w:id="61" w:name="tab:source-quality"/>
    <w:tbl>
      <w:tblPr>
        <w:tblStyle w:val="Table"/>
        <w:tblW w:type="auto" w:w="0"/>
        <w:tblLook w:firstRow="1" w:lastRow="0" w:firstColumn="0" w:lastColumn="0" w:noHBand="0" w:noVBand="0" w:val="0020"/>
        <w:tblCaption w:val="Distribution of primary data source quality across calibration targets."/>
      </w:tblPr>
      <w:tblGrid>
        <w:gridCol w:w="2640"/>
        <w:gridCol w:w="2640"/>
        <w:gridCol w:w="2640"/>
      </w:tblGrid>
      <w:tr>
        <w:trPr>
          <w:tblHeader w:val="on"/>
        </w:trPr>
        <w:tc>
          <w:tcPr/>
          <w:p>
            <w:pPr>
              <w:pStyle w:val="Compact"/>
              <w:jc w:val="left"/>
            </w:pPr>
            <w:r>
              <w:rPr>
                <w:b/>
              </w:rPr>
              <w:t xml:space="preserve">Source Quality</w:t>
            </w:r>
          </w:p>
        </w:tc>
        <w:tc>
          <w:tcPr/>
          <w:p>
            <w:pPr>
              <w:pStyle w:val="Compact"/>
              <w:jc w:val="center"/>
            </w:pPr>
            <w:r>
              <w:rPr>
                <w:b/>
              </w:rPr>
              <w:t xml:space="preserve">Count</w:t>
            </w:r>
          </w:p>
        </w:tc>
        <w:tc>
          <w:tcPr/>
          <w:p>
            <w:pPr>
              <w:pStyle w:val="Compact"/>
              <w:jc w:val="center"/>
            </w:pPr>
            <w:r>
              <w:rPr>
                <w:b/>
              </w:rPr>
              <w:t xml:space="preserve">%</w:t>
            </w:r>
          </w:p>
        </w:tc>
      </w:tr>
      <w:tr>
        <w:tc>
          <w:tcPr/>
          <w:p>
            <w:pPr>
              <w:pStyle w:val="Compact"/>
              <w:jc w:val="left"/>
            </w:pPr>
            <w:r>
              <w:t xml:space="preserve">primary_human_clinical</w:t>
            </w:r>
          </w:p>
        </w:tc>
        <w:tc>
          <w:tcPr/>
          <w:p>
            <w:pPr>
              <w:pStyle w:val="Compact"/>
              <w:jc w:val="center"/>
            </w:pPr>
            <w:r>
              <w:t xml:space="preserve">17</w:t>
            </w:r>
          </w:p>
        </w:tc>
        <w:tc>
          <w:tcPr/>
          <w:p>
            <w:pPr>
              <w:pStyle w:val="Compact"/>
              <w:jc w:val="center"/>
            </w:pPr>
            <w:r>
              <w:t xml:space="preserve">46%</w:t>
            </w:r>
          </w:p>
        </w:tc>
      </w:tr>
      <w:tr>
        <w:tc>
          <w:tcPr/>
          <w:p>
            <w:pPr>
              <w:pStyle w:val="Compact"/>
              <w:jc w:val="left"/>
            </w:pPr>
            <w:r>
              <w:t xml:space="preserve">primary_animal_in_vivo</w:t>
            </w:r>
          </w:p>
        </w:tc>
        <w:tc>
          <w:tcPr/>
          <w:p>
            <w:pPr>
              <w:pStyle w:val="Compact"/>
              <w:jc w:val="center"/>
            </w:pPr>
            <w:r>
              <w:t xml:space="preserve">9</w:t>
            </w:r>
          </w:p>
        </w:tc>
        <w:tc>
          <w:tcPr/>
          <w:p>
            <w:pPr>
              <w:pStyle w:val="Compact"/>
              <w:jc w:val="center"/>
            </w:pPr>
            <w:r>
              <w:t xml:space="preserve">24%</w:t>
            </w:r>
          </w:p>
        </w:tc>
      </w:tr>
      <w:tr>
        <w:tc>
          <w:tcPr/>
          <w:p>
            <w:pPr>
              <w:pStyle w:val="Compact"/>
              <w:jc w:val="left"/>
            </w:pPr>
            <w:r>
              <w:t xml:space="preserve">primary_animal_in_vitro</w:t>
            </w:r>
          </w:p>
        </w:tc>
        <w:tc>
          <w:tcPr/>
          <w:p>
            <w:pPr>
              <w:pStyle w:val="Compact"/>
              <w:jc w:val="center"/>
            </w:pPr>
            <w:r>
              <w:t xml:space="preserve">7</w:t>
            </w:r>
          </w:p>
        </w:tc>
        <w:tc>
          <w:tcPr/>
          <w:p>
            <w:pPr>
              <w:pStyle w:val="Compact"/>
              <w:jc w:val="center"/>
            </w:pPr>
            <w:r>
              <w:t xml:space="preserve">19%</w:t>
            </w:r>
          </w:p>
        </w:tc>
      </w:tr>
      <w:tr>
        <w:tc>
          <w:tcPr/>
          <w:p>
            <w:pPr>
              <w:pStyle w:val="Compact"/>
              <w:jc w:val="left"/>
            </w:pPr>
            <w:r>
              <w:t xml:space="preserve">primary_human_in_vitro</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review_article</w:t>
            </w:r>
          </w:p>
        </w:tc>
        <w:tc>
          <w:tcPr/>
          <w:p>
            <w:pPr>
              <w:pStyle w:val="Compact"/>
              <w:jc w:val="center"/>
            </w:pPr>
            <w:r>
              <w:t xml:space="preserve">1</w:t>
            </w:r>
          </w:p>
        </w:tc>
        <w:tc>
          <w:tcPr/>
          <w:p>
            <w:pPr>
              <w:pStyle w:val="Compact"/>
              <w:jc w:val="center"/>
            </w:pPr>
            <w:r>
              <w:t xml:space="preserve">3%</w:t>
            </w:r>
          </w:p>
        </w:tc>
      </w:tr>
      <w:tr>
        <w:tc>
          <w:tcPr/>
          <w:p>
            <w:pPr>
              <w:pStyle w:val="Compact"/>
              <w:jc w:val="left"/>
            </w:pPr>
            <w:r>
              <w:rPr>
                <w:b/>
                <w:bCs/>
              </w:rPr>
              <w:t xml:space="preserve">Total</w:t>
            </w:r>
          </w:p>
        </w:tc>
        <w:tc>
          <w:tcPr/>
          <w:p>
            <w:pPr>
              <w:pStyle w:val="Compact"/>
              <w:jc w:val="center"/>
            </w:pPr>
            <w:r>
              <w:rPr>
                <w:b/>
                <w:bCs/>
              </w:rPr>
              <w:t xml:space="preserve">37</w:t>
            </w:r>
          </w:p>
        </w:tc>
        <w:tc>
          <w:tcPr/>
          <w:p>
            <w:pPr>
              <w:pStyle w:val="Compact"/>
            </w:pPr>
          </w:p>
        </w:tc>
      </w:tr>
    </w:tbl>
    <w:p>
      <w:pPr>
        <w:pStyle w:val="TableCaption"/>
      </w:pPr>
      <w:r>
        <w:rPr>
          <w:rFonts w:ascii="Arial" w:hAnsi="Arial"/>
          <w:b/>
          <w:sz w:val="20"/>
        </w:rPr>
        <w:t xml:space="preserve">Table 1. </w:t>
      </w:r>
      <w:r>
        <w:rPr>
          <w:rFonts w:ascii="Arial" w:hAnsi="Arial"/>
          <w:sz w:val="20"/>
        </w:rPr>
        <w:t>Distribution of primary data source quality across calibration targets.</w:t>
      </w:r>
    </w:p>
    <w:bookmarkEnd w:id="61"/>
    <w:bookmarkEnd w:id="62"/>
    <w:bookmarkStart w:id="64" w:name="species-translation"/>
    <w:p>
      <w:pPr>
        <w:pStyle w:val="Heading2"/>
      </w:pPr>
      <w:r>
        <w:rPr>
          <w:rStyle w:val="SectionNumber"/>
        </w:rPr>
        <w:t xml:space="preserve">8.2</w:t>
      </w:r>
      <w:r>
        <w:tab/>
      </w:r>
      <w:r>
        <w:t xml:space="preserve">Species Translation</w:t>
      </w:r>
    </w:p>
    <w:p>
      <w:pPr>
        <w:pStyle w:val="FirstParagraph"/>
      </w:pPr>
      <w:r>
        <w:t xml:space="preserve">Species translation describes the mapping from the experimental organism to the model target species (human). Targets labeled human</w:t>
      </w:r>
      <m:oMath>
        <m:r>
          <m:rPr>
            <m:sty m:val="p"/>
          </m:rPr>
          <m:t>→</m:t>
        </m:r>
      </m:oMath>
      <w:r>
        <w:t xml:space="preserve">human required no cross-species translation. Mixed-species entries (e.g., human and rat</w:t>
      </w:r>
      <m:oMath>
        <m:r>
          <m:rPr>
            <m:sty m:val="p"/>
          </m:rPr>
          <m:t>→</m:t>
        </m:r>
      </m:oMath>
      <w:r>
        <w:t xml:space="preserve">human) indicate that the extraction combined data from multiple species, such as a human clinical measurement anchored by rat-derived kinetic parameters.</w:t>
      </w:r>
    </w:p>
    <w:bookmarkStart w:id="63" w:name="tab:species"/>
    <w:tbl>
      <w:tblPr>
        <w:tblStyle w:val="Table"/>
        <w:tblW w:type="auto" w:w="0"/>
        <w:tblLook w:firstRow="1" w:lastRow="0" w:firstColumn="0" w:lastColumn="0" w:noHBand="0" w:noVBand="0" w:val="0020"/>
        <w:tblCaption w:val="Species translation from data source to model target. Human\rightarrowhuman indicates no cross-species translation required."/>
      </w:tblPr>
      <w:tblGrid>
        <w:gridCol w:w="2640"/>
        <w:gridCol w:w="2640"/>
        <w:gridCol w:w="2640"/>
      </w:tblGrid>
      <w:tr>
        <w:trPr>
          <w:tblHeader w:val="on"/>
        </w:trPr>
        <w:tc>
          <w:tcPr/>
          <w:p>
            <w:pPr>
              <w:pStyle w:val="Compact"/>
              <w:jc w:val="left"/>
            </w:pPr>
            <w:r>
              <w:rPr>
                <w:b/>
              </w:rPr>
              <w:t xml:space="preserve">Translation</w:t>
            </w:r>
          </w:p>
        </w:tc>
        <w:tc>
          <w:tcPr/>
          <w:p>
            <w:pPr>
              <w:pStyle w:val="Compact"/>
              <w:jc w:val="center"/>
            </w:pPr>
            <w:r>
              <w:rPr>
                <w:b/>
              </w:rPr>
              <w:t xml:space="preserve">Count</w:t>
            </w:r>
          </w:p>
        </w:tc>
        <w:tc>
          <w:tcPr/>
          <w:p>
            <w:pPr>
              <w:pStyle w:val="Compact"/>
              <w:jc w:val="center"/>
            </w:pPr>
            <w:r>
              <w:rPr>
                <w:b/>
              </w:rPr>
              <w:t xml:space="preserve">%</w:t>
            </w:r>
          </w:p>
        </w:tc>
      </w:tr>
      <w:tr>
        <w:tc>
          <w:tcPr/>
          <w:p>
            <w:pPr>
              <w:pStyle w:val="Compact"/>
              <w:jc w:val="left"/>
            </w:pPr>
            <w:r>
              <w:t xml:space="preserve">human</w:t>
            </w:r>
            <m:oMath>
              <m:r>
                <m:rPr>
                  <m:sty m:val="p"/>
                </m:rPr>
                <m:t>→</m:t>
              </m:r>
            </m:oMath>
            <w:r>
              <w:t xml:space="preserve">human</w:t>
            </w:r>
          </w:p>
        </w:tc>
        <w:tc>
          <w:tcPr/>
          <w:p>
            <w:pPr>
              <w:pStyle w:val="Compact"/>
              <w:jc w:val="center"/>
            </w:pPr>
            <w:r>
              <w:t xml:space="preserve">21</w:t>
            </w:r>
          </w:p>
        </w:tc>
        <w:tc>
          <w:tcPr/>
          <w:p>
            <w:pPr>
              <w:pStyle w:val="Compact"/>
              <w:jc w:val="center"/>
            </w:pPr>
            <w:r>
              <w:t xml:space="preserve">57%</w:t>
            </w:r>
          </w:p>
        </w:tc>
      </w:tr>
      <w:tr>
        <w:tc>
          <w:tcPr/>
          <w:p>
            <w:pPr>
              <w:pStyle w:val="Compact"/>
              <w:jc w:val="left"/>
            </w:pPr>
            <w:r>
              <w:t xml:space="preserve">mouse</w:t>
            </w:r>
            <m:oMath>
              <m:r>
                <m:rPr>
                  <m:sty m:val="p"/>
                </m:rPr>
                <m:t>→</m:t>
              </m:r>
            </m:oMath>
            <w:r>
              <w:t xml:space="preserve">human</w:t>
            </w:r>
          </w:p>
        </w:tc>
        <w:tc>
          <w:tcPr/>
          <w:p>
            <w:pPr>
              <w:pStyle w:val="Compact"/>
              <w:jc w:val="center"/>
            </w:pPr>
            <w:r>
              <w:t xml:space="preserve">13</w:t>
            </w:r>
          </w:p>
        </w:tc>
        <w:tc>
          <w:tcPr/>
          <w:p>
            <w:pPr>
              <w:pStyle w:val="Compact"/>
              <w:jc w:val="center"/>
            </w:pPr>
            <w:r>
              <w:t xml:space="preserve">35%</w:t>
            </w:r>
          </w:p>
        </w:tc>
      </w:tr>
      <w:tr>
        <w:tc>
          <w:tcPr/>
          <w:p>
            <w:pPr>
              <w:pStyle w:val="Compact"/>
              <w:jc w:val="left"/>
            </w:pPr>
            <w:r>
              <w:t xml:space="preserve">rat</w:t>
            </w:r>
            <m:oMath>
              <m:r>
                <m:rPr>
                  <m:sty m:val="p"/>
                </m:rPr>
                <m:t>→</m:t>
              </m:r>
            </m:oMath>
            <w:r>
              <w:t xml:space="preserve">human</w:t>
            </w:r>
          </w:p>
        </w:tc>
        <w:tc>
          <w:tcPr/>
          <w:p>
            <w:pPr>
              <w:pStyle w:val="Compact"/>
              <w:jc w:val="center"/>
            </w:pPr>
            <w:r>
              <w:t xml:space="preserve">3</w:t>
            </w:r>
          </w:p>
        </w:tc>
        <w:tc>
          <w:tcPr/>
          <w:p>
            <w:pPr>
              <w:pStyle w:val="Compact"/>
              <w:jc w:val="center"/>
            </w:pPr>
            <w:r>
              <w:t xml:space="preserve">8%</w:t>
            </w:r>
          </w:p>
        </w:tc>
      </w:tr>
      <w:tr>
        <w:tc>
          <w:tcPr/>
          <w:p>
            <w:pPr>
              <w:pStyle w:val="Compact"/>
              <w:jc w:val="left"/>
            </w:pPr>
            <w:r>
              <w:rPr>
                <w:b/>
                <w:bCs/>
              </w:rPr>
              <w:t xml:space="preserve">Total</w:t>
            </w:r>
          </w:p>
        </w:tc>
        <w:tc>
          <w:tcPr/>
          <w:p>
            <w:pPr>
              <w:pStyle w:val="Compact"/>
              <w:jc w:val="center"/>
            </w:pPr>
            <w:r>
              <w:rPr>
                <w:b/>
                <w:bCs/>
              </w:rPr>
              <w:t xml:space="preserve">37</w:t>
            </w:r>
          </w:p>
        </w:tc>
        <w:tc>
          <w:tcPr/>
          <w:p>
            <w:pPr>
              <w:pStyle w:val="Compact"/>
            </w:pPr>
          </w:p>
        </w:tc>
      </w:tr>
    </w:tbl>
    <w:p>
      <w:pPr>
        <w:pStyle w:val="TableCaption"/>
      </w:pPr>
      <w:r>
        <w:rPr>
          <w:rFonts w:ascii="Arial" w:hAnsi="Arial"/>
          <w:b/>
          <w:sz w:val="20"/>
        </w:rPr>
        <w:t xml:space="preserve">Table 2. </w:t>
      </w:r>
      <w:r>
        <w:rPr>
          <w:rFonts w:ascii="Arial" w:hAnsi="Arial"/>
          <w:sz w:val="20"/>
        </w:rPr>
        <w:t>Species translation from data source to model target. Human</w:t>
      </w:r>
    </w:p>
    <w:bookmarkEnd w:id="63"/>
    <w:bookmarkEnd w:id="64"/>
    <w:bookmarkStart w:id="66" w:name="indication-match"/>
    <w:p>
      <w:pPr>
        <w:pStyle w:val="Heading2"/>
      </w:pPr>
      <w:r>
        <w:rPr>
          <w:rStyle w:val="SectionNumber"/>
        </w:rPr>
        <w:t xml:space="preserve">8.3</w:t>
      </w:r>
      <w:r>
        <w:tab/>
      </w:r>
      <w:r>
        <w:t xml:space="preserve">Indication Match</w:t>
      </w:r>
    </w:p>
    <w:p>
      <w:pPr>
        <w:pStyle w:val="FirstParagraph"/>
      </w:pPr>
      <w:r>
        <w:t xml:space="preserve">Indication match describes how closely the experimental disease context matches the PDAC model target.</w:t>
      </w:r>
      <w:r>
        <w:t xml:space="preserve"> </w:t>
      </w:r>
      <w:r>
        <w:rPr>
          <w:i/>
          <w:iCs/>
        </w:rPr>
        <w:t xml:space="preserve">Exact</w:t>
      </w:r>
      <w:r>
        <w:t xml:space="preserve">: data from PDAC patients or PDAC-derived models.</w:t>
      </w:r>
      <w:r>
        <w:t xml:space="preserve"> </w:t>
      </w:r>
      <w:r>
        <w:rPr>
          <w:i/>
          <w:iCs/>
        </w:rPr>
        <w:t xml:space="preserve">Proxy</w:t>
      </w:r>
      <w:r>
        <w:t xml:space="preserve">: data from a different indication used as a mechanistic proxy (e.g., other cancer types, chronic pancreatitis, fibrosis models with similar stromal biology).</w:t>
      </w:r>
      <w:r>
        <w:t xml:space="preserve"> </w:t>
      </w:r>
      <w:r>
        <w:rPr>
          <w:i/>
          <w:iCs/>
        </w:rPr>
        <w:t xml:space="preserve">Related</w:t>
      </w:r>
      <w:r>
        <w:t xml:space="preserve">: data from the same organ or disease class but not a direct match.</w:t>
      </w:r>
    </w:p>
    <w:bookmarkStart w:id="65" w:name="tab:indication"/>
    <w:tbl>
      <w:tblPr>
        <w:tblStyle w:val="Table"/>
        <w:tblW w:type="auto" w:w="0"/>
        <w:tblLook w:firstRow="1" w:lastRow="0" w:firstColumn="0" w:lastColumn="0" w:noHBand="0" w:noVBand="0" w:val="0020"/>
        <w:tblCaption w:val="How closely the data source indication matches the model target (PDAC)."/>
      </w:tblPr>
      <w:tblGrid>
        <w:gridCol w:w="2640"/>
        <w:gridCol w:w="2640"/>
        <w:gridCol w:w="2640"/>
      </w:tblGrid>
      <w:tr>
        <w:trPr>
          <w:tblHeader w:val="on"/>
        </w:trPr>
        <w:tc>
          <w:tcPr/>
          <w:p>
            <w:pPr>
              <w:pStyle w:val="Compact"/>
              <w:jc w:val="left"/>
            </w:pPr>
            <w:r>
              <w:rPr>
                <w:b/>
              </w:rPr>
              <w:t xml:space="preserve">Indication Match</w:t>
            </w:r>
          </w:p>
        </w:tc>
        <w:tc>
          <w:tcPr/>
          <w:p>
            <w:pPr>
              <w:pStyle w:val="Compact"/>
              <w:jc w:val="center"/>
            </w:pPr>
            <w:r>
              <w:rPr>
                <w:b/>
              </w:rPr>
              <w:t xml:space="preserve">Count</w:t>
            </w:r>
          </w:p>
        </w:tc>
        <w:tc>
          <w:tcPr/>
          <w:p>
            <w:pPr>
              <w:pStyle w:val="Compact"/>
              <w:jc w:val="center"/>
            </w:pPr>
            <w:r>
              <w:rPr>
                <w:b/>
              </w:rPr>
              <w:t xml:space="preserve">%</w:t>
            </w:r>
          </w:p>
        </w:tc>
      </w:tr>
      <w:tr>
        <w:tc>
          <w:tcPr/>
          <w:p>
            <w:pPr>
              <w:pStyle w:val="Compact"/>
              <w:jc w:val="left"/>
            </w:pPr>
            <w:r>
              <w:t xml:space="preserve">Data from PDAC patients/models</w:t>
            </w:r>
          </w:p>
        </w:tc>
        <w:tc>
          <w:tcPr/>
          <w:p>
            <w:pPr>
              <w:pStyle w:val="Compact"/>
              <w:jc w:val="center"/>
            </w:pPr>
            <w:r>
              <w:t xml:space="preserve">17</w:t>
            </w:r>
          </w:p>
        </w:tc>
        <w:tc>
          <w:tcPr/>
          <w:p>
            <w:pPr>
              <w:pStyle w:val="Compact"/>
              <w:jc w:val="center"/>
            </w:pPr>
            <w:r>
              <w:t xml:space="preserve">46%</w:t>
            </w:r>
          </w:p>
        </w:tc>
      </w:tr>
      <w:tr>
        <w:tc>
          <w:tcPr/>
          <w:p>
            <w:pPr>
              <w:pStyle w:val="Compact"/>
              <w:jc w:val="left"/>
            </w:pPr>
            <w:r>
              <w:t xml:space="preserve">Related indication (e.g., other cancers, fibrosis)</w:t>
            </w:r>
          </w:p>
        </w:tc>
        <w:tc>
          <w:tcPr/>
          <w:p>
            <w:pPr>
              <w:pStyle w:val="Compact"/>
              <w:jc w:val="center"/>
            </w:pPr>
            <w:r>
              <w:t xml:space="preserve">16</w:t>
            </w:r>
          </w:p>
        </w:tc>
        <w:tc>
          <w:tcPr/>
          <w:p>
            <w:pPr>
              <w:pStyle w:val="Compact"/>
              <w:jc w:val="center"/>
            </w:pPr>
            <w:r>
              <w:t xml:space="preserve">43%</w:t>
            </w:r>
          </w:p>
        </w:tc>
      </w:tr>
      <w:tr>
        <w:tc>
          <w:tcPr/>
          <w:p>
            <w:pPr>
              <w:pStyle w:val="Compact"/>
              <w:jc w:val="left"/>
            </w:pPr>
            <w:r>
              <w:t xml:space="preserve">related</w:t>
            </w:r>
          </w:p>
        </w:tc>
        <w:tc>
          <w:tcPr/>
          <w:p>
            <w:pPr>
              <w:pStyle w:val="Compact"/>
              <w:jc w:val="center"/>
            </w:pPr>
            <w:r>
              <w:t xml:space="preserve">4</w:t>
            </w:r>
          </w:p>
        </w:tc>
        <w:tc>
          <w:tcPr/>
          <w:p>
            <w:pPr>
              <w:pStyle w:val="Compact"/>
              <w:jc w:val="center"/>
            </w:pPr>
            <w:r>
              <w:t xml:space="preserve">11%</w:t>
            </w:r>
          </w:p>
        </w:tc>
      </w:tr>
      <w:tr>
        <w:tc>
          <w:tcPr/>
          <w:p>
            <w:pPr>
              <w:pStyle w:val="Compact"/>
              <w:jc w:val="left"/>
            </w:pPr>
            <w:r>
              <w:rPr>
                <w:b/>
                <w:bCs/>
              </w:rPr>
              <w:t xml:space="preserve">Total</w:t>
            </w:r>
          </w:p>
        </w:tc>
        <w:tc>
          <w:tcPr/>
          <w:p>
            <w:pPr>
              <w:pStyle w:val="Compact"/>
              <w:jc w:val="center"/>
            </w:pPr>
            <w:r>
              <w:rPr>
                <w:b/>
                <w:bCs/>
              </w:rPr>
              <w:t xml:space="preserve">37</w:t>
            </w:r>
          </w:p>
        </w:tc>
        <w:tc>
          <w:tcPr/>
          <w:p>
            <w:pPr>
              <w:pStyle w:val="Compact"/>
            </w:pPr>
          </w:p>
        </w:tc>
      </w:tr>
    </w:tbl>
    <w:p>
      <w:pPr>
        <w:pStyle w:val="TableCaption"/>
      </w:pPr>
      <w:r>
        <w:rPr>
          <w:rFonts w:ascii="Arial" w:hAnsi="Arial"/>
          <w:b/>
          <w:sz w:val="20"/>
        </w:rPr>
        <w:t xml:space="preserve">Table 3. </w:t>
      </w:r>
      <w:r>
        <w:rPr>
          <w:rFonts w:ascii="Arial" w:hAnsi="Arial"/>
          <w:sz w:val="20"/>
        </w:rPr>
        <w:t>How closely the data source indication matches the model target (PDAC).</w:t>
      </w:r>
    </w:p>
    <w:bookmarkEnd w:id="65"/>
    <w:bookmarkEnd w:id="66"/>
    <w:bookmarkEnd w:id="67"/>
    <w:bookmarkStart w:id="75" w:name="sec:ct-detailed-metrics"/>
    <w:p>
      <w:pPr>
        <w:pStyle w:val="Heading1"/>
      </w:pPr>
      <w:r>
        <w:rPr>
          <w:rStyle w:val="SectionNumber"/>
        </w:rPr>
        <w:t xml:space="preserve">9</w:t>
      </w:r>
      <w:r>
        <w:tab/>
      </w:r>
      <w:r>
        <w:t xml:space="preserve">CalibrationTarget Detailed Metrics</w:t>
      </w:r>
    </w:p>
    <w:p>
      <w:pPr>
        <w:pStyle w:val="FirstParagraph"/>
      </w:pPr>
      <w:r>
        <w:t xml:space="preserve">This section provides detailed metrics for the 59 CalibrationTargets applied to the PDAC QSP model.</w:t>
      </w:r>
    </w:p>
    <w:bookmarkStart w:id="69" w:name="observable-categories"/>
    <w:p>
      <w:pPr>
        <w:pStyle w:val="Heading2"/>
      </w:pPr>
      <w:r>
        <w:rPr>
          <w:rStyle w:val="SectionNumber"/>
        </w:rPr>
        <w:t xml:space="preserve">9.1</w:t>
      </w:r>
      <w:r>
        <w:tab/>
      </w:r>
      <w:r>
        <w:t xml:space="preserve">Observable Categories</w:t>
      </w:r>
    </w:p>
    <w:bookmarkStart w:id="68" w:name="tab:ct-observable-categories"/>
    <w:tbl>
      <w:tblPr>
        <w:tblStyle w:val="Table"/>
        <w:tblW w:type="auto" w:w="0"/>
        <w:tblLook w:firstRow="1" w:lastRow="0" w:firstColumn="0" w:lastColumn="0" w:noHBand="0" w:noVBand="0" w:val="0020"/>
        <w:tblCaption w:val="CalibrationTarget observable categories."/>
      </w:tblPr>
      <w:tblGrid>
        <w:gridCol w:w="3960"/>
        <w:gridCol w:w="3960"/>
      </w:tblGrid>
      <w:tr>
        <w:trPr>
          <w:tblHeader w:val="on"/>
        </w:trPr>
        <w:tc>
          <w:tcPr/>
          <w:p>
            <w:pPr>
              <w:pStyle w:val="Compact"/>
              <w:jc w:val="left"/>
            </w:pPr>
            <w:r>
              <w:rPr>
                <w:b/>
              </w:rPr>
              <w:t xml:space="preserve">Observable Category</w:t>
            </w:r>
          </w:p>
        </w:tc>
        <w:tc>
          <w:tcPr/>
          <w:p>
            <w:pPr>
              <w:pStyle w:val="Compact"/>
              <w:jc w:val="right"/>
            </w:pPr>
            <w:r>
              <w:rPr>
                <w:b/>
              </w:rPr>
              <w:t xml:space="preserve">Count</w:t>
            </w:r>
          </w:p>
        </w:tc>
      </w:tr>
      <w:tr>
        <w:tc>
          <w:tcPr/>
          <w:p>
            <w:pPr>
              <w:pStyle w:val="Compact"/>
              <w:jc w:val="left"/>
            </w:pPr>
            <w:r>
              <w:t xml:space="preserve">Immune/stromal fractions</w:t>
            </w:r>
          </w:p>
        </w:tc>
        <w:tc>
          <w:tcPr/>
          <w:p>
            <w:pPr>
              <w:pStyle w:val="Compact"/>
              <w:jc w:val="right"/>
            </w:pPr>
            <w:r>
              <w:t xml:space="preserve">31</w:t>
            </w:r>
          </w:p>
        </w:tc>
      </w:tr>
      <w:tr>
        <w:tc>
          <w:tcPr/>
          <w:p>
            <w:pPr>
              <w:pStyle w:val="Compact"/>
              <w:jc w:val="left"/>
            </w:pPr>
            <w:r>
              <w:t xml:space="preserve">Cell densities</w:t>
            </w:r>
          </w:p>
        </w:tc>
        <w:tc>
          <w:tcPr/>
          <w:p>
            <w:pPr>
              <w:pStyle w:val="Compact"/>
              <w:jc w:val="right"/>
            </w:pPr>
            <w:r>
              <w:t xml:space="preserve">9</w:t>
            </w:r>
          </w:p>
        </w:tc>
      </w:tr>
      <w:tr>
        <w:tc>
          <w:tcPr/>
          <w:p>
            <w:pPr>
              <w:pStyle w:val="Compact"/>
              <w:jc w:val="left"/>
            </w:pPr>
            <w:r>
              <w:t xml:space="preserve">Population ratios</w:t>
            </w:r>
          </w:p>
        </w:tc>
        <w:tc>
          <w:tcPr/>
          <w:p>
            <w:pPr>
              <w:pStyle w:val="Compact"/>
              <w:jc w:val="right"/>
            </w:pPr>
            <w:r>
              <w:t xml:space="preserve">9</w:t>
            </w:r>
          </w:p>
        </w:tc>
      </w:tr>
      <w:tr>
        <w:tc>
          <w:tcPr/>
          <w:p>
            <w:pPr>
              <w:pStyle w:val="Compact"/>
              <w:jc w:val="left"/>
            </w:pPr>
            <w:r>
              <w:t xml:space="preserve">Clinical endpoints</w:t>
            </w:r>
          </w:p>
        </w:tc>
        <w:tc>
          <w:tcPr/>
          <w:p>
            <w:pPr>
              <w:pStyle w:val="Compact"/>
              <w:jc w:val="right"/>
            </w:pPr>
            <w:r>
              <w:t xml:space="preserve">4</w:t>
            </w:r>
          </w:p>
        </w:tc>
      </w:tr>
      <w:tr>
        <w:tc>
          <w:tcPr/>
          <w:p>
            <w:pPr>
              <w:pStyle w:val="Compact"/>
              <w:jc w:val="left"/>
            </w:pPr>
            <w:r>
              <w:t xml:space="preserve">Metabolic/TME markers</w:t>
            </w:r>
          </w:p>
        </w:tc>
        <w:tc>
          <w:tcPr/>
          <w:p>
            <w:pPr>
              <w:pStyle w:val="Compact"/>
              <w:jc w:val="right"/>
            </w:pPr>
            <w:r>
              <w:t xml:space="preserve">3</w:t>
            </w:r>
          </w:p>
        </w:tc>
      </w:tr>
      <w:tr>
        <w:tc>
          <w:tcPr/>
          <w:p>
            <w:pPr>
              <w:pStyle w:val="Compact"/>
              <w:jc w:val="left"/>
            </w:pPr>
            <w:r>
              <w:t xml:space="preserve">Fold-changes</w:t>
            </w:r>
          </w:p>
        </w:tc>
        <w:tc>
          <w:tcPr/>
          <w:p>
            <w:pPr>
              <w:pStyle w:val="Compact"/>
              <w:jc w:val="right"/>
            </w:pPr>
            <w:r>
              <w:t xml:space="preserve">2</w:t>
            </w:r>
          </w:p>
        </w:tc>
      </w:tr>
    </w:tbl>
    <w:p>
      <w:pPr>
        <w:pStyle w:val="TableCaption"/>
      </w:pPr>
      <w:r>
        <w:rPr>
          <w:rFonts w:ascii="Arial" w:hAnsi="Arial"/>
          <w:b/>
          <w:sz w:val="20"/>
        </w:rPr>
        <w:t xml:space="preserve">Table 4. </w:t>
      </w:r>
      <w:r>
        <w:rPr>
          <w:rFonts w:ascii="Arial" w:hAnsi="Arial"/>
          <w:sz w:val="20"/>
        </w:rPr>
        <w:t>CalibrationTarget observable categories.</w:t>
      </w:r>
    </w:p>
    <w:bookmarkEnd w:id="68"/>
    <w:bookmarkEnd w:id="69"/>
    <w:bookmarkStart w:id="71" w:name="observable-complexity"/>
    <w:p>
      <w:pPr>
        <w:pStyle w:val="Heading2"/>
      </w:pPr>
      <w:r>
        <w:rPr>
          <w:rStyle w:val="SectionNumber"/>
        </w:rPr>
        <w:t xml:space="preserve">9.2</w:t>
      </w:r>
      <w:r>
        <w:tab/>
      </w:r>
      <w:r>
        <w:t xml:space="preserve">Observable Complexity</w:t>
      </w:r>
    </w:p>
    <w:bookmarkStart w:id="70" w:name="tab:ct-complexity"/>
    <w:tbl>
      <w:tblPr>
        <w:tblStyle w:val="Table"/>
        <w:tblW w:type="auto" w:w="0"/>
        <w:tblLook w:firstRow="1" w:lastRow="0" w:firstColumn="0" w:lastColumn="0" w:noHBand="0" w:noVBand="0" w:val="0020"/>
        <w:tblCaption w:val="Observable complexity across 59 CalibrationTargets."/>
      </w:tblPr>
      <w:tblGrid>
        <w:gridCol w:w="1980"/>
        <w:gridCol w:w="1980"/>
        <w:gridCol w:w="1980"/>
        <w:gridCol w:w="1980"/>
      </w:tblGrid>
      <w:tr>
        <w:trPr>
          <w:tblHeader w:val="on"/>
        </w:trPr>
        <w:tc>
          <w:tcPr/>
          <w:p>
            <w:pPr>
              <w:pStyle w:val="Compact"/>
              <w:jc w:val="left"/>
            </w:pPr>
            <w:r>
              <w:rPr>
                <w:b/>
              </w:rPr>
              <w:t xml:space="preserve">Metric</w:t>
            </w:r>
          </w:p>
        </w:tc>
        <w:tc>
          <w:tcPr/>
          <w:p>
            <w:pPr>
              <w:pStyle w:val="Compact"/>
              <w:jc w:val="right"/>
            </w:pPr>
            <w:r>
              <w:rPr>
                <w:b/>
              </w:rPr>
              <w:t xml:space="preserve">Mean</w:t>
            </w:r>
          </w:p>
        </w:tc>
        <w:tc>
          <w:tcPr/>
          <w:p>
            <w:pPr>
              <w:pStyle w:val="Compact"/>
              <w:jc w:val="right"/>
            </w:pPr>
            <w:r>
              <w:rPr>
                <w:b/>
              </w:rPr>
              <w:t xml:space="preserve">Min</w:t>
            </w:r>
          </w:p>
        </w:tc>
        <w:tc>
          <w:tcPr/>
          <w:p>
            <w:pPr>
              <w:pStyle w:val="Compact"/>
              <w:jc w:val="right"/>
            </w:pPr>
            <w:r>
              <w:rPr>
                <w:b/>
              </w:rPr>
              <w:t xml:space="preserve">Max</w:t>
            </w:r>
          </w:p>
        </w:tc>
      </w:tr>
      <w:tr>
        <w:tc>
          <w:tcPr/>
          <w:p>
            <w:pPr>
              <w:pStyle w:val="Compact"/>
              <w:jc w:val="left"/>
            </w:pPr>
            <w:r>
              <w:t xml:space="preserve">Model species per observable</w:t>
            </w:r>
          </w:p>
        </w:tc>
        <w:tc>
          <w:tcPr/>
          <w:p>
            <w:pPr>
              <w:pStyle w:val="Compact"/>
              <w:jc w:val="right"/>
            </w:pPr>
            <w:r>
              <w:t xml:space="preserve">7.2</w:t>
            </w:r>
          </w:p>
        </w:tc>
        <w:tc>
          <w:tcPr/>
          <w:p>
            <w:pPr>
              <w:pStyle w:val="Compact"/>
              <w:jc w:val="right"/>
            </w:pPr>
            <w:r>
              <w:t xml:space="preserve">1</w:t>
            </w:r>
          </w:p>
        </w:tc>
        <w:tc>
          <w:tcPr/>
          <w:p>
            <w:pPr>
              <w:pStyle w:val="Compact"/>
              <w:jc w:val="right"/>
            </w:pPr>
            <w:r>
              <w:t xml:space="preserve">19</w:t>
            </w:r>
          </w:p>
        </w:tc>
      </w:tr>
      <w:tr>
        <w:tc>
          <w:tcPr/>
          <w:p>
            <w:pPr>
              <w:pStyle w:val="Compact"/>
              <w:jc w:val="left"/>
            </w:pPr>
            <w:r>
              <w:t xml:space="preserve">Named constants per observable</w:t>
            </w:r>
          </w:p>
        </w:tc>
        <w:tc>
          <w:tcPr/>
          <w:p>
            <w:pPr>
              <w:pStyle w:val="Compact"/>
              <w:jc w:val="right"/>
            </w:pPr>
            <w:r>
              <w:t xml:space="preserve">0.7</w:t>
            </w:r>
          </w:p>
        </w:tc>
        <w:tc>
          <w:tcPr/>
          <w:p>
            <w:pPr>
              <w:pStyle w:val="Compact"/>
              <w:jc w:val="right"/>
            </w:pPr>
            <w:r>
              <w:t xml:space="preserve">0</w:t>
            </w:r>
          </w:p>
        </w:tc>
        <w:tc>
          <w:tcPr/>
          <w:p>
            <w:pPr>
              <w:pStyle w:val="Compact"/>
              <w:jc w:val="right"/>
            </w:pPr>
            <w:r>
              <w:t xml:space="preserve">6</w:t>
            </w:r>
          </w:p>
        </w:tc>
      </w:tr>
      <w:tr>
        <w:tc>
          <w:tcPr/>
          <w:p>
            <w:pPr>
              <w:pStyle w:val="Compact"/>
              <w:jc w:val="left"/>
            </w:pPr>
            <w:r>
              <w:t xml:space="preserve">Empirical inputs per target</w:t>
            </w:r>
          </w:p>
        </w:tc>
        <w:tc>
          <w:tcPr/>
          <w:p>
            <w:pPr>
              <w:pStyle w:val="Compact"/>
              <w:jc w:val="right"/>
            </w:pPr>
            <w:r>
              <w:t xml:space="preserve">5.5</w:t>
            </w:r>
          </w:p>
        </w:tc>
        <w:tc>
          <w:tcPr/>
          <w:p>
            <w:pPr>
              <w:pStyle w:val="Compact"/>
              <w:jc w:val="right"/>
            </w:pPr>
            <w:r>
              <w:t xml:space="preserve">1</w:t>
            </w:r>
          </w:p>
        </w:tc>
        <w:tc>
          <w:tcPr/>
          <w:p>
            <w:pPr>
              <w:pStyle w:val="Compact"/>
              <w:jc w:val="right"/>
            </w:pPr>
            <w:r>
              <w:t xml:space="preserve">18</w:t>
            </w:r>
          </w:p>
        </w:tc>
      </w:tr>
    </w:tbl>
    <w:p>
      <w:pPr>
        <w:pStyle w:val="TableCaption"/>
      </w:pPr>
      <w:r>
        <w:rPr>
          <w:rFonts w:ascii="Arial" w:hAnsi="Arial"/>
          <w:b/>
          <w:sz w:val="20"/>
        </w:rPr>
        <w:t xml:space="preserve">Table 5. </w:t>
      </w:r>
      <w:r>
        <w:rPr>
          <w:rFonts w:ascii="Arial" w:hAnsi="Arial"/>
          <w:sz w:val="20"/>
        </w:rPr>
        <w:t>Observable complexity across 59 CalibrationTargets.</w:t>
      </w:r>
    </w:p>
    <w:bookmarkEnd w:id="70"/>
    <w:p>
      <w:pPr>
        <w:pStyle w:val="BodyText"/>
      </w:pPr>
      <w:r>
        <w:t xml:space="preserve">The most complex observables (19 species) are neoadjuvant immunotherapy targets computing immune subset percentages of all nucleated cells, requiring all modeled immune, stromal, and tumor populations in the denominator. The highest-constant observables (6 constants) require geometric and cellularity reference parameters for converting between model cell counts and histologic measurements. Across all targets, observables reference 25 unique model species spanning immune cells (CD8</w:t>
      </w:r>
      <m:oMath>
        <m:sSup>
          <m:e>
            <m:r>
              <m:t>​</m:t>
            </m:r>
          </m:e>
          <m:sup>
            <m:r>
              <m:rPr>
                <m:sty m:val="p"/>
              </m:rPr>
              <m:t>+</m:t>
            </m:r>
          </m:sup>
        </m:sSup>
      </m:oMath>
      <w:r>
        <w:t xml:space="preserve"> </w:t>
      </w:r>
      <w:r>
        <w:t xml:space="preserve">effector and exhausted, Treg, Th, NK), myeloid cells (M1/M2 macrophages, MDSC, cDC1/cDC2), stromal cells (myCAF, iCAF, apCAF, quiescent PSC), tumor cells, ECM, and microenvironment variables (VEGF, lactate, pO2, glucose, HIF).</w:t>
      </w:r>
    </w:p>
    <w:bookmarkEnd w:id="71"/>
    <w:bookmarkStart w:id="73" w:name="extraction-model-attribution"/>
    <w:p>
      <w:pPr>
        <w:pStyle w:val="Heading2"/>
      </w:pPr>
      <w:r>
        <w:rPr>
          <w:rStyle w:val="SectionNumber"/>
        </w:rPr>
        <w:t xml:space="preserve">9.3</w:t>
      </w:r>
      <w:r>
        <w:tab/>
      </w:r>
      <w:r>
        <w:t xml:space="preserve">Extraction Model Attribution</w:t>
      </w:r>
    </w:p>
    <w:bookmarkStart w:id="72" w:name="tab:ct-extraction-model"/>
    <w:tbl>
      <w:tblPr>
        <w:tblStyle w:val="Table"/>
        <w:tblW w:type="auto" w:w="0"/>
        <w:tblLook w:firstRow="1" w:lastRow="0" w:firstColumn="0" w:lastColumn="0" w:noHBand="0" w:noVBand="0" w:val="0020"/>
        <w:tblCaption w:val="CalibrationTarget extraction model breakdown."/>
      </w:tblPr>
      <w:tblGrid>
        <w:gridCol w:w="2640"/>
        <w:gridCol w:w="2640"/>
        <w:gridCol w:w="2640"/>
      </w:tblGrid>
      <w:tr>
        <w:trPr>
          <w:tblHeader w:val="on"/>
        </w:trPr>
        <w:tc>
          <w:tcPr/>
          <w:p>
            <w:pPr>
              <w:pStyle w:val="Compact"/>
              <w:jc w:val="left"/>
            </w:pPr>
            <w:r>
              <w:rPr>
                <w:b/>
              </w:rPr>
              <w:t xml:space="preserve">Extraction Model</w:t>
            </w:r>
          </w:p>
        </w:tc>
        <w:tc>
          <w:tcPr/>
          <w:p>
            <w:pPr>
              <w:pStyle w:val="Compact"/>
              <w:jc w:val="right"/>
            </w:pPr>
            <w:r>
              <w:rPr>
                <w:b/>
              </w:rPr>
              <w:t xml:space="preserve">Count</w:t>
            </w:r>
          </w:p>
        </w:tc>
        <w:tc>
          <w:tcPr/>
          <w:p>
            <w:pPr>
              <w:pStyle w:val="Compact"/>
              <w:jc w:val="right"/>
            </w:pPr>
            <w:r>
              <w:rPr>
                <w:b/>
              </w:rPr>
              <w:t xml:space="preserve">Percentage</w:t>
            </w:r>
          </w:p>
        </w:tc>
      </w:tr>
      <w:tr>
        <w:tc>
          <w:tcPr/>
          <w:p>
            <w:pPr>
              <w:pStyle w:val="Compact"/>
              <w:jc w:val="left"/>
            </w:pPr>
            <w:r>
              <w:t xml:space="preserve">Claude Opus 4</w:t>
            </w:r>
          </w:p>
        </w:tc>
        <w:tc>
          <w:tcPr/>
          <w:p>
            <w:pPr>
              <w:pStyle w:val="Compact"/>
              <w:jc w:val="right"/>
            </w:pPr>
            <w:r>
              <w:t xml:space="preserve">27</w:t>
            </w:r>
          </w:p>
        </w:tc>
        <w:tc>
          <w:tcPr/>
          <w:p>
            <w:pPr>
              <w:pStyle w:val="Compact"/>
              <w:jc w:val="right"/>
            </w:pPr>
            <w:r>
              <w:t xml:space="preserve">45%</w:t>
            </w:r>
          </w:p>
        </w:tc>
      </w:tr>
      <w:tr>
        <w:tc>
          <w:tcPr/>
          <w:p>
            <w:pPr>
              <w:pStyle w:val="Compact"/>
              <w:jc w:val="left"/>
            </w:pPr>
            <w:r>
              <w:t xml:space="preserve">GPT-5.1</w:t>
            </w:r>
          </w:p>
        </w:tc>
        <w:tc>
          <w:tcPr/>
          <w:p>
            <w:pPr>
              <w:pStyle w:val="Compact"/>
              <w:jc w:val="right"/>
            </w:pPr>
            <w:r>
              <w:t xml:space="preserve">22</w:t>
            </w:r>
          </w:p>
        </w:tc>
        <w:tc>
          <w:tcPr/>
          <w:p>
            <w:pPr>
              <w:pStyle w:val="Compact"/>
              <w:jc w:val="right"/>
            </w:pPr>
            <w:r>
              <w:t xml:space="preserve">37%</w:t>
            </w:r>
          </w:p>
        </w:tc>
      </w:tr>
      <w:tr>
        <w:tc>
          <w:tcPr/>
          <w:p>
            <w:pPr>
              <w:pStyle w:val="Compact"/>
              <w:jc w:val="left"/>
            </w:pPr>
            <w:r>
              <w:t xml:space="preserve">Manually curated</w:t>
            </w:r>
          </w:p>
        </w:tc>
        <w:tc>
          <w:tcPr/>
          <w:p>
            <w:pPr>
              <w:pStyle w:val="Compact"/>
              <w:jc w:val="right"/>
            </w:pPr>
            <w:r>
              <w:t xml:space="preserve">10</w:t>
            </w:r>
          </w:p>
        </w:tc>
        <w:tc>
          <w:tcPr/>
          <w:p>
            <w:pPr>
              <w:pStyle w:val="Compact"/>
              <w:jc w:val="right"/>
            </w:pPr>
            <w:r>
              <w:t xml:space="preserve">16%</w:t>
            </w:r>
          </w:p>
        </w:tc>
      </w:tr>
      <w:tr>
        <w:tc>
          <w:tcPr/>
          <w:p>
            <w:pPr>
              <w:pStyle w:val="Compact"/>
              <w:jc w:val="left"/>
            </w:pPr>
            <w:r>
              <w:rPr>
                <w:b/>
                <w:bCs/>
              </w:rPr>
              <w:t xml:space="preserve">Total</w:t>
            </w:r>
          </w:p>
        </w:tc>
        <w:tc>
          <w:tcPr/>
          <w:p>
            <w:pPr>
              <w:pStyle w:val="Compact"/>
              <w:jc w:val="right"/>
            </w:pPr>
            <w:r>
              <w:rPr>
                <w:b/>
                <w:bCs/>
              </w:rPr>
              <w:t xml:space="preserve">59</w:t>
            </w:r>
          </w:p>
        </w:tc>
        <w:tc>
          <w:tcPr/>
          <w:p>
            <w:pPr>
              <w:pStyle w:val="Compact"/>
            </w:pPr>
          </w:p>
        </w:tc>
      </w:tr>
    </w:tbl>
    <w:p>
      <w:pPr>
        <w:pStyle w:val="TableCaption"/>
      </w:pPr>
      <w:r>
        <w:rPr>
          <w:rFonts w:ascii="Arial" w:hAnsi="Arial"/>
          <w:b/>
          <w:sz w:val="20"/>
        </w:rPr>
        <w:t xml:space="preserve">Table 6. </w:t>
      </w:r>
      <w:r>
        <w:rPr>
          <w:rFonts w:ascii="Arial" w:hAnsi="Arial"/>
          <w:sz w:val="20"/>
        </w:rPr>
        <w:t>CalibrationTarget extraction model breakdown.</w:t>
      </w:r>
    </w:p>
    <w:bookmarkEnd w:id="72"/>
    <w:p>
      <w:pPr>
        <w:pStyle w:val="BodyText"/>
      </w:pPr>
      <w:r>
        <w:t xml:space="preserve">Of the 49 AI-generated targets, 30 (50%) are tagged as human-verified, indicating that a domain expert reviewed the complete target after initial extraction. 15 targets (25%) include data digitized from figures, where per-patient data points were manually extracted and the CalibrationTarget structure was assembled by the LLM from those data points.</w:t>
      </w:r>
    </w:p>
    <w:bookmarkEnd w:id="73"/>
    <w:bookmarkStart w:id="74" w:name="primary-data-sources"/>
    <w:p>
      <w:pPr>
        <w:pStyle w:val="Heading2"/>
      </w:pPr>
      <w:r>
        <w:rPr>
          <w:rStyle w:val="SectionNumber"/>
        </w:rPr>
        <w:t xml:space="preserve">9.4</w:t>
      </w:r>
      <w:r>
        <w:tab/>
      </w:r>
      <w:r>
        <w:t xml:space="preserve">Primary Data Sources</w:t>
      </w:r>
    </w:p>
    <w:p>
      <w:pPr>
        <w:pStyle w:val="FirstParagraph"/>
      </w:pPr>
      <w:r>
        <w:t xml:space="preserve">The 59 targets drew from 25 unique primary sources (by DOI), with publication years spanning 2000–2026. Two sources contributed the majority of targets: a neoadjuvant immunotherapy trial (Li et al., Cancer Cell, 2022) provided data for all 18 GVAX/nivolumab targets, and a large-scale immunohistochemistry study (Liudahl et al., Cancer Discovery, 2021) provided data for 11 baseline targets covering immune cell densities, fractions, and ratios.</w:t>
      </w:r>
    </w:p>
    <w:bookmarkEnd w:id="74"/>
    <w:bookmarkEnd w:id="75"/>
    <w:bookmarkStart w:id="85" w:name="sec:inference-results"/>
    <w:p>
      <w:pPr>
        <w:pStyle w:val="Heading1"/>
      </w:pPr>
      <w:r>
        <w:rPr>
          <w:rStyle w:val="SectionNumber"/>
        </w:rPr>
        <w:t xml:space="preserve">10</w:t>
      </w:r>
      <w:r>
        <w:tab/>
      </w:r>
      <w:r>
        <w:t xml:space="preserve">Inference Results</w:t>
      </w:r>
    </w:p>
    <w:p>
      <w:pPr>
        <w:pStyle w:val="FirstParagraph"/>
      </w:pPr>
      <w:r>
        <w:t xml:space="preserve">All 37 SubmodelTargets were translated to a joint Julia inference script using Turing.jl</w:t>
      </w:r>
      <w:r>
        <w:rPr>
          <w:vertAlign w:val="superscript"/>
        </w:rPr>
        <w:t xml:space="preserve">1</w:t>
      </w:r>
      <w:r>
        <w:t xml:space="preserve">. The translator identified 19 unique parameters and generated corresponding priors and likelihood terms. The plurality of targets (48%) use closed-form algebraic forward models; the remainder use structured model types including steady-state, batch accumulation, and first-order decay models (Table </w:t>
      </w:r>
      <w:hyperlink w:anchor="tab:model-type-dist">
        <w:r>
          <w:rPr>
            <w:rStyle w:val="Hyperlink"/>
          </w:rPr>
          <w:t xml:space="preserve">7</w:t>
        </w:r>
      </w:hyperlink>
      <w:r>
        <w:t xml:space="preserve">).</w:t>
      </w:r>
    </w:p>
    <w:bookmarkStart w:id="76" w:name="tab:model-type-dist"/>
    <w:tbl>
      <w:tblPr>
        <w:tblStyle w:val="Table"/>
        <w:tblW w:type="auto" w:w="0"/>
        <w:tblLook w:firstRow="1" w:lastRow="0" w:firstColumn="0" w:lastColumn="0" w:noHBand="0" w:noVBand="0" w:val="0020"/>
        <w:tblCaption w:val="Distribution of forward model types used in calibration submodels."/>
      </w:tblPr>
      <w:tblGrid>
        <w:gridCol w:w="2640"/>
        <w:gridCol w:w="2640"/>
        <w:gridCol w:w="2640"/>
      </w:tblGrid>
      <w:tr>
        <w:trPr>
          <w:tblHeader w:val="on"/>
        </w:trPr>
        <w:tc>
          <w:tcPr/>
          <w:p>
            <w:pPr>
              <w:pStyle w:val="Compact"/>
              <w:jc w:val="left"/>
            </w:pPr>
            <w:r>
              <w:rPr>
                <w:b/>
              </w:rPr>
              <w:t xml:space="preserve">Model Type</w:t>
            </w:r>
          </w:p>
        </w:tc>
        <w:tc>
          <w:tcPr/>
          <w:p>
            <w:pPr>
              <w:pStyle w:val="Compact"/>
              <w:jc w:val="center"/>
            </w:pPr>
            <w:r>
              <w:rPr>
                <w:b/>
              </w:rPr>
              <w:t xml:space="preserve">Count</w:t>
            </w:r>
          </w:p>
        </w:tc>
        <w:tc>
          <w:tcPr/>
          <w:p>
            <w:pPr>
              <w:pStyle w:val="Compact"/>
              <w:jc w:val="center"/>
            </w:pPr>
            <w:r>
              <w:rPr>
                <w:b/>
              </w:rPr>
              <w:t xml:space="preserve">%</w:t>
            </w:r>
          </w:p>
        </w:tc>
      </w:tr>
      <w:tr>
        <w:tc>
          <w:tcPr/>
          <w:p>
            <w:pPr>
              <w:pStyle w:val="Compact"/>
              <w:jc w:val="left"/>
            </w:pPr>
            <w:r>
              <w:t xml:space="preserve">Algebraic (closed-form)</w:t>
            </w:r>
          </w:p>
        </w:tc>
        <w:tc>
          <w:tcPr/>
          <w:p>
            <w:pPr>
              <w:pStyle w:val="Compact"/>
              <w:jc w:val="center"/>
            </w:pPr>
            <w:r>
              <w:t xml:space="preserve">18</w:t>
            </w:r>
          </w:p>
        </w:tc>
        <w:tc>
          <w:tcPr/>
          <w:p>
            <w:pPr>
              <w:pStyle w:val="Compact"/>
              <w:jc w:val="center"/>
            </w:pPr>
            <w:r>
              <w:t xml:space="preserve">49%</w:t>
            </w:r>
          </w:p>
        </w:tc>
      </w:tr>
      <w:tr>
        <w:tc>
          <w:tcPr/>
          <w:p>
            <w:pPr>
              <w:pStyle w:val="Compact"/>
              <w:jc w:val="left"/>
            </w:pPr>
            <w:r>
              <w:t xml:space="preserve">Steady-state ratio</w:t>
            </w:r>
          </w:p>
        </w:tc>
        <w:tc>
          <w:tcPr/>
          <w:p>
            <w:pPr>
              <w:pStyle w:val="Compact"/>
              <w:jc w:val="center"/>
            </w:pPr>
            <w:r>
              <w:t xml:space="preserve">5</w:t>
            </w:r>
          </w:p>
        </w:tc>
        <w:tc>
          <w:tcPr/>
          <w:p>
            <w:pPr>
              <w:pStyle w:val="Compact"/>
              <w:jc w:val="center"/>
            </w:pPr>
            <w:r>
              <w:t xml:space="preserve">14%</w:t>
            </w:r>
          </w:p>
        </w:tc>
      </w:tr>
      <w:tr>
        <w:tc>
          <w:tcPr/>
          <w:p>
            <w:pPr>
              <w:pStyle w:val="Compact"/>
              <w:jc w:val="left"/>
            </w:pPr>
            <w:r>
              <w:t xml:space="preserve">Batch accumulation</w:t>
            </w:r>
          </w:p>
        </w:tc>
        <w:tc>
          <w:tcPr/>
          <w:p>
            <w:pPr>
              <w:pStyle w:val="Compact"/>
              <w:jc w:val="center"/>
            </w:pPr>
            <w:r>
              <w:t xml:space="preserve">4</w:t>
            </w:r>
          </w:p>
        </w:tc>
        <w:tc>
          <w:tcPr/>
          <w:p>
            <w:pPr>
              <w:pStyle w:val="Compact"/>
              <w:jc w:val="center"/>
            </w:pPr>
            <w:r>
              <w:t xml:space="preserve">11%</w:t>
            </w:r>
          </w:p>
        </w:tc>
      </w:tr>
      <w:tr>
        <w:tc>
          <w:tcPr/>
          <w:p>
            <w:pPr>
              <w:pStyle w:val="Compact"/>
              <w:jc w:val="left"/>
            </w:pPr>
            <w:r>
              <w:t xml:space="preserve">Steady-state density</w:t>
            </w:r>
          </w:p>
        </w:tc>
        <w:tc>
          <w:tcPr/>
          <w:p>
            <w:pPr>
              <w:pStyle w:val="Compact"/>
              <w:jc w:val="center"/>
            </w:pPr>
            <w:r>
              <w:t xml:space="preserve">4</w:t>
            </w:r>
          </w:p>
        </w:tc>
        <w:tc>
          <w:tcPr/>
          <w:p>
            <w:pPr>
              <w:pStyle w:val="Compact"/>
              <w:jc w:val="center"/>
            </w:pPr>
            <w:r>
              <w:t xml:space="preserve">11%</w:t>
            </w:r>
          </w:p>
        </w:tc>
      </w:tr>
      <w:tr>
        <w:tc>
          <w:tcPr/>
          <w:p>
            <w:pPr>
              <w:pStyle w:val="Compact"/>
              <w:jc w:val="left"/>
            </w:pPr>
            <w:r>
              <w:t xml:space="preserve">Steady-state fraction</w:t>
            </w:r>
          </w:p>
        </w:tc>
        <w:tc>
          <w:tcPr/>
          <w:p>
            <w:pPr>
              <w:pStyle w:val="Compact"/>
              <w:jc w:val="center"/>
            </w:pPr>
            <w:r>
              <w:t xml:space="preserve">3</w:t>
            </w:r>
          </w:p>
        </w:tc>
        <w:tc>
          <w:tcPr/>
          <w:p>
            <w:pPr>
              <w:pStyle w:val="Compact"/>
              <w:jc w:val="center"/>
            </w:pPr>
            <w:r>
              <w:t xml:space="preserve">8%</w:t>
            </w:r>
          </w:p>
        </w:tc>
      </w:tr>
      <w:tr>
        <w:tc>
          <w:tcPr/>
          <w:p>
            <w:pPr>
              <w:pStyle w:val="Compact"/>
              <w:jc w:val="left"/>
            </w:pPr>
            <w:r>
              <w:t xml:space="preserve">First-order decay ODE</w:t>
            </w:r>
          </w:p>
        </w:tc>
        <w:tc>
          <w:tcPr/>
          <w:p>
            <w:pPr>
              <w:pStyle w:val="Compact"/>
              <w:jc w:val="center"/>
            </w:pPr>
            <w:r>
              <w:t xml:space="preserve">2</w:t>
            </w:r>
          </w:p>
        </w:tc>
        <w:tc>
          <w:tcPr/>
          <w:p>
            <w:pPr>
              <w:pStyle w:val="Compact"/>
              <w:jc w:val="center"/>
            </w:pPr>
            <w:r>
              <w:t xml:space="preserve">5%</w:t>
            </w:r>
          </w:p>
        </w:tc>
      </w:tr>
      <w:tr>
        <w:tc>
          <w:tcPr/>
          <w:p>
            <w:pPr>
              <w:pStyle w:val="Compact"/>
              <w:jc w:val="left"/>
            </w:pPr>
            <w:r>
              <w:t xml:space="preserve">Steady-state concentration</w:t>
            </w:r>
          </w:p>
        </w:tc>
        <w:tc>
          <w:tcPr/>
          <w:p>
            <w:pPr>
              <w:pStyle w:val="Compact"/>
              <w:jc w:val="center"/>
            </w:pPr>
            <w:r>
              <w:t xml:space="preserve">1</w:t>
            </w:r>
          </w:p>
        </w:tc>
        <w:tc>
          <w:tcPr/>
          <w:p>
            <w:pPr>
              <w:pStyle w:val="Compact"/>
              <w:jc w:val="center"/>
            </w:pPr>
            <w:r>
              <w:t xml:space="preserve">3%</w:t>
            </w:r>
          </w:p>
        </w:tc>
      </w:tr>
      <w:tr>
        <w:tc>
          <w:tcPr/>
          <w:p>
            <w:pPr>
              <w:pStyle w:val="Compact"/>
              <w:jc w:val="left"/>
            </w:pPr>
            <w:r>
              <w:rPr>
                <w:b/>
                <w:bCs/>
              </w:rPr>
              <w:t xml:space="preserve">Total</w:t>
            </w:r>
          </w:p>
        </w:tc>
        <w:tc>
          <w:tcPr/>
          <w:p>
            <w:pPr>
              <w:pStyle w:val="Compact"/>
              <w:jc w:val="center"/>
            </w:pPr>
            <w:r>
              <w:rPr>
                <w:b/>
                <w:bCs/>
              </w:rPr>
              <w:t xml:space="preserve">37</w:t>
            </w:r>
          </w:p>
        </w:tc>
        <w:tc>
          <w:tcPr/>
          <w:p>
            <w:pPr>
              <w:pStyle w:val="Compact"/>
            </w:pPr>
          </w:p>
        </w:tc>
      </w:tr>
    </w:tbl>
    <w:p>
      <w:pPr>
        <w:pStyle w:val="TableCaption"/>
      </w:pPr>
      <w:r>
        <w:rPr>
          <w:rFonts w:ascii="Arial" w:hAnsi="Arial"/>
          <w:b/>
          <w:sz w:val="20"/>
        </w:rPr>
        <w:t xml:space="preserve">Table 7. </w:t>
      </w:r>
      <w:r>
        <w:rPr>
          <w:rFonts w:ascii="Arial" w:hAnsi="Arial"/>
          <w:sz w:val="20"/>
        </w:rPr>
        <w:t>Distribution of forward model types used in calibration submodels.</w:t>
      </w:r>
    </w:p>
    <w:bookmarkEnd w:id="76"/>
    <w:p>
      <w:pPr>
        <w:pStyle w:val="BodyText"/>
      </w:pPr>
      <w:r>
        <w:t xml:space="preserve">The generated script is self-contained, requiring only DifferentialEquations.jl, Turing.jl, and Distributions.jl</w:t>
      </w:r>
      <w:r>
        <w:rPr>
          <w:vertAlign w:val="superscript"/>
        </w:rPr>
        <w:t xml:space="preserve">2</w:t>
      </w:r>
      <w:r>
        <w:t xml:space="preserve">. Each target contributes a simulate function, observed data constants, and a likelihood term. In this application, most targets constrain individual parameters through algebraic or structured forward models (steady-state, batch accumulation, first-order decay), with 11 parameters shared across multiple targets. The framework supports arbitrarily complex scenarios: multiple derivations constraining the same parameter, single targets constraining multiple parameters, and forward models involving ODEs that cannot be analytically inverted.</w:t>
      </w:r>
    </w:p>
    <w:bookmarkStart w:id="78" w:name="convergence-diagnostics"/>
    <w:p>
      <w:pPr>
        <w:pStyle w:val="Heading2"/>
      </w:pPr>
      <w:r>
        <w:rPr>
          <w:rStyle w:val="SectionNumber"/>
        </w:rPr>
        <w:t xml:space="preserve">10.1</w:t>
      </w:r>
      <w:r>
        <w:tab/>
      </w:r>
      <w:r>
        <w:t xml:space="preserve">Convergence Diagnostics</w:t>
      </w:r>
    </w:p>
    <w:p>
      <w:pPr>
        <w:pStyle w:val="FirstParagraph"/>
      </w:pPr>
      <w:r>
        <w:t xml:space="preserve">We ran 4 chains of 1000 samples each using the NUTS sampler. All parameters achieved</w:t>
      </w:r>
      <w:r>
        <w:t xml:space="preserve"> </w:t>
      </w:r>
      <m:oMath>
        <m:acc>
          <m:accPr>
            <m:chr m:val="̂"/>
          </m:accPr>
          <m:e>
            <m:r>
              <m:t>R</m:t>
            </m:r>
          </m:e>
        </m:acc>
        <m:r>
          <m:rPr>
            <m:sty m:val="p"/>
          </m:rPr>
          <m:t>&lt;</m:t>
        </m:r>
        <m:r>
          <m:t>1.01</m:t>
        </m:r>
      </m:oMath>
      <w:r>
        <w:t xml:space="preserve"> </w:t>
      </w:r>
      <w:r>
        <w:t xml:space="preserve">and effective sample sizes above 3000 (Table </w:t>
      </w:r>
      <w:hyperlink w:anchor="tab:convergence">
        <w:r>
          <w:rPr>
            <w:rStyle w:val="Hyperlink"/>
          </w:rPr>
          <w:t xml:space="preserve">8</w:t>
        </w:r>
      </w:hyperlink>
      <w:r>
        <w:t xml:space="preserve">). Sampling took about 42 seconds on an M-series MacBook Air.</w:t>
      </w:r>
    </w:p>
    <w:bookmarkStart w:id="77" w:name="tab:convergence"/>
    <w:tbl>
      <w:tblPr>
        <w:tblStyle w:val="Table"/>
        <w:tblW w:type="auto" w:w="0"/>
        <w:tblLook w:firstRow="1" w:lastRow="0" w:firstColumn="0" w:lastColumn="0" w:noHBand="0" w:noVBand="0" w:val="0020"/>
        <w:tblCaption w:val="Convergence diagnostics for MCMC sampling. All \hat{R} &lt; 1.01 indicates convergence."/>
      </w:tblPr>
      <w:tblGrid>
        <w:gridCol w:w="1980"/>
        <w:gridCol w:w="1980"/>
        <w:gridCol w:w="1980"/>
        <w:gridCol w:w="1980"/>
      </w:tblGrid>
      <w:tr>
        <w:trPr>
          <w:tblHeader w:val="on"/>
        </w:trPr>
        <w:tc>
          <w:tcPr/>
          <w:p>
            <w:pPr>
              <w:pStyle w:val="Compact"/>
              <w:jc w:val="left"/>
            </w:pPr>
            <w:r>
              <w:rPr>
                <w:b/>
              </w:rPr>
              <w:t xml:space="preserve">Parameter</w:t>
            </w:r>
          </w:p>
        </w:tc>
        <w:tc>
          <w:tcPr/>
          <w:p>
            <w:pPr>
              <w:pStyle w:val="Compact"/>
              <w:jc w:val="center"/>
            </w:pPr>
            <m:oMath>
              <m:acc>
                <m:accPr>
                  <m:chr m:val="̂"/>
                </m:accPr>
                <m:e>
                  <m:r>
                    <m:t>R</m:t>
                  </m:r>
                </m:e>
              </m:acc>
            </m:oMath>
          </w:p>
        </w:tc>
        <w:tc>
          <w:tcPr/>
          <w:p>
            <w:pPr>
              <w:pStyle w:val="Compact"/>
              <w:jc w:val="center"/>
            </w:pPr>
            <w:r>
              <w:rPr>
                <w:b/>
              </w:rPr>
              <w:t xml:space="preserve">ESS (bulk)</w:t>
            </w:r>
          </w:p>
        </w:tc>
        <w:tc>
          <w:tcPr/>
          <w:p>
            <w:pPr>
              <w:pStyle w:val="Compact"/>
              <w:jc w:val="center"/>
            </w:pPr>
            <w:r>
              <w:rPr>
                <w:b/>
              </w:rPr>
              <w:t xml:space="preserve">ESS (tail)</w:t>
            </w:r>
          </w:p>
        </w:tc>
      </w:tr>
      <w:tr>
        <w:tc>
          <w:tcPr/>
          <w:p>
            <w:pPr>
              <w:pStyle w:val="Compact"/>
              <w:jc w:val="left"/>
            </w:pPr>
            <w:r>
              <w:rPr>
                <w:rStyle w:val="VerbatimChar"/>
              </w:rPr>
              <w:t xml:space="preserve">N_IL2_CD4</w:t>
            </w:r>
          </w:p>
        </w:tc>
        <w:tc>
          <w:tcPr/>
          <w:p>
            <w:pPr>
              <w:pStyle w:val="Compact"/>
              <w:jc w:val="center"/>
            </w:pPr>
            <w:r>
              <w:t xml:space="preserve">1.000</w:t>
            </w:r>
          </w:p>
        </w:tc>
        <w:tc>
          <w:tcPr/>
          <w:p>
            <w:pPr>
              <w:pStyle w:val="Compact"/>
              <w:jc w:val="center"/>
            </w:pPr>
            <w:r>
              <w:t xml:space="preserve">4598</w:t>
            </w:r>
          </w:p>
        </w:tc>
        <w:tc>
          <w:tcPr/>
          <w:p>
            <w:pPr>
              <w:pStyle w:val="Compact"/>
              <w:jc w:val="center"/>
            </w:pPr>
            <w:r>
              <w:t xml:space="preserve">2549</w:t>
            </w:r>
          </w:p>
        </w:tc>
      </w:tr>
      <w:tr>
        <w:tc>
          <w:tcPr/>
          <w:p>
            <w:pPr>
              <w:pStyle w:val="Compact"/>
              <w:jc w:val="left"/>
            </w:pPr>
            <w:r>
              <w:rPr>
                <w:rStyle w:val="VerbatimChar"/>
              </w:rPr>
              <w:t xml:space="preserve">N_IL2_CD8</w:t>
            </w:r>
          </w:p>
        </w:tc>
        <w:tc>
          <w:tcPr/>
          <w:p>
            <w:pPr>
              <w:pStyle w:val="Compact"/>
              <w:jc w:val="center"/>
            </w:pPr>
            <w:r>
              <w:t xml:space="preserve">1.002</w:t>
            </w:r>
          </w:p>
        </w:tc>
        <w:tc>
          <w:tcPr/>
          <w:p>
            <w:pPr>
              <w:pStyle w:val="Compact"/>
              <w:jc w:val="center"/>
            </w:pPr>
            <w:r>
              <w:t xml:space="preserve">2846</w:t>
            </w:r>
          </w:p>
        </w:tc>
        <w:tc>
          <w:tcPr/>
          <w:p>
            <w:pPr>
              <w:pStyle w:val="Compact"/>
              <w:jc w:val="center"/>
            </w:pPr>
            <w:r>
              <w:t xml:space="preserve">1334</w:t>
            </w:r>
          </w:p>
        </w:tc>
      </w:tr>
      <w:tr>
        <w:tc>
          <w:tcPr/>
          <w:p>
            <w:pPr>
              <w:pStyle w:val="Compact"/>
              <w:jc w:val="left"/>
            </w:pPr>
            <w:r>
              <w:rPr>
                <w:rStyle w:val="VerbatimChar"/>
              </w:rPr>
              <w:t xml:space="preserve">cd8_exclusion_fraction</w:t>
            </w:r>
          </w:p>
        </w:tc>
        <w:tc>
          <w:tcPr/>
          <w:p>
            <w:pPr>
              <w:pStyle w:val="Compact"/>
              <w:jc w:val="center"/>
            </w:pPr>
            <w:r>
              <w:t xml:space="preserve">1.001</w:t>
            </w:r>
          </w:p>
        </w:tc>
        <w:tc>
          <w:tcPr/>
          <w:p>
            <w:pPr>
              <w:pStyle w:val="Compact"/>
              <w:jc w:val="center"/>
            </w:pPr>
            <w:r>
              <w:t xml:space="preserve">2705</w:t>
            </w:r>
          </w:p>
        </w:tc>
        <w:tc>
          <w:tcPr/>
          <w:p>
            <w:pPr>
              <w:pStyle w:val="Compact"/>
              <w:jc w:val="center"/>
            </w:pPr>
            <w:r>
              <w:t xml:space="preserve">2325</w:t>
            </w:r>
          </w:p>
        </w:tc>
      </w:tr>
      <w:tr>
        <w:tc>
          <w:tcPr/>
          <w:p>
            <w:pPr>
              <w:pStyle w:val="Compact"/>
              <w:jc w:val="left"/>
            </w:pPr>
            <w:r>
              <w:rPr>
                <w:rStyle w:val="VerbatimChar"/>
              </w:rPr>
              <w:t xml:space="preserve">k_C1_growth</w:t>
            </w:r>
          </w:p>
        </w:tc>
        <w:tc>
          <w:tcPr/>
          <w:p>
            <w:pPr>
              <w:pStyle w:val="Compact"/>
              <w:jc w:val="center"/>
            </w:pPr>
            <w:r>
              <w:t xml:space="preserve">1.001</w:t>
            </w:r>
          </w:p>
        </w:tc>
        <w:tc>
          <w:tcPr/>
          <w:p>
            <w:pPr>
              <w:pStyle w:val="Compact"/>
              <w:jc w:val="center"/>
            </w:pPr>
            <w:r>
              <w:t xml:space="preserve">4912</w:t>
            </w:r>
          </w:p>
        </w:tc>
        <w:tc>
          <w:tcPr/>
          <w:p>
            <w:pPr>
              <w:pStyle w:val="Compact"/>
              <w:jc w:val="center"/>
            </w:pPr>
            <w:r>
              <w:t xml:space="preserve">3195</w:t>
            </w:r>
          </w:p>
        </w:tc>
      </w:tr>
      <w:tr>
        <w:tc>
          <w:tcPr/>
          <w:p>
            <w:pPr>
              <w:pStyle w:val="Compact"/>
              <w:jc w:val="left"/>
            </w:pPr>
            <w:r>
              <w:rPr>
                <w:rStyle w:val="VerbatimChar"/>
              </w:rPr>
              <w:t xml:space="preserve">k_CCL2_deg</w:t>
            </w:r>
          </w:p>
        </w:tc>
        <w:tc>
          <w:tcPr/>
          <w:p>
            <w:pPr>
              <w:pStyle w:val="Compact"/>
              <w:jc w:val="center"/>
            </w:pPr>
            <w:r>
              <w:t xml:space="preserve">1.001</w:t>
            </w:r>
          </w:p>
        </w:tc>
        <w:tc>
          <w:tcPr/>
          <w:p>
            <w:pPr>
              <w:pStyle w:val="Compact"/>
              <w:jc w:val="center"/>
            </w:pPr>
            <w:r>
              <w:t xml:space="preserve">5256</w:t>
            </w:r>
          </w:p>
        </w:tc>
        <w:tc>
          <w:tcPr/>
          <w:p>
            <w:pPr>
              <w:pStyle w:val="Compact"/>
              <w:jc w:val="center"/>
            </w:pPr>
            <w:r>
              <w:t xml:space="preserve">2763</w:t>
            </w:r>
          </w:p>
        </w:tc>
      </w:tr>
      <w:tr>
        <w:tc>
          <w:tcPr/>
          <w:p>
            <w:pPr>
              <w:pStyle w:val="Compact"/>
              <w:jc w:val="left"/>
            </w:pPr>
            <w:r>
              <w:rPr>
                <w:rStyle w:val="VerbatimChar"/>
              </w:rPr>
              <w:t xml:space="preserve">k_CCL2_sec</w:t>
            </w:r>
          </w:p>
        </w:tc>
        <w:tc>
          <w:tcPr/>
          <w:p>
            <w:pPr>
              <w:pStyle w:val="Compact"/>
              <w:jc w:val="center"/>
            </w:pPr>
            <w:r>
              <w:t xml:space="preserve">1.001</w:t>
            </w:r>
          </w:p>
        </w:tc>
        <w:tc>
          <w:tcPr/>
          <w:p>
            <w:pPr>
              <w:pStyle w:val="Compact"/>
              <w:jc w:val="center"/>
            </w:pPr>
            <w:r>
              <w:t xml:space="preserve">5453</w:t>
            </w:r>
          </w:p>
        </w:tc>
        <w:tc>
          <w:tcPr/>
          <w:p>
            <w:pPr>
              <w:pStyle w:val="Compact"/>
              <w:jc w:val="center"/>
            </w:pPr>
            <w:r>
              <w:t xml:space="preserve">2998</w:t>
            </w:r>
          </w:p>
        </w:tc>
      </w:tr>
      <w:tr>
        <w:tc>
          <w:tcPr/>
          <w:p>
            <w:pPr>
              <w:pStyle w:val="Compact"/>
              <w:jc w:val="left"/>
            </w:pPr>
            <w:r>
              <w:rPr>
                <w:rStyle w:val="VerbatimChar"/>
              </w:rPr>
              <w:t xml:space="preserve">k_CD8_death</w:t>
            </w:r>
          </w:p>
        </w:tc>
        <w:tc>
          <w:tcPr/>
          <w:p>
            <w:pPr>
              <w:pStyle w:val="Compact"/>
              <w:jc w:val="center"/>
            </w:pPr>
            <w:r>
              <w:t xml:space="preserve">1.001</w:t>
            </w:r>
          </w:p>
        </w:tc>
        <w:tc>
          <w:tcPr/>
          <w:p>
            <w:pPr>
              <w:pStyle w:val="Compact"/>
              <w:jc w:val="center"/>
            </w:pPr>
            <w:r>
              <w:t xml:space="preserve">2851</w:t>
            </w:r>
          </w:p>
        </w:tc>
        <w:tc>
          <w:tcPr/>
          <w:p>
            <w:pPr>
              <w:pStyle w:val="Compact"/>
              <w:jc w:val="center"/>
            </w:pPr>
            <w:r>
              <w:t xml:space="preserve">2889</w:t>
            </w:r>
          </w:p>
        </w:tc>
      </w:tr>
      <w:tr>
        <w:tc>
          <w:tcPr/>
          <w:p>
            <w:pPr>
              <w:pStyle w:val="Compact"/>
              <w:jc w:val="left"/>
            </w:pPr>
            <w:r>
              <w:rPr>
                <w:rStyle w:val="VerbatimChar"/>
              </w:rPr>
              <w:t xml:space="preserve">k_M1_pol</w:t>
            </w:r>
          </w:p>
        </w:tc>
        <w:tc>
          <w:tcPr/>
          <w:p>
            <w:pPr>
              <w:pStyle w:val="Compact"/>
              <w:jc w:val="center"/>
            </w:pPr>
            <w:r>
              <w:t xml:space="preserve">1.001</w:t>
            </w:r>
          </w:p>
        </w:tc>
        <w:tc>
          <w:tcPr/>
          <w:p>
            <w:pPr>
              <w:pStyle w:val="Compact"/>
              <w:jc w:val="center"/>
            </w:pPr>
            <w:r>
              <w:t xml:space="preserve">3020</w:t>
            </w:r>
          </w:p>
        </w:tc>
        <w:tc>
          <w:tcPr/>
          <w:p>
            <w:pPr>
              <w:pStyle w:val="Compact"/>
              <w:jc w:val="center"/>
            </w:pPr>
            <w:r>
              <w:t xml:space="preserve">2396</w:t>
            </w:r>
          </w:p>
        </w:tc>
      </w:tr>
      <w:tr>
        <w:tc>
          <w:tcPr/>
          <w:p>
            <w:pPr>
              <w:pStyle w:val="Compact"/>
              <w:jc w:val="left"/>
            </w:pPr>
            <w:r>
              <w:rPr>
                <w:rStyle w:val="VerbatimChar"/>
              </w:rPr>
              <w:t xml:space="preserve">k_M2_pol</w:t>
            </w:r>
          </w:p>
        </w:tc>
        <w:tc>
          <w:tcPr/>
          <w:p>
            <w:pPr>
              <w:pStyle w:val="Compact"/>
              <w:jc w:val="center"/>
            </w:pPr>
            <w:r>
              <w:t xml:space="preserve">1.001</w:t>
            </w:r>
          </w:p>
        </w:tc>
        <w:tc>
          <w:tcPr/>
          <w:p>
            <w:pPr>
              <w:pStyle w:val="Compact"/>
              <w:jc w:val="center"/>
            </w:pPr>
            <w:r>
              <w:t xml:space="preserve">2773</w:t>
            </w:r>
          </w:p>
        </w:tc>
        <w:tc>
          <w:tcPr/>
          <w:p>
            <w:pPr>
              <w:pStyle w:val="Compact"/>
              <w:jc w:val="center"/>
            </w:pPr>
            <w:r>
              <w:t xml:space="preserve">2542</w:t>
            </w:r>
          </w:p>
        </w:tc>
      </w:tr>
      <w:tr>
        <w:tc>
          <w:tcPr/>
          <w:p>
            <w:pPr>
              <w:pStyle w:val="Compact"/>
              <w:jc w:val="left"/>
            </w:pPr>
            <w:r>
              <w:rPr>
                <w:rStyle w:val="VerbatimChar"/>
              </w:rPr>
              <w:t xml:space="preserve">k_MDSC_death</w:t>
            </w:r>
          </w:p>
        </w:tc>
        <w:tc>
          <w:tcPr/>
          <w:p>
            <w:pPr>
              <w:pStyle w:val="Compact"/>
              <w:jc w:val="center"/>
            </w:pPr>
            <w:r>
              <w:t xml:space="preserve">1.001</w:t>
            </w:r>
          </w:p>
        </w:tc>
        <w:tc>
          <w:tcPr/>
          <w:p>
            <w:pPr>
              <w:pStyle w:val="Compact"/>
              <w:jc w:val="center"/>
            </w:pPr>
            <w:r>
              <w:t xml:space="preserve">2679</w:t>
            </w:r>
          </w:p>
        </w:tc>
        <w:tc>
          <w:tcPr/>
          <w:p>
            <w:pPr>
              <w:pStyle w:val="Compact"/>
              <w:jc w:val="center"/>
            </w:pPr>
            <w:r>
              <w:t xml:space="preserve">2515</w:t>
            </w:r>
          </w:p>
        </w:tc>
      </w:tr>
      <w:tr>
        <w:tc>
          <w:tcPr/>
          <w:p>
            <w:pPr>
              <w:pStyle w:val="Compact"/>
              <w:jc w:val="left"/>
            </w:pPr>
            <w:r>
              <w:rPr>
                <w:rStyle w:val="VerbatimChar"/>
              </w:rPr>
              <w:t xml:space="preserve">k_MDSC_rec</w:t>
            </w:r>
          </w:p>
        </w:tc>
        <w:tc>
          <w:tcPr/>
          <w:p>
            <w:pPr>
              <w:pStyle w:val="Compact"/>
              <w:jc w:val="center"/>
            </w:pPr>
            <w:r>
              <w:t xml:space="preserve">1.001</w:t>
            </w:r>
          </w:p>
        </w:tc>
        <w:tc>
          <w:tcPr/>
          <w:p>
            <w:pPr>
              <w:pStyle w:val="Compact"/>
              <w:jc w:val="center"/>
            </w:pPr>
            <w:r>
              <w:t xml:space="preserve">2657</w:t>
            </w:r>
          </w:p>
        </w:tc>
        <w:tc>
          <w:tcPr/>
          <w:p>
            <w:pPr>
              <w:pStyle w:val="Compact"/>
              <w:jc w:val="center"/>
            </w:pPr>
            <w:r>
              <w:t xml:space="preserve">2621</w:t>
            </w:r>
          </w:p>
        </w:tc>
      </w:tr>
      <w:tr>
        <w:tc>
          <w:tcPr/>
          <w:p>
            <w:pPr>
              <w:pStyle w:val="Compact"/>
              <w:jc w:val="left"/>
            </w:pPr>
            <w:r>
              <w:rPr>
                <w:rStyle w:val="VerbatimChar"/>
              </w:rPr>
              <w:t xml:space="preserve">k_Mac_death</w:t>
            </w:r>
          </w:p>
        </w:tc>
        <w:tc>
          <w:tcPr/>
          <w:p>
            <w:pPr>
              <w:pStyle w:val="Compact"/>
              <w:jc w:val="center"/>
            </w:pPr>
            <w:r>
              <w:t xml:space="preserve">1.000</w:t>
            </w:r>
          </w:p>
        </w:tc>
        <w:tc>
          <w:tcPr/>
          <w:p>
            <w:pPr>
              <w:pStyle w:val="Compact"/>
              <w:jc w:val="center"/>
            </w:pPr>
            <w:r>
              <w:t xml:space="preserve">3154</w:t>
            </w:r>
          </w:p>
        </w:tc>
        <w:tc>
          <w:tcPr/>
          <w:p>
            <w:pPr>
              <w:pStyle w:val="Compact"/>
              <w:jc w:val="center"/>
            </w:pPr>
            <w:r>
              <w:t xml:space="preserve">2987</w:t>
            </w:r>
          </w:p>
        </w:tc>
      </w:tr>
      <w:tr>
        <w:tc>
          <w:tcPr/>
          <w:p>
            <w:pPr>
              <w:pStyle w:val="Compact"/>
              <w:jc w:val="left"/>
            </w:pPr>
            <w:r>
              <w:rPr>
                <w:rStyle w:val="VerbatimChar"/>
              </w:rPr>
              <w:t xml:space="preserve">k_Mac_rec</w:t>
            </w:r>
          </w:p>
        </w:tc>
        <w:tc>
          <w:tcPr/>
          <w:p>
            <w:pPr>
              <w:pStyle w:val="Compact"/>
              <w:jc w:val="center"/>
            </w:pPr>
            <w:r>
              <w:t xml:space="preserve">1.001</w:t>
            </w:r>
          </w:p>
        </w:tc>
        <w:tc>
          <w:tcPr/>
          <w:p>
            <w:pPr>
              <w:pStyle w:val="Compact"/>
              <w:jc w:val="center"/>
            </w:pPr>
            <w:r>
              <w:t xml:space="preserve">3055</w:t>
            </w:r>
          </w:p>
        </w:tc>
        <w:tc>
          <w:tcPr/>
          <w:p>
            <w:pPr>
              <w:pStyle w:val="Compact"/>
              <w:jc w:val="center"/>
            </w:pPr>
            <w:r>
              <w:t xml:space="preserve">2861</w:t>
            </w:r>
          </w:p>
        </w:tc>
      </w:tr>
      <w:tr>
        <w:tc>
          <w:tcPr/>
          <w:p>
            <w:pPr>
              <w:pStyle w:val="Compact"/>
              <w:jc w:val="left"/>
            </w:pPr>
            <w:r>
              <w:rPr>
                <w:rStyle w:val="VerbatimChar"/>
              </w:rPr>
              <w:t xml:space="preserve">k_Treg_death</w:t>
            </w:r>
          </w:p>
        </w:tc>
        <w:tc>
          <w:tcPr/>
          <w:p>
            <w:pPr>
              <w:pStyle w:val="Compact"/>
              <w:jc w:val="center"/>
            </w:pPr>
            <w:r>
              <w:t xml:space="preserve">1.000</w:t>
            </w:r>
          </w:p>
        </w:tc>
        <w:tc>
          <w:tcPr/>
          <w:p>
            <w:pPr>
              <w:pStyle w:val="Compact"/>
              <w:jc w:val="center"/>
            </w:pPr>
            <w:r>
              <w:t xml:space="preserve">3813</w:t>
            </w:r>
          </w:p>
        </w:tc>
        <w:tc>
          <w:tcPr/>
          <w:p>
            <w:pPr>
              <w:pStyle w:val="Compact"/>
              <w:jc w:val="center"/>
            </w:pPr>
            <w:r>
              <w:t xml:space="preserve">2318</w:t>
            </w:r>
          </w:p>
        </w:tc>
      </w:tr>
      <w:tr>
        <w:tc>
          <w:tcPr/>
          <w:p>
            <w:pPr>
              <w:pStyle w:val="Compact"/>
              <w:jc w:val="left"/>
            </w:pPr>
            <w:r>
              <w:rPr>
                <w:rStyle w:val="VerbatimChar"/>
              </w:rPr>
              <w:t xml:space="preserve">k_apsc_death</w:t>
            </w:r>
          </w:p>
        </w:tc>
        <w:tc>
          <w:tcPr/>
          <w:p>
            <w:pPr>
              <w:pStyle w:val="Compact"/>
              <w:jc w:val="center"/>
            </w:pPr>
            <w:r>
              <w:t xml:space="preserve">1.000</w:t>
            </w:r>
          </w:p>
        </w:tc>
        <w:tc>
          <w:tcPr/>
          <w:p>
            <w:pPr>
              <w:pStyle w:val="Compact"/>
              <w:jc w:val="center"/>
            </w:pPr>
            <w:r>
              <w:t xml:space="preserve">4222</w:t>
            </w:r>
          </w:p>
        </w:tc>
        <w:tc>
          <w:tcPr/>
          <w:p>
            <w:pPr>
              <w:pStyle w:val="Compact"/>
              <w:jc w:val="center"/>
            </w:pPr>
            <w:r>
              <w:t xml:space="preserve">2208</w:t>
            </w:r>
          </w:p>
        </w:tc>
      </w:tr>
      <w:tr>
        <w:tc>
          <w:tcPr/>
          <w:p>
            <w:pPr>
              <w:pStyle w:val="Compact"/>
              <w:jc w:val="left"/>
            </w:pPr>
            <w:r>
              <w:rPr>
                <w:rStyle w:val="VerbatimChar"/>
              </w:rPr>
              <w:t xml:space="preserve">k_psc_activation</w:t>
            </w:r>
          </w:p>
        </w:tc>
        <w:tc>
          <w:tcPr/>
          <w:p>
            <w:pPr>
              <w:pStyle w:val="Compact"/>
              <w:jc w:val="center"/>
            </w:pPr>
            <w:r>
              <w:t xml:space="preserve">1.000</w:t>
            </w:r>
          </w:p>
        </w:tc>
        <w:tc>
          <w:tcPr/>
          <w:p>
            <w:pPr>
              <w:pStyle w:val="Compact"/>
              <w:jc w:val="center"/>
            </w:pPr>
            <w:r>
              <w:t xml:space="preserve">4511</w:t>
            </w:r>
          </w:p>
        </w:tc>
        <w:tc>
          <w:tcPr/>
          <w:p>
            <w:pPr>
              <w:pStyle w:val="Compact"/>
              <w:jc w:val="center"/>
            </w:pPr>
            <w:r>
              <w:t xml:space="preserve">3033</w:t>
            </w:r>
          </w:p>
        </w:tc>
      </w:tr>
      <w:tr>
        <w:tc>
          <w:tcPr/>
          <w:p>
            <w:pPr>
              <w:pStyle w:val="Compact"/>
              <w:jc w:val="left"/>
            </w:pPr>
            <w:r>
              <w:rPr>
                <w:rStyle w:val="VerbatimChar"/>
              </w:rPr>
              <w:t xml:space="preserve">n_CD8_clones</w:t>
            </w:r>
          </w:p>
        </w:tc>
        <w:tc>
          <w:tcPr/>
          <w:p>
            <w:pPr>
              <w:pStyle w:val="Compact"/>
              <w:jc w:val="center"/>
            </w:pPr>
            <w:r>
              <w:t xml:space="preserve">1.001</w:t>
            </w:r>
          </w:p>
        </w:tc>
        <w:tc>
          <w:tcPr/>
          <w:p>
            <w:pPr>
              <w:pStyle w:val="Compact"/>
              <w:jc w:val="center"/>
            </w:pPr>
            <w:r>
              <w:t xml:space="preserve">4657</w:t>
            </w:r>
          </w:p>
        </w:tc>
        <w:tc>
          <w:tcPr/>
          <w:p>
            <w:pPr>
              <w:pStyle w:val="Compact"/>
              <w:jc w:val="center"/>
            </w:pPr>
            <w:r>
              <w:t xml:space="preserve">2895</w:t>
            </w:r>
          </w:p>
        </w:tc>
      </w:tr>
      <w:tr>
        <w:tc>
          <w:tcPr/>
          <w:p>
            <w:pPr>
              <w:pStyle w:val="Compact"/>
              <w:jc w:val="left"/>
            </w:pPr>
            <w:r>
              <w:rPr>
                <w:rStyle w:val="VerbatimChar"/>
              </w:rPr>
              <w:t xml:space="preserve">q_CD8_T_in</w:t>
            </w:r>
          </w:p>
        </w:tc>
        <w:tc>
          <w:tcPr/>
          <w:p>
            <w:pPr>
              <w:pStyle w:val="Compact"/>
              <w:jc w:val="center"/>
            </w:pPr>
            <w:r>
              <w:t xml:space="preserve">1.000</w:t>
            </w:r>
          </w:p>
        </w:tc>
        <w:tc>
          <w:tcPr/>
          <w:p>
            <w:pPr>
              <w:pStyle w:val="Compact"/>
              <w:jc w:val="center"/>
            </w:pPr>
            <w:r>
              <w:t xml:space="preserve">4492</w:t>
            </w:r>
          </w:p>
        </w:tc>
        <w:tc>
          <w:tcPr/>
          <w:p>
            <w:pPr>
              <w:pStyle w:val="Compact"/>
              <w:jc w:val="center"/>
            </w:pPr>
            <w:r>
              <w:t xml:space="preserve">2440</w:t>
            </w:r>
          </w:p>
        </w:tc>
      </w:tr>
      <w:tr>
        <w:tc>
          <w:tcPr/>
          <w:p>
            <w:pPr>
              <w:pStyle w:val="Compact"/>
              <w:jc w:val="left"/>
            </w:pPr>
            <w:r>
              <w:rPr>
                <w:rStyle w:val="VerbatimChar"/>
              </w:rPr>
              <w:t xml:space="preserve">q_Treg_T_in</w:t>
            </w:r>
          </w:p>
        </w:tc>
        <w:tc>
          <w:tcPr/>
          <w:p>
            <w:pPr>
              <w:pStyle w:val="Compact"/>
              <w:jc w:val="center"/>
            </w:pPr>
            <w:r>
              <w:t xml:space="preserve">1.002</w:t>
            </w:r>
          </w:p>
        </w:tc>
        <w:tc>
          <w:tcPr/>
          <w:p>
            <w:pPr>
              <w:pStyle w:val="Compact"/>
              <w:jc w:val="center"/>
            </w:pPr>
            <w:r>
              <w:t xml:space="preserve">5077</w:t>
            </w:r>
          </w:p>
        </w:tc>
        <w:tc>
          <w:tcPr/>
          <w:p>
            <w:pPr>
              <w:pStyle w:val="Compact"/>
              <w:jc w:val="center"/>
            </w:pPr>
            <w:r>
              <w:t xml:space="preserve">2879</w:t>
            </w:r>
          </w:p>
        </w:tc>
      </w:tr>
    </w:tbl>
    <w:p>
      <w:pPr>
        <w:pStyle w:val="TableCaption"/>
      </w:pPr>
      <w:r>
        <w:rPr>
          <w:rFonts w:ascii="Arial" w:hAnsi="Arial"/>
          <w:b/>
          <w:sz w:val="20"/>
        </w:rPr>
        <w:t xml:space="preserve">Table 8. </w:t>
      </w:r>
      <w:r>
        <w:rPr>
          <w:rFonts w:ascii="Arial" w:hAnsi="Arial"/>
          <w:sz w:val="20"/>
        </w:rPr>
        <w:t>Convergence diagnostics for MCMC sampling. All</w:t>
      </w:r>
    </w:p>
    <w:bookmarkEnd w:id="77"/>
    <w:bookmarkEnd w:id="78"/>
    <w:bookmarkStart w:id="84" w:name="posterior-distributions"/>
    <w:p>
      <w:pPr>
        <w:pStyle w:val="Heading2"/>
      </w:pPr>
      <w:r>
        <w:rPr>
          <w:rStyle w:val="SectionNumber"/>
        </w:rPr>
        <w:t xml:space="preserve">10.2</w:t>
      </w:r>
      <w:r>
        <w:tab/>
      </w:r>
      <w:r>
        <w:t xml:space="preserve">Posterior Distributions</w:t>
      </w:r>
    </w:p>
    <w:p>
      <w:pPr>
        <w:pStyle w:val="FirstParagraph"/>
      </w:pPr>
      <w:r>
        <w:t xml:space="preserve">Figure </w:t>
      </w:r>
      <w:hyperlink w:anchor="fig:posteriors">
        <w:r>
          <w:rPr>
            <w:rStyle w:val="Hyperlink"/>
          </w:rPr>
          <w:t xml:space="preserve">5</w:t>
        </w:r>
      </w:hyperlink>
      <w:r>
        <w:t xml:space="preserve"> </w:t>
      </w:r>
      <w:r>
        <w:t xml:space="preserve">shows posterior estimates for all 19 parameters. Table </w:t>
      </w:r>
      <w:hyperlink w:anchor="tab:posteriors">
        <w:r>
          <w:rPr>
            <w:rStyle w:val="Hyperlink"/>
          </w:rPr>
          <w:t xml:space="preserve">9</w:t>
        </w:r>
      </w:hyperlink>
      <w:r>
        <w:t xml:space="preserve"> </w:t>
      </w:r>
      <w:r>
        <w:t xml:space="preserve">reports medians and 90% credible intervals.</w:t>
      </w:r>
    </w:p>
    <w:bookmarkStart w:id="82" w:name="fig:posteriors"/>
    <w:p>
      <w:pPr>
        <w:pStyle w:val="CaptionedFigure"/>
      </w:pPr>
      <w:r>
        <w:drawing>
          <wp:inline>
            <wp:extent cx="5334000" cy="5691378"/>
            <wp:effectExtent b="0" l="0" r="0" t="0"/>
            <wp:docPr descr="" title="" id="80" name="Picture"/>
            <a:graphic>
              <a:graphicData uri="http://schemas.openxmlformats.org/drawingml/2006/picture">
                <pic:pic>
                  <pic:nvPicPr>
                    <pic:cNvPr descr="generated/figures/posterior_marginals.pdf" id="81" name="Picture"/>
                    <pic:cNvPicPr>
                      <a:picLocks noChangeArrowheads="1" noChangeAspect="1"/>
                    </pic:cNvPicPr>
                  </pic:nvPicPr>
                  <pic:blipFill>
                    <a:blip r:embed="rId79"/>
                    <a:stretch>
                      <a:fillRect/>
                    </a:stretch>
                  </pic:blipFill>
                  <pic:spPr bwMode="auto">
                    <a:xfrm>
                      <a:off x="0" y="0"/>
                      <a:ext cx="5334000" cy="5691378"/>
                    </a:xfrm>
                    <a:prstGeom prst="rect">
                      <a:avLst/>
                    </a:prstGeom>
                    <a:noFill/>
                    <a:ln w="9525">
                      <a:noFill/>
                      <a:headEnd/>
                      <a:tailEnd/>
                    </a:ln>
                  </pic:spPr>
                </pic:pic>
              </a:graphicData>
            </a:graphic>
          </wp:inline>
        </w:drawing>
      </w:r>
    </w:p>
    <w:p>
      <w:pPr>
        <w:pStyle w:val="ImageCaption"/>
      </w:pPr>
      <w:r>
        <w:rPr>
          <w:rFonts w:ascii="Arial" w:hAnsi="Arial"/>
          <w:b/>
          <w:sz w:val="20"/>
        </w:rPr>
        <w:t xml:space="preserve">Figure 5. </w:t>
      </w:r>
      <w:r>
        <w:rPr>
          <w:rFonts w:ascii="Arial" w:hAnsi="Arial"/>
          <w:sz w:val="20"/>
        </w:rPr>
        <w:t>Posterior distributions from joint Bayesian inference. Gray shading shows the prior distribution; blue histogram and line show the posterior. Red lines indicate median (solid) and 90% credible interval bounds (dashed).</w:t>
      </w:r>
    </w:p>
    <w:bookmarkEnd w:id="82"/>
    <w:bookmarkStart w:id="83" w:name="tab:posteriors"/>
    <w:tbl>
      <w:tblPr>
        <w:tblStyle w:val="Table"/>
        <w:tblW w:type="auto" w:w="0"/>
        <w:tblLook w:firstRow="1" w:lastRow="0" w:firstColumn="0" w:lastColumn="0" w:noHBand="0" w:noVBand="0" w:val="0020"/>
        <w:tblCaption w:val="Posterior parameter estimates from joint Bayesian inference. Credible intervals are 90% highest density intervals. ^\daggerAuxiliary parameter introduced during extraction."/>
      </w:tblPr>
      <w:tblGrid>
        <w:gridCol w:w="1980"/>
        <w:gridCol w:w="1980"/>
        <w:gridCol w:w="1980"/>
        <w:gridCol w:w="1980"/>
      </w:tblGrid>
      <w:tr>
        <w:trPr>
          <w:tblHeader w:val="on"/>
        </w:trPr>
        <w:tc>
          <w:tcPr/>
          <w:p>
            <w:pPr>
              <w:pStyle w:val="Compact"/>
              <w:jc w:val="left"/>
            </w:pPr>
            <w:r>
              <w:rPr>
                <w:b/>
              </w:rPr>
              <w:t xml:space="preserve">Parameter</w:t>
            </w:r>
          </w:p>
        </w:tc>
        <w:tc>
          <w:tcPr/>
          <w:p>
            <w:pPr>
              <w:pStyle w:val="Compact"/>
              <w:jc w:val="center"/>
            </w:pPr>
            <w:r>
              <w:rPr>
                <w:b/>
              </w:rPr>
              <w:t xml:space="preserve">Median</w:t>
            </w:r>
          </w:p>
        </w:tc>
        <w:tc>
          <w:tcPr/>
          <w:p>
            <w:pPr>
              <w:pStyle w:val="Compact"/>
              <w:jc w:val="center"/>
            </w:pPr>
            <w:r>
              <w:rPr>
                <w:b/>
              </w:rPr>
              <w:t xml:space="preserve">90% CI</w:t>
            </w:r>
          </w:p>
        </w:tc>
        <w:tc>
          <w:tcPr/>
          <w:p>
            <w:pPr>
              <w:pStyle w:val="Compact"/>
              <w:jc w:val="center"/>
            </w:pPr>
            <w:r>
              <w:rPr>
                <w:b/>
              </w:rPr>
              <w:t xml:space="preserve">Units</w:t>
            </w:r>
          </w:p>
        </w:tc>
      </w:tr>
      <w:tr>
        <w:tc>
          <w:tcPr/>
          <w:p>
            <w:pPr>
              <w:pStyle w:val="Compact"/>
              <w:jc w:val="left"/>
            </w:pPr>
            <w:r>
              <w:rPr>
                <w:rStyle w:val="VerbatimChar"/>
              </w:rPr>
              <w:t xml:space="preserve">N_IL2_CD4</w:t>
            </w:r>
          </w:p>
        </w:tc>
        <w:tc>
          <w:tcPr/>
          <w:p>
            <w:pPr>
              <w:pStyle w:val="Compact"/>
              <w:jc w:val="center"/>
            </w:pPr>
            <w:r>
              <w:t xml:space="preserve">8.03</w:t>
            </w:r>
          </w:p>
        </w:tc>
        <w:tc>
          <w:tcPr/>
          <w:p>
            <w:pPr>
              <w:pStyle w:val="Compact"/>
              <w:jc w:val="center"/>
            </w:pPr>
            <w:r>
              <w:t xml:space="preserve">[5.73, 10.3]</w:t>
            </w:r>
          </w:p>
        </w:tc>
        <w:tc>
          <w:tcPr/>
          <w:p>
            <w:pPr>
              <w:pStyle w:val="Compact"/>
              <w:jc w:val="center"/>
            </w:pPr>
            <w:r>
              <w:t xml:space="preserve">—</w:t>
            </w:r>
          </w:p>
        </w:tc>
      </w:tr>
      <w:tr>
        <w:tc>
          <w:tcPr/>
          <w:p>
            <w:pPr>
              <w:pStyle w:val="Compact"/>
              <w:jc w:val="left"/>
            </w:pPr>
            <w:r>
              <w:rPr>
                <w:rStyle w:val="VerbatimChar"/>
              </w:rPr>
              <w:t xml:space="preserve">N_IL2_CD8</w:t>
            </w:r>
          </w:p>
        </w:tc>
        <w:tc>
          <w:tcPr/>
          <w:p>
            <w:pPr>
              <w:pStyle w:val="Compact"/>
              <w:jc w:val="center"/>
            </w:pPr>
            <w:r>
              <w:t xml:space="preserve">5.31</w:t>
            </w:r>
          </w:p>
        </w:tc>
        <w:tc>
          <w:tcPr/>
          <w:p>
            <w:pPr>
              <w:pStyle w:val="Compact"/>
              <w:jc w:val="center"/>
            </w:pPr>
            <w:r>
              <w:t xml:space="preserve">[4.03, 5.99]</w:t>
            </w:r>
          </w:p>
        </w:tc>
        <w:tc>
          <w:tcPr/>
          <w:p>
            <w:pPr>
              <w:pStyle w:val="Compact"/>
              <w:jc w:val="center"/>
            </w:pPr>
            <w:r>
              <w:t xml:space="preserve">—</w:t>
            </w:r>
          </w:p>
        </w:tc>
      </w:tr>
      <w:tr>
        <w:tc>
          <w:tcPr/>
          <w:p>
            <w:pPr>
              <w:pStyle w:val="Compact"/>
              <w:jc w:val="left"/>
            </w:pPr>
            <w:r>
              <w:rPr>
                <w:rStyle w:val="VerbatimChar"/>
              </w:rPr>
              <w:t xml:space="preserve">cd8_exclusion_fraction</w:t>
            </w:r>
          </w:p>
        </w:tc>
        <w:tc>
          <w:tcPr/>
          <w:p>
            <w:pPr>
              <w:pStyle w:val="Compact"/>
              <w:jc w:val="center"/>
            </w:pPr>
            <w:r>
              <w:t xml:space="preserve">0.912</w:t>
            </w:r>
          </w:p>
        </w:tc>
        <w:tc>
          <w:tcPr/>
          <w:p>
            <w:pPr>
              <w:pStyle w:val="Compact"/>
              <w:jc w:val="center"/>
            </w:pPr>
            <w:r>
              <w:t xml:space="preserve">[0.741, 0.982]</w:t>
            </w:r>
          </w:p>
        </w:tc>
        <w:tc>
          <w:tcPr/>
          <w:p>
            <w:pPr>
              <w:pStyle w:val="Compact"/>
              <w:jc w:val="center"/>
            </w:pPr>
            <w:r>
              <w:t xml:space="preserve">—</w:t>
            </w:r>
          </w:p>
        </w:tc>
      </w:tr>
      <w:tr>
        <w:tc>
          <w:tcPr/>
          <w:p>
            <w:pPr>
              <w:pStyle w:val="Compact"/>
              <w:jc w:val="left"/>
            </w:pPr>
            <w:r>
              <w:rPr>
                <w:rStyle w:val="VerbatimChar"/>
              </w:rPr>
              <w:t xml:space="preserve">k_C1_growth</w:t>
            </w:r>
          </w:p>
        </w:tc>
        <w:tc>
          <w:tcPr/>
          <w:p>
            <w:pPr>
              <w:pStyle w:val="Compact"/>
              <w:jc w:val="center"/>
            </w:pPr>
            <w:r>
              <w:t xml:space="preserve">5.34e-03</w:t>
            </w:r>
          </w:p>
        </w:tc>
        <w:tc>
          <w:tcPr/>
          <w:p>
            <w:pPr>
              <w:pStyle w:val="Compact"/>
              <w:jc w:val="center"/>
            </w:pPr>
            <w:r>
              <w:t xml:space="preserve">[2.22e-03, 0.0128]</w:t>
            </w:r>
          </w:p>
        </w:tc>
        <w:tc>
          <w:tcPr/>
          <w:p>
            <w:pPr>
              <w:pStyle w:val="Compact"/>
              <w:jc w:val="center"/>
            </w:pPr>
            <w:r>
              <w:t xml:space="preserve">—</w:t>
            </w:r>
          </w:p>
        </w:tc>
      </w:tr>
      <w:tr>
        <w:tc>
          <w:tcPr/>
          <w:p>
            <w:pPr>
              <w:pStyle w:val="Compact"/>
              <w:jc w:val="left"/>
            </w:pPr>
            <w:r>
              <w:rPr>
                <w:rStyle w:val="VerbatimChar"/>
              </w:rPr>
              <w:t xml:space="preserve">k_CCL2_deg</w:t>
            </w:r>
          </w:p>
        </w:tc>
        <w:tc>
          <w:tcPr/>
          <w:p>
            <w:pPr>
              <w:pStyle w:val="Compact"/>
              <w:jc w:val="center"/>
            </w:pPr>
            <w:r>
              <w:t xml:space="preserve">4.29</w:t>
            </w:r>
          </w:p>
        </w:tc>
        <w:tc>
          <w:tcPr/>
          <w:p>
            <w:pPr>
              <w:pStyle w:val="Compact"/>
              <w:jc w:val="center"/>
            </w:pPr>
            <w:r>
              <w:t xml:space="preserve">[2.77, 6.75]</w:t>
            </w:r>
          </w:p>
        </w:tc>
        <w:tc>
          <w:tcPr/>
          <w:p>
            <w:pPr>
              <w:pStyle w:val="Compact"/>
              <w:jc w:val="center"/>
            </w:pPr>
            <w:r>
              <w:t xml:space="preserve">—</w:t>
            </w:r>
          </w:p>
        </w:tc>
      </w:tr>
      <w:tr>
        <w:tc>
          <w:tcPr/>
          <w:p>
            <w:pPr>
              <w:pStyle w:val="Compact"/>
              <w:jc w:val="left"/>
            </w:pPr>
            <w:r>
              <w:rPr>
                <w:rStyle w:val="VerbatimChar"/>
              </w:rPr>
              <w:t xml:space="preserve">k_CCL2_sec</w:t>
            </w:r>
          </w:p>
        </w:tc>
        <w:tc>
          <w:tcPr/>
          <w:p>
            <w:pPr>
              <w:pStyle w:val="Compact"/>
              <w:jc w:val="center"/>
            </w:pPr>
            <w:r>
              <w:t xml:space="preserve">3.32e-10</w:t>
            </w:r>
          </w:p>
        </w:tc>
        <w:tc>
          <w:tcPr/>
          <w:p>
            <w:pPr>
              <w:pStyle w:val="Compact"/>
              <w:jc w:val="center"/>
            </w:pPr>
            <w:r>
              <w:t xml:space="preserve">[2.57e-10, 4.33e-10]</w:t>
            </w:r>
          </w:p>
        </w:tc>
        <w:tc>
          <w:tcPr/>
          <w:p>
            <w:pPr>
              <w:pStyle w:val="Compact"/>
              <w:jc w:val="center"/>
            </w:pPr>
            <w:r>
              <w:t xml:space="preserve">—</w:t>
            </w:r>
          </w:p>
        </w:tc>
      </w:tr>
      <w:tr>
        <w:tc>
          <w:tcPr/>
          <w:p>
            <w:pPr>
              <w:pStyle w:val="Compact"/>
              <w:jc w:val="left"/>
            </w:pPr>
            <w:r>
              <w:rPr>
                <w:rStyle w:val="VerbatimChar"/>
              </w:rPr>
              <w:t xml:space="preserve">k_CD8_death</w:t>
            </w:r>
          </w:p>
        </w:tc>
        <w:tc>
          <w:tcPr/>
          <w:p>
            <w:pPr>
              <w:pStyle w:val="Compact"/>
              <w:jc w:val="center"/>
            </w:pPr>
            <w:r>
              <w:t xml:space="preserve">2.23</w:t>
            </w:r>
          </w:p>
        </w:tc>
        <w:tc>
          <w:tcPr/>
          <w:p>
            <w:pPr>
              <w:pStyle w:val="Compact"/>
              <w:jc w:val="center"/>
            </w:pPr>
            <w:r>
              <w:t xml:space="preserve">[0.546, 7.55]</w:t>
            </w:r>
          </w:p>
        </w:tc>
        <w:tc>
          <w:tcPr/>
          <w:p>
            <w:pPr>
              <w:pStyle w:val="Compact"/>
              <w:jc w:val="center"/>
            </w:pPr>
            <w:r>
              <w:t xml:space="preserve">—</w:t>
            </w:r>
          </w:p>
        </w:tc>
      </w:tr>
      <w:tr>
        <w:tc>
          <w:tcPr/>
          <w:p>
            <w:pPr>
              <w:pStyle w:val="Compact"/>
              <w:jc w:val="left"/>
            </w:pPr>
            <w:r>
              <w:rPr>
                <w:rStyle w:val="VerbatimChar"/>
              </w:rPr>
              <w:t xml:space="preserve">k_M1_pol</w:t>
            </w:r>
          </w:p>
        </w:tc>
        <w:tc>
          <w:tcPr/>
          <w:p>
            <w:pPr>
              <w:pStyle w:val="Compact"/>
              <w:jc w:val="center"/>
            </w:pPr>
            <w:r>
              <w:t xml:space="preserve">0.0392</w:t>
            </w:r>
          </w:p>
        </w:tc>
        <w:tc>
          <w:tcPr/>
          <w:p>
            <w:pPr>
              <w:pStyle w:val="Compact"/>
              <w:jc w:val="center"/>
            </w:pPr>
            <w:r>
              <w:t xml:space="preserve">[0.0298, 0.0519]</w:t>
            </w:r>
          </w:p>
        </w:tc>
        <w:tc>
          <w:tcPr/>
          <w:p>
            <w:pPr>
              <w:pStyle w:val="Compact"/>
              <w:jc w:val="center"/>
            </w:pPr>
            <w:r>
              <w:t xml:space="preserve">—</w:t>
            </w:r>
          </w:p>
        </w:tc>
      </w:tr>
      <w:tr>
        <w:tc>
          <w:tcPr/>
          <w:p>
            <w:pPr>
              <w:pStyle w:val="Compact"/>
              <w:jc w:val="left"/>
            </w:pPr>
            <w:r>
              <w:rPr>
                <w:rStyle w:val="VerbatimChar"/>
              </w:rPr>
              <w:t xml:space="preserve">k_M2_pol</w:t>
            </w:r>
          </w:p>
        </w:tc>
        <w:tc>
          <w:tcPr/>
          <w:p>
            <w:pPr>
              <w:pStyle w:val="Compact"/>
              <w:jc w:val="center"/>
            </w:pPr>
            <w:r>
              <w:t xml:space="preserve">0.0776</w:t>
            </w:r>
          </w:p>
        </w:tc>
        <w:tc>
          <w:tcPr/>
          <w:p>
            <w:pPr>
              <w:pStyle w:val="Compact"/>
              <w:jc w:val="center"/>
            </w:pPr>
            <w:r>
              <w:t xml:space="preserve">[0.0545, 0.111]</w:t>
            </w:r>
          </w:p>
        </w:tc>
        <w:tc>
          <w:tcPr/>
          <w:p>
            <w:pPr>
              <w:pStyle w:val="Compact"/>
              <w:jc w:val="center"/>
            </w:pPr>
            <w:r>
              <w:t xml:space="preserve">—</w:t>
            </w:r>
          </w:p>
        </w:tc>
      </w:tr>
      <w:tr>
        <w:tc>
          <w:tcPr/>
          <w:p>
            <w:pPr>
              <w:pStyle w:val="Compact"/>
              <w:jc w:val="left"/>
            </w:pPr>
            <w:r>
              <w:rPr>
                <w:rStyle w:val="VerbatimChar"/>
              </w:rPr>
              <w:t xml:space="preserve">k_MDSC_death</w:t>
            </w:r>
          </w:p>
        </w:tc>
        <w:tc>
          <w:tcPr/>
          <w:p>
            <w:pPr>
              <w:pStyle w:val="Compact"/>
              <w:jc w:val="center"/>
            </w:pPr>
            <w:r>
              <w:t xml:space="preserve">0.08</w:t>
            </w:r>
          </w:p>
        </w:tc>
        <w:tc>
          <w:tcPr/>
          <w:p>
            <w:pPr>
              <w:pStyle w:val="Compact"/>
              <w:jc w:val="center"/>
            </w:pPr>
            <w:r>
              <w:t xml:space="preserve">[0.0568, 0.114]</w:t>
            </w:r>
          </w:p>
        </w:tc>
        <w:tc>
          <w:tcPr/>
          <w:p>
            <w:pPr>
              <w:pStyle w:val="Compact"/>
              <w:jc w:val="center"/>
            </w:pPr>
            <w:r>
              <w:t xml:space="preserve">—</w:t>
            </w:r>
          </w:p>
        </w:tc>
      </w:tr>
      <w:tr>
        <w:tc>
          <w:tcPr/>
          <w:p>
            <w:pPr>
              <w:pStyle w:val="Compact"/>
              <w:jc w:val="left"/>
            </w:pPr>
            <w:r>
              <w:rPr>
                <w:rStyle w:val="VerbatimChar"/>
              </w:rPr>
              <w:t xml:space="preserve">k_MDSC_rec</w:t>
            </w:r>
          </w:p>
        </w:tc>
        <w:tc>
          <w:tcPr/>
          <w:p>
            <w:pPr>
              <w:pStyle w:val="Compact"/>
              <w:jc w:val="center"/>
            </w:pPr>
            <w:r>
              <w:t xml:space="preserve">1.36e+07</w:t>
            </w:r>
          </w:p>
        </w:tc>
        <w:tc>
          <w:tcPr/>
          <w:p>
            <w:pPr>
              <w:pStyle w:val="Compact"/>
              <w:jc w:val="center"/>
            </w:pPr>
            <w:r>
              <w:t xml:space="preserve">[9.76e+06, 1.92e+07]</w:t>
            </w:r>
          </w:p>
        </w:tc>
        <w:tc>
          <w:tcPr/>
          <w:p>
            <w:pPr>
              <w:pStyle w:val="Compact"/>
              <w:jc w:val="center"/>
            </w:pPr>
            <w:r>
              <w:t xml:space="preserve">—</w:t>
            </w:r>
          </w:p>
        </w:tc>
      </w:tr>
      <w:tr>
        <w:tc>
          <w:tcPr/>
          <w:p>
            <w:pPr>
              <w:pStyle w:val="Compact"/>
              <w:jc w:val="left"/>
            </w:pPr>
            <w:r>
              <w:rPr>
                <w:rStyle w:val="VerbatimChar"/>
              </w:rPr>
              <w:t xml:space="preserve">k_Mac_death</w:t>
            </w:r>
          </w:p>
        </w:tc>
        <w:tc>
          <w:tcPr/>
          <w:p>
            <w:pPr>
              <w:pStyle w:val="Compact"/>
              <w:jc w:val="center"/>
            </w:pPr>
            <w:r>
              <w:t xml:space="preserve">0.0219</w:t>
            </w:r>
          </w:p>
        </w:tc>
        <w:tc>
          <w:tcPr/>
          <w:p>
            <w:pPr>
              <w:pStyle w:val="Compact"/>
              <w:jc w:val="center"/>
            </w:pPr>
            <w:r>
              <w:t xml:space="preserve">[5.42e-03, 0.0812]</w:t>
            </w:r>
          </w:p>
        </w:tc>
        <w:tc>
          <w:tcPr/>
          <w:p>
            <w:pPr>
              <w:pStyle w:val="Compact"/>
              <w:jc w:val="center"/>
            </w:pPr>
            <w:r>
              <w:t xml:space="preserve">—</w:t>
            </w:r>
          </w:p>
        </w:tc>
      </w:tr>
      <w:tr>
        <w:tc>
          <w:tcPr/>
          <w:p>
            <w:pPr>
              <w:pStyle w:val="Compact"/>
              <w:jc w:val="left"/>
            </w:pPr>
            <w:r>
              <w:rPr>
                <w:rStyle w:val="VerbatimChar"/>
              </w:rPr>
              <w:t xml:space="preserve">k_Mac_rec</w:t>
            </w:r>
          </w:p>
        </w:tc>
        <w:tc>
          <w:tcPr/>
          <w:p>
            <w:pPr>
              <w:pStyle w:val="Compact"/>
              <w:jc w:val="center"/>
            </w:pPr>
            <w:r>
              <w:t xml:space="preserve">8.92e+05</w:t>
            </w:r>
          </w:p>
        </w:tc>
        <w:tc>
          <w:tcPr/>
          <w:p>
            <w:pPr>
              <w:pStyle w:val="Compact"/>
              <w:jc w:val="center"/>
            </w:pPr>
            <w:r>
              <w:t xml:space="preserve">[2.11e+05, 4.08e+06]</w:t>
            </w:r>
          </w:p>
        </w:tc>
        <w:tc>
          <w:tcPr/>
          <w:p>
            <w:pPr>
              <w:pStyle w:val="Compact"/>
              <w:jc w:val="center"/>
            </w:pPr>
            <w:r>
              <w:t xml:space="preserve">—</w:t>
            </w:r>
          </w:p>
        </w:tc>
      </w:tr>
      <w:tr>
        <w:tc>
          <w:tcPr/>
          <w:p>
            <w:pPr>
              <w:pStyle w:val="Compact"/>
              <w:jc w:val="left"/>
            </w:pPr>
            <w:r>
              <w:rPr>
                <w:rStyle w:val="VerbatimChar"/>
              </w:rPr>
              <w:t xml:space="preserve">k_Treg_death</w:t>
            </w:r>
          </w:p>
        </w:tc>
        <w:tc>
          <w:tcPr/>
          <w:p>
            <w:pPr>
              <w:pStyle w:val="Compact"/>
              <w:jc w:val="center"/>
            </w:pPr>
            <w:r>
              <w:t xml:space="preserve">0.2</w:t>
            </w:r>
          </w:p>
        </w:tc>
        <w:tc>
          <w:tcPr/>
          <w:p>
            <w:pPr>
              <w:pStyle w:val="Compact"/>
              <w:jc w:val="center"/>
            </w:pPr>
            <w:r>
              <w:t xml:space="preserve">[0.0664, 0.636]</w:t>
            </w:r>
          </w:p>
        </w:tc>
        <w:tc>
          <w:tcPr/>
          <w:p>
            <w:pPr>
              <w:pStyle w:val="Compact"/>
              <w:jc w:val="center"/>
            </w:pPr>
            <w:r>
              <w:t xml:space="preserve">—</w:t>
            </w:r>
          </w:p>
        </w:tc>
      </w:tr>
      <w:tr>
        <w:tc>
          <w:tcPr/>
          <w:p>
            <w:pPr>
              <w:pStyle w:val="Compact"/>
              <w:jc w:val="left"/>
            </w:pPr>
            <w:r>
              <w:rPr>
                <w:rStyle w:val="VerbatimChar"/>
              </w:rPr>
              <w:t xml:space="preserve">k_apsc_death</w:t>
            </w:r>
          </w:p>
        </w:tc>
        <w:tc>
          <w:tcPr/>
          <w:p>
            <w:pPr>
              <w:pStyle w:val="Compact"/>
              <w:jc w:val="center"/>
            </w:pPr>
            <w:r>
              <w:t xml:space="preserve">0.0388</w:t>
            </w:r>
          </w:p>
        </w:tc>
        <w:tc>
          <w:tcPr/>
          <w:p>
            <w:pPr>
              <w:pStyle w:val="Compact"/>
              <w:jc w:val="center"/>
            </w:pPr>
            <w:r>
              <w:t xml:space="preserve">[0.0278, 0.0506]</w:t>
            </w:r>
          </w:p>
        </w:tc>
        <w:tc>
          <w:tcPr/>
          <w:p>
            <w:pPr>
              <w:pStyle w:val="Compact"/>
              <w:jc w:val="center"/>
            </w:pPr>
            <w:r>
              <w:t xml:space="preserve">—</w:t>
            </w:r>
          </w:p>
        </w:tc>
      </w:tr>
      <w:tr>
        <w:tc>
          <w:tcPr/>
          <w:p>
            <w:pPr>
              <w:pStyle w:val="Compact"/>
              <w:jc w:val="left"/>
            </w:pPr>
            <w:r>
              <w:rPr>
                <w:rStyle w:val="VerbatimChar"/>
              </w:rPr>
              <w:t xml:space="preserve">k_psc_activation</w:t>
            </w:r>
          </w:p>
        </w:tc>
        <w:tc>
          <w:tcPr/>
          <w:p>
            <w:pPr>
              <w:pStyle w:val="Compact"/>
              <w:jc w:val="center"/>
            </w:pPr>
            <w:r>
              <w:t xml:space="preserve">0.5</w:t>
            </w:r>
          </w:p>
        </w:tc>
        <w:tc>
          <w:tcPr/>
          <w:p>
            <w:pPr>
              <w:pStyle w:val="Compact"/>
              <w:jc w:val="center"/>
            </w:pPr>
            <w:r>
              <w:t xml:space="preserve">[0.342, 0.737]</w:t>
            </w:r>
          </w:p>
        </w:tc>
        <w:tc>
          <w:tcPr/>
          <w:p>
            <w:pPr>
              <w:pStyle w:val="Compact"/>
              <w:jc w:val="center"/>
            </w:pPr>
            <w:r>
              <w:t xml:space="preserve">—</w:t>
            </w:r>
          </w:p>
        </w:tc>
      </w:tr>
      <w:tr>
        <w:tc>
          <w:tcPr/>
          <w:p>
            <w:pPr>
              <w:pStyle w:val="Compact"/>
              <w:jc w:val="left"/>
            </w:pPr>
            <w:r>
              <w:rPr>
                <w:rStyle w:val="VerbatimChar"/>
              </w:rPr>
              <w:t xml:space="preserve">n_CD8_clones</w:t>
            </w:r>
          </w:p>
        </w:tc>
        <w:tc>
          <w:tcPr/>
          <w:p>
            <w:pPr>
              <w:pStyle w:val="Compact"/>
              <w:jc w:val="center"/>
            </w:pPr>
            <w:r>
              <w:t xml:space="preserve">10.3</w:t>
            </w:r>
          </w:p>
        </w:tc>
        <w:tc>
          <w:tcPr/>
          <w:p>
            <w:pPr>
              <w:pStyle w:val="Compact"/>
              <w:jc w:val="center"/>
            </w:pPr>
            <w:r>
              <w:t xml:space="preserve">[8.66, 12.2]</w:t>
            </w:r>
          </w:p>
        </w:tc>
        <w:tc>
          <w:tcPr/>
          <w:p>
            <w:pPr>
              <w:pStyle w:val="Compact"/>
              <w:jc w:val="center"/>
            </w:pPr>
            <w:r>
              <w:t xml:space="preserve">—</w:t>
            </w:r>
          </w:p>
        </w:tc>
      </w:tr>
      <w:tr>
        <w:tc>
          <w:tcPr/>
          <w:p>
            <w:pPr>
              <w:pStyle w:val="Compact"/>
              <w:jc w:val="left"/>
            </w:pPr>
            <w:r>
              <w:rPr>
                <w:rStyle w:val="VerbatimChar"/>
              </w:rPr>
              <w:t xml:space="preserve">q_CD8_T_in</w:t>
            </w:r>
          </w:p>
        </w:tc>
        <w:tc>
          <w:tcPr/>
          <w:p>
            <w:pPr>
              <w:pStyle w:val="Compact"/>
              <w:jc w:val="center"/>
            </w:pPr>
            <w:r>
              <w:t xml:space="preserve">4.03e-04</w:t>
            </w:r>
          </w:p>
        </w:tc>
        <w:tc>
          <w:tcPr/>
          <w:p>
            <w:pPr>
              <w:pStyle w:val="Compact"/>
              <w:jc w:val="center"/>
            </w:pPr>
            <w:r>
              <w:t xml:space="preserve">[3.52e-04, 4.60e-04]</w:t>
            </w:r>
          </w:p>
        </w:tc>
        <w:tc>
          <w:tcPr/>
          <w:p>
            <w:pPr>
              <w:pStyle w:val="Compact"/>
              <w:jc w:val="center"/>
            </w:pPr>
            <w:r>
              <w:t xml:space="preserve">—</w:t>
            </w:r>
          </w:p>
        </w:tc>
      </w:tr>
      <w:tr>
        <w:tc>
          <w:tcPr/>
          <w:p>
            <w:pPr>
              <w:pStyle w:val="Compact"/>
              <w:jc w:val="left"/>
            </w:pPr>
            <w:r>
              <w:rPr>
                <w:rStyle w:val="VerbatimChar"/>
              </w:rPr>
              <w:t xml:space="preserve">q_Treg_T_in</w:t>
            </w:r>
          </w:p>
        </w:tc>
        <w:tc>
          <w:tcPr/>
          <w:p>
            <w:pPr>
              <w:pStyle w:val="Compact"/>
              <w:jc w:val="center"/>
            </w:pPr>
            <w:r>
              <w:t xml:space="preserve">6.47e-04</w:t>
            </w:r>
          </w:p>
        </w:tc>
        <w:tc>
          <w:tcPr/>
          <w:p>
            <w:pPr>
              <w:pStyle w:val="Compact"/>
              <w:jc w:val="center"/>
            </w:pPr>
            <w:r>
              <w:t xml:space="preserve">[4.63e-04, 9.05e-04]</w:t>
            </w:r>
          </w:p>
        </w:tc>
        <w:tc>
          <w:tcPr/>
          <w:p>
            <w:pPr>
              <w:pStyle w:val="Compact"/>
              <w:jc w:val="center"/>
            </w:pPr>
            <w:r>
              <w:t xml:space="preserve">—</w:t>
            </w:r>
          </w:p>
        </w:tc>
      </w:tr>
    </w:tbl>
    <w:p>
      <w:pPr>
        <w:pStyle w:val="TableCaption"/>
      </w:pPr>
      <w:r>
        <w:rPr>
          <w:rFonts w:ascii="Arial" w:hAnsi="Arial"/>
          <w:b/>
          <w:sz w:val="20"/>
        </w:rPr>
        <w:t xml:space="preserve">Table 9. </w:t>
      </w:r>
      <w:r>
        <w:rPr>
          <w:rFonts w:ascii="Arial" w:hAnsi="Arial"/>
          <w:sz w:val="20"/>
        </w:rPr>
        <w:t>Posterior parameter estimates from joint Bayesian inference. Credible intervals are 90% highest density intervals.</w:t>
      </w:r>
    </w:p>
    <w:bookmarkEnd w:id="83"/>
    <w:p>
      <w:pPr>
        <w:pStyle w:val="BodyText"/>
      </w:pPr>
      <w:r>
        <w:t xml:space="preserve">Most posteriors are narrower than their priors, indicating that the data constrained the parameters. The tumor growth rate</w:t>
      </w:r>
      <w:r>
        <w:t xml:space="preserve"> </w:t>
      </w:r>
      <w:r>
        <w:rPr>
          <w:rStyle w:val="VerbatimChar"/>
        </w:rPr>
        <w:t xml:space="preserve">k_C1_growth</w:t>
      </w:r>
      <w:r>
        <w:t xml:space="preserve"> </w:t>
      </w:r>
      <w:r>
        <w:t xml:space="preserve">(5.34e-03 day</w:t>
      </w:r>
      <m:oMath>
        <m:sSup>
          <m:e>
            <m:r>
              <m:t>​</m:t>
            </m:r>
          </m:e>
          <m:sup>
            <m:r>
              <m:rPr>
                <m:sty m:val="p"/>
              </m:rPr>
              <m:t>−</m:t>
            </m:r>
            <m:r>
              <m:t>1</m:t>
            </m:r>
          </m:sup>
        </m:sSup>
      </m:oMath>
      <w:r>
        <w:t xml:space="preserve">, 90% CI: 2.22e-03–0.0128) implies a doubling time of about 130 days, consistent with clinical PDAC observations. The activated PSC death rate</w:t>
      </w:r>
      <w:r>
        <w:t xml:space="preserve"> </w:t>
      </w:r>
      <w:r>
        <w:rPr>
          <w:rStyle w:val="VerbatimChar"/>
        </w:rPr>
        <w:t xml:space="preserve">k_apsc_death</w:t>
      </w:r>
      <w:r>
        <w:t xml:space="preserve"> </w:t>
      </w:r>
      <w:r>
        <w:t xml:space="preserve">(0.0388 day</w:t>
      </w:r>
      <m:oMath>
        <m:sSup>
          <m:e>
            <m:r>
              <m:t>​</m:t>
            </m:r>
          </m:e>
          <m:sup>
            <m:r>
              <m:rPr>
                <m:sty m:val="p"/>
              </m:rPr>
              <m:t>−</m:t>
            </m:r>
            <m:r>
              <m:t>1</m:t>
            </m:r>
          </m:sup>
        </m:sSup>
      </m:oMath>
      <w:r>
        <w:t xml:space="preserve">) implies a half-life of about 10 days.</w:t>
      </w:r>
    </w:p>
    <w:p>
      <w:pPr>
        <w:pStyle w:val="BodyText"/>
      </w:pPr>
      <w:r>
        <w:t xml:space="preserve">The IL-2-dependent division counts for CD4+ T cells (8.03) fall within the 7–8 generation range expected from CFSE proliferation tracking, where dye dilution limits counting. The CD8+ estimate (5.31) is somewhat lower, possibly reflecting differences in experimental conditions between the source studies.</w:t>
      </w:r>
    </w:p>
    <w:bookmarkEnd w:id="84"/>
    <w:bookmarkEnd w:id="85"/>
    <w:bookmarkStart w:id="86" w:name="sec:prompt-construction"/>
    <w:p>
      <w:pPr>
        <w:pStyle w:val="Heading1"/>
      </w:pPr>
      <w:r>
        <w:rPr>
          <w:rStyle w:val="SectionNumber"/>
        </w:rPr>
        <w:t xml:space="preserve">11</w:t>
      </w:r>
      <w:r>
        <w:tab/>
      </w:r>
      <w:r>
        <w:t xml:space="preserve">Model-Aware Prompt Construction Details</w:t>
      </w:r>
    </w:p>
    <w:p>
      <w:pPr>
        <w:pStyle w:val="FirstParagraph"/>
      </w:pPr>
      <w:r>
        <w:t xml:space="preserve">For each target, the prompt injects mechanistic context extracted from the model structure. For target parameters, the system automatically retrieves: the parameter’s name, units, and biological description; the reactions where the parameter appears with their rate laws; the species involved in those reactions with descriptions; other parameters appearing in the same reactions; and the broader reaction network showing other reactions that involve the same species. For target observables, the system retrieves the observable’s name, units, and description, along with the species and compartments that define it. For example, when searching for data to calibrate a proliferation rate</w:t>
      </w:r>
      <w:r>
        <w:t xml:space="preserve"> </w:t>
      </w:r>
      <w:r>
        <w:rPr>
          <w:rStyle w:val="VerbatimChar"/>
        </w:rPr>
        <w:t xml:space="preserve">k_apsc_prolif</w:t>
      </w:r>
      <w:r>
        <w:t xml:space="preserve">, the prompt includes the reaction</w:t>
      </w:r>
      <w:r>
        <w:t xml:space="preserve"> </w:t>
      </w:r>
      <w:r>
        <w:rPr>
          <w:rStyle w:val="VerbatimChar"/>
        </w:rPr>
        <w:t xml:space="preserve">aPSC -&gt; 2*aPSC</w:t>
      </w:r>
      <w:r>
        <w:t xml:space="preserve"> </w:t>
      </w:r>
      <w:r>
        <w:t xml:space="preserve">with rate law</w:t>
      </w:r>
      <w:r>
        <w:t xml:space="preserve"> </w:t>
      </w:r>
      <w:r>
        <w:rPr>
          <w:rStyle w:val="VerbatimChar"/>
        </w:rPr>
        <w:t xml:space="preserve">k_apsc_prolif * aPSC</w:t>
      </w:r>
      <w:r>
        <w:t xml:space="preserve">, species descriptions explaining that aPSC represents activated pancreatic stellate cells, and related parameters like death rates that appear in the same reaction network.</w:t>
      </w:r>
    </w:p>
    <w:p>
      <w:pPr>
        <w:pStyle w:val="BodyText"/>
      </w:pPr>
      <w:r>
        <w:t xml:space="preserve">This context guides the LLM’s search toward experiments that actually constrain the targets, rather than experiments that mention similar concepts but measure different quantities. For parameters, the broader reaction network helps the LLM identify whether additional parameters should be jointly calibrated. Extracting multiple parameters from the same study is intentional and preferred when the data supports it, as shared experimental conditions reduce inter-study variability.</w:t>
      </w:r>
    </w:p>
    <w:p>
      <w:pPr>
        <w:pStyle w:val="BodyText"/>
      </w:pPr>
      <w:r>
        <w:t xml:space="preserve">To encourage literature diversity, source exclusion prevents the LLM from reusing papers across extractions. The prompt includes a list of primary sources already used for other calibration targets, and a strict exclusion mode extends this to sources used by related parameters in the same reaction network.</w:t>
      </w:r>
    </w:p>
    <w:p>
      <w:pPr>
        <w:pStyle w:val="BodyText"/>
      </w:pPr>
      <w:r>
        <w:t xml:space="preserve">Beyond mechanistic context, the prompt includes the complete schema structure with field descriptions, enabling the LLM to generate valid output without trial and error. The prompt also provides explicit guidance on common pitfalls: distinguishing SEM from SD (with conversion formulas), avoiding hardcoded numeric values in code blocks, and properly documenting source relevance for cross-species or cross-indication extractions. By showing validation requirements upfront (such as the prohibition on non-peer-reviewed sources and required uncertainty thresholds for proxy data), the prompt reduces the retry loop by preventing predictable errors.</w:t>
      </w:r>
    </w:p>
    <w:bookmarkEnd w:id="86"/>
    <w:bookmarkStart w:id="87" w:name="sec:schema-implementation-detail"/>
    <w:p>
      <w:pPr>
        <w:pStyle w:val="Heading1"/>
      </w:pPr>
      <w:r>
        <w:rPr>
          <w:rStyle w:val="SectionNumber"/>
        </w:rPr>
        <w:t xml:space="preserve">12</w:t>
      </w:r>
      <w:r>
        <w:tab/>
      </w:r>
      <w:r>
        <w:t xml:space="preserve">Schema Implementation Details</w:t>
      </w:r>
    </w:p>
    <w:p>
      <w:pPr>
        <w:pStyle w:val="FirstParagraph"/>
      </w:pPr>
      <w:r>
        <w:t xml:space="preserve">Both schemas are implemented using Pydantic</w:t>
      </w:r>
      <w:r>
        <w:rPr>
          <w:vertAlign w:val="superscript"/>
        </w:rPr>
        <w:t xml:space="preserve">3</w:t>
      </w:r>
      <w:r>
        <w:t xml:space="preserve">, a Python library for declarative data validation. Each schema component is defined as a Pydantic model with typed fields and constraints. When YAML is parsed, Pydantic validates all constraints automatically: required fields must be present, values must match declared types, enumerations must use allowed values, and cross-field constraints must be satisfied.</w:t>
      </w:r>
    </w:p>
    <w:p>
      <w:pPr>
        <w:pStyle w:val="BodyText"/>
      </w:pPr>
      <w:r>
        <w:t xml:space="preserve">The validation error messages are detailed and structured, reporting the field path, expected type, and actual value for each violation. This specificity is important for the LLM retry loop: when extraction fails validation, the error message provides actionable feedback. For example, a snippet validation error reports</w:t>
      </w:r>
      <w:r>
        <w:t xml:space="preserve"> </w:t>
      </w:r>
      <w:r>
        <w:t xml:space="preserve">“Value-snippet mismatches (possible hallucination): input ’cell_count_mean’ has value 4.37 but snippet contains ’3.21’. Check that extracted values match the source text exactly.”</w:t>
      </w:r>
      <w:r>
        <w:t xml:space="preserve"> </w:t>
      </w:r>
      <w:r>
        <w:t xml:space="preserve">This tells the LLM both what failed and how to fix it.</w:t>
      </w:r>
    </w:p>
    <w:p>
      <w:pPr>
        <w:pStyle w:val="BodyText"/>
      </w:pPr>
      <w:r>
        <w:t xml:space="preserve">SubmodelTarget uses discriminated unions for its 15 forward model types: the</w:t>
      </w:r>
      <w:r>
        <w:t xml:space="preserve"> </w:t>
      </w:r>
      <w:r>
        <w:rPr>
          <w:rStyle w:val="VerbatimChar"/>
        </w:rPr>
        <w:t xml:space="preserve">type</w:t>
      </w:r>
      <w:r>
        <w:t xml:space="preserve"> </w:t>
      </w:r>
      <w:r>
        <w:t xml:space="preserve">field determines which additional fields are required, ensuring type-specific validation without manual dispatch logic. CalibrationTarget uses a class hierarchy with shared base models for source documentation, relevance assessment, and experimental context.</w:t>
      </w:r>
    </w:p>
    <w:bookmarkEnd w:id="87"/>
    <w:bookmarkStart w:id="88" w:name="sec:source-relevance-detail"/>
    <w:p>
      <w:pPr>
        <w:pStyle w:val="Heading1"/>
      </w:pPr>
      <w:r>
        <w:rPr>
          <w:rStyle w:val="SectionNumber"/>
        </w:rPr>
        <w:t xml:space="preserve">13</w:t>
      </w:r>
      <w:r>
        <w:tab/>
      </w:r>
      <w:r>
        <w:t xml:space="preserve">Source Relevance Assessment Details</w:t>
      </w:r>
    </w:p>
    <w:p>
      <w:pPr>
        <w:pStyle w:val="FirstParagraph"/>
      </w:pPr>
      <w:r>
        <w:t xml:space="preserve">Each target includes structured metadata about its data sources. The</w:t>
      </w:r>
      <w:r>
        <w:t xml:space="preserve"> </w:t>
      </w:r>
      <w:r>
        <w:rPr>
          <w:rStyle w:val="VerbatimChar"/>
        </w:rPr>
        <w:t xml:space="preserve">primary_data_source</w:t>
      </w:r>
      <w:r>
        <w:t xml:space="preserve"> </w:t>
      </w:r>
      <w:r>
        <w:t xml:space="preserve">block captures the main reference: DOI, title, authors, year, and a short</w:t>
      </w:r>
      <w:r>
        <w:t xml:space="preserve"> </w:t>
      </w:r>
      <w:r>
        <w:rPr>
          <w:rStyle w:val="VerbatimChar"/>
        </w:rPr>
        <w:t xml:space="preserve">source_tag</w:t>
      </w:r>
      <w:r>
        <w:t xml:space="preserve"> </w:t>
      </w:r>
      <w:r>
        <w:t xml:space="preserve">used for cross-referencing elsewhere in the schema. Secondary sources that provide supporting context (e.g., reviews explaining biological mechanisms, or related studies used for uncertainty estimation) are listed in</w:t>
      </w:r>
      <w:r>
        <w:t xml:space="preserve"> </w:t>
      </w:r>
      <w:r>
        <w:rPr>
          <w:rStyle w:val="VerbatimChar"/>
        </w:rPr>
        <w:t xml:space="preserve">secondary_data_sources</w:t>
      </w:r>
      <w:r>
        <w:t xml:space="preserve">, each with a</w:t>
      </w:r>
      <w:r>
        <w:t xml:space="preserve"> </w:t>
      </w:r>
      <w:r>
        <w:rPr>
          <w:rStyle w:val="VerbatimChar"/>
        </w:rPr>
        <w:t xml:space="preserve">contribution</w:t>
      </w:r>
      <w:r>
        <w:t xml:space="preserve"> </w:t>
      </w:r>
      <w:r>
        <w:t xml:space="preserve">field explaining how that source informs the extraction.</w:t>
      </w:r>
    </w:p>
    <w:p>
      <w:pPr>
        <w:pStyle w:val="BodyText"/>
      </w:pPr>
      <w:r>
        <w:t xml:space="preserve">The</w:t>
      </w:r>
      <w:r>
        <w:t xml:space="preserve"> </w:t>
      </w:r>
      <w:r>
        <w:rPr>
          <w:rStyle w:val="VerbatimChar"/>
        </w:rPr>
        <w:t xml:space="preserve">indication_match</w:t>
      </w:r>
      <w:r>
        <w:t xml:space="preserve"> </w:t>
      </w:r>
      <w:r>
        <w:t xml:space="preserve">field classifies how well the source disease context matches the model:</w:t>
      </w:r>
      <w:r>
        <w:t xml:space="preserve"> </w:t>
      </w:r>
      <w:r>
        <w:rPr>
          <w:rStyle w:val="VerbatimChar"/>
        </w:rPr>
        <w:t xml:space="preserve">exact</w:t>
      </w:r>
      <w:r>
        <w:t xml:space="preserve"> </w:t>
      </w:r>
      <w:r>
        <w:t xml:space="preserve">(same indication),</w:t>
      </w:r>
      <w:r>
        <w:t xml:space="preserve"> </w:t>
      </w:r>
      <w:r>
        <w:rPr>
          <w:rStyle w:val="VerbatimChar"/>
        </w:rPr>
        <w:t xml:space="preserve">related</w:t>
      </w:r>
      <w:r>
        <w:t xml:space="preserve"> </w:t>
      </w:r>
      <w:r>
        <w:t xml:space="preserve">(same organ or disease class),</w:t>
      </w:r>
      <w:r>
        <w:t xml:space="preserve"> </w:t>
      </w:r>
      <w:r>
        <w:rPr>
          <w:rStyle w:val="VerbatimChar"/>
        </w:rPr>
        <w:t xml:space="preserve">proxy</w:t>
      </w:r>
      <w:r>
        <w:t xml:space="preserve"> </w:t>
      </w:r>
      <w:r>
        <w:t xml:space="preserve">(different tissue used as mechanistic proxy), or</w:t>
      </w:r>
      <w:r>
        <w:t xml:space="preserve"> </w:t>
      </w:r>
      <w:r>
        <w:rPr>
          <w:rStyle w:val="VerbatimChar"/>
        </w:rPr>
        <w:t xml:space="preserve">unrelated</w:t>
      </w:r>
      <w:r>
        <w:t xml:space="preserve">. Cross-indication extractions require a justification explaining why the data is still informative.</w:t>
      </w:r>
    </w:p>
    <w:p>
      <w:pPr>
        <w:pStyle w:val="BodyText"/>
      </w:pPr>
      <w:r>
        <w:t xml:space="preserve">Species translation is captured by</w:t>
      </w:r>
      <w:r>
        <w:t xml:space="preserve"> </w:t>
      </w:r>
      <w:r>
        <w:rPr>
          <w:rStyle w:val="VerbatimChar"/>
        </w:rPr>
        <w:t xml:space="preserve">species_source</w:t>
      </w:r>
      <w:r>
        <w:t xml:space="preserve"> </w:t>
      </w:r>
      <w:r>
        <w:t xml:space="preserve">and</w:t>
      </w:r>
      <w:r>
        <w:t xml:space="preserve"> </w:t>
      </w:r>
      <w:r>
        <w:rPr>
          <w:rStyle w:val="VerbatimChar"/>
        </w:rPr>
        <w:t xml:space="preserve">species_target</w:t>
      </w:r>
      <w:r>
        <w:t xml:space="preserve"> </w:t>
      </w:r>
      <w:r>
        <w:t xml:space="preserve">fields. When these differ (e.g., mouse data informing a human model), the extraction must document the assumed translation.</w:t>
      </w:r>
    </w:p>
    <w:p>
      <w:pPr>
        <w:pStyle w:val="BodyText"/>
      </w:pPr>
      <w:r>
        <w:t xml:space="preserve">The</w:t>
      </w:r>
      <w:r>
        <w:t xml:space="preserve"> </w:t>
      </w:r>
      <w:r>
        <w:rPr>
          <w:rStyle w:val="VerbatimChar"/>
        </w:rPr>
        <w:t xml:space="preserve">source_quality</w:t>
      </w:r>
      <w:r>
        <w:t xml:space="preserve"> </w:t>
      </w:r>
      <w:r>
        <w:t xml:space="preserve">field categorizes the evidence type:</w:t>
      </w:r>
      <w:r>
        <w:t xml:space="preserve"> </w:t>
      </w:r>
      <w:r>
        <w:rPr>
          <w:rStyle w:val="VerbatimChar"/>
        </w:rPr>
        <w:t xml:space="preserve">primary_human_clinical</w:t>
      </w:r>
      <w:r>
        <w:t xml:space="preserve">,</w:t>
      </w:r>
      <w:r>
        <w:t xml:space="preserve"> </w:t>
      </w:r>
      <w:r>
        <w:rPr>
          <w:rStyle w:val="VerbatimChar"/>
        </w:rPr>
        <w:t xml:space="preserve">primary_human_in_vitro</w:t>
      </w:r>
      <w:r>
        <w:t xml:space="preserve">,</w:t>
      </w:r>
      <w:r>
        <w:t xml:space="preserve"> </w:t>
      </w:r>
      <w:r>
        <w:rPr>
          <w:rStyle w:val="VerbatimChar"/>
        </w:rPr>
        <w:t xml:space="preserve">primary_animal_in_vivo</w:t>
      </w:r>
      <w:r>
        <w:t xml:space="preserve">,</w:t>
      </w:r>
      <w:r>
        <w:t xml:space="preserve"> </w:t>
      </w:r>
      <w:r>
        <w:rPr>
          <w:rStyle w:val="VerbatimChar"/>
        </w:rPr>
        <w:t xml:space="preserve">primary_animal_in_vitro</w:t>
      </w:r>
      <w:r>
        <w:t xml:space="preserve">,</w:t>
      </w:r>
      <w:r>
        <w:t xml:space="preserve"> </w:t>
      </w:r>
      <w:r>
        <w:rPr>
          <w:rStyle w:val="VerbatimChar"/>
        </w:rPr>
        <w:t xml:space="preserve">review_article</w:t>
      </w:r>
      <w:r>
        <w:t xml:space="preserve">, or</w:t>
      </w:r>
      <w:r>
        <w:t xml:space="preserve"> </w:t>
      </w:r>
      <w:r>
        <w:rPr>
          <w:rStyle w:val="VerbatimChar"/>
        </w:rPr>
        <w:t xml:space="preserve">textbook</w:t>
      </w:r>
      <w:r>
        <w:t xml:space="preserve">. By default, non-peer-reviewed sources trigger a validation warning; in practice, preprints (e.g., from bioRxiv) that have been publicly available for several months can provide valuable data, and the validator can be configured to accept them with documented justification.</w:t>
      </w:r>
    </w:p>
    <w:p>
      <w:pPr>
        <w:pStyle w:val="BodyText"/>
      </w:pPr>
      <w:r>
        <w:t xml:space="preserve">For immune and stromal parameters,</w:t>
      </w:r>
      <w:r>
        <w:t xml:space="preserve"> </w:t>
      </w:r>
      <w:r>
        <w:rPr>
          <w:rStyle w:val="VerbatimChar"/>
        </w:rPr>
        <w:t xml:space="preserve">tme_compatibility</w:t>
      </w:r>
      <w:r>
        <w:t xml:space="preserve"> </w:t>
      </w:r>
      <w:r>
        <w:t xml:space="preserve">assesses whether the tumor microenvironment in the source matches the target model (</w:t>
      </w:r>
      <w:r>
        <w:rPr>
          <w:rStyle w:val="VerbatimChar"/>
        </w:rPr>
        <w:t xml:space="preserve">high</w:t>
      </w:r>
      <w:r>
        <w:t xml:space="preserve">,</w:t>
      </w:r>
      <w:r>
        <w:t xml:space="preserve"> </w:t>
      </w:r>
      <w:r>
        <w:rPr>
          <w:rStyle w:val="VerbatimChar"/>
        </w:rPr>
        <w:t xml:space="preserve">moderate</w:t>
      </w:r>
      <w:r>
        <w:t xml:space="preserve">, or</w:t>
      </w:r>
      <w:r>
        <w:t xml:space="preserve"> </w:t>
      </w:r>
      <w:r>
        <w:rPr>
          <w:rStyle w:val="VerbatimChar"/>
        </w:rPr>
        <w:t xml:space="preserve">low</w:t>
      </w:r>
      <w:r>
        <w:t xml:space="preserve">). A T cell trafficking rate measured in melanoma (a T cell-permissive tumor) may not translate directly to PDAC (an immunosuppressive tumor); low compatibility requires explicit documentation.</w:t>
      </w:r>
    </w:p>
    <w:p>
      <w:pPr>
        <w:pStyle w:val="BodyText"/>
      </w:pPr>
      <w:r>
        <w:t xml:space="preserve">Finally,</w:t>
      </w:r>
      <w:r>
        <w:t xml:space="preserve"> </w:t>
      </w:r>
      <w:r>
        <w:rPr>
          <w:rStyle w:val="VerbatimChar"/>
        </w:rPr>
        <w:t xml:space="preserve">estimated_translation_uncertainty_fold</w:t>
      </w:r>
      <w:r>
        <w:t xml:space="preserve"> </w:t>
      </w:r>
      <w:r>
        <w:t xml:space="preserve">quantifies the expected uncertainty from all translation factors combined. Cross-species extraction from a proxy indication with low TME compatibility might warrant 10-fold or greater uncertainty, which propagates to prior width during inference.</w:t>
      </w:r>
    </w:p>
    <w:bookmarkEnd w:id="88"/>
    <w:bookmarkStart w:id="89" w:name="sec:collaboration-modes"/>
    <w:p>
      <w:pPr>
        <w:pStyle w:val="Heading1"/>
      </w:pPr>
      <w:r>
        <w:rPr>
          <w:rStyle w:val="SectionNumber"/>
        </w:rPr>
        <w:t xml:space="preserve">14</w:t>
      </w:r>
      <w:r>
        <w:tab/>
      </w:r>
      <w:r>
        <w:t xml:space="preserve">Collaboration Mode Details</w:t>
      </w:r>
    </w:p>
    <w:p>
      <w:pPr>
        <w:pStyle w:val="FirstParagraph"/>
      </w:pPr>
      <w:r>
        <w:t xml:space="preserve">The two collaboration modes observed in this study offer different trade-offs. In the batch pipeline mode, the LLM produces a structured draft that the modeler then curates interactively: selecting appropriate forward model types and prior distributions for SubmodelTargets, correcting observable code and species mappings for CalibrationTargets, and revising source relevance assessments for both. This mode is efficient for initial coverage (many files per run) but carries a high rejection rate (58% in a documented batch review) because the LLM lacks real-time modeler guidance on source selection, species mapping, and denominator definitions. In the interactive mode, the modeler and LLM work together from the start, with the modeler directing extraction decisions while the LLM handles text generation, code writing, and literature comprehension. This mode produces near-final quality but requires deeper per-file engagement.</w:t>
      </w:r>
    </w:p>
    <w:p>
      <w:pPr>
        <w:pStyle w:val="BodyText"/>
      </w:pPr>
      <w:r>
        <w:t xml:space="preserve">In both modes, the schema serves as the collaboration interface. It defines what information must be captured (ensuring completeness), constrains how it is represented (enabling validation), and separates data extraction from modeling decisions (clarifying where different types of expertise are needed). The validators provide guardrails during both LLM extraction and human editing, catching errors regardless of their source.</w:t>
      </w:r>
    </w:p>
    <w:bookmarkEnd w:id="89"/>
    <w:bookmarkStart w:id="90" w:name="sec:detailed-comparison"/>
    <w:p>
      <w:pPr>
        <w:pStyle w:val="Heading1"/>
      </w:pPr>
      <w:r>
        <w:rPr>
          <w:rStyle w:val="SectionNumber"/>
        </w:rPr>
        <w:t xml:space="preserve">15</w:t>
      </w:r>
      <w:r>
        <w:tab/>
      </w:r>
      <w:r>
        <w:t xml:space="preserve">Detailed Comparison to Existing Approaches</w:t>
      </w:r>
    </w:p>
    <w:p>
      <w:pPr>
        <w:pStyle w:val="FirstParagraph"/>
      </w:pPr>
      <w:r>
        <w:t xml:space="preserve">General-purpose biomedical extraction frameworks like LLM-IE</w:t>
      </w:r>
      <w:r>
        <w:rPr>
          <w:vertAlign w:val="superscript"/>
        </w:rPr>
        <w:t xml:space="preserve">4</w:t>
      </w:r>
      <w:r>
        <w:t xml:space="preserve"> </w:t>
      </w:r>
      <w:r>
        <w:t xml:space="preserve">provide building blocks for named entity recognition and relation extraction, but do not address the downstream requirements of QSP calibration: uncertainty quantification, forward model specification, and code generation for inference. Interactive systems like SciDaSynth</w:t>
      </w:r>
      <w:r>
        <w:rPr>
          <w:vertAlign w:val="superscript"/>
        </w:rPr>
        <w:t xml:space="preserve">5</w:t>
      </w:r>
      <w:r>
        <w:t xml:space="preserve"> </w:t>
      </w:r>
      <w:r>
        <w:t xml:space="preserve">support structured data extraction with human-in-the-loop refinement, but focus on tabular output rather than the hierarchical schema needed for QSP model calibration. QSP-Copilot</w:t>
      </w:r>
      <w:r>
        <w:rPr>
          <w:vertAlign w:val="superscript"/>
        </w:rPr>
        <w:t xml:space="preserve">6</w:t>
      </w:r>
      <w:r>
        <w:t xml:space="preserve"> </w:t>
      </w:r>
      <w:r>
        <w:t xml:space="preserve">applies LLMs to QSP model development broadly, including literature extraction, but emphasizes model structure discovery (entity-interaction pairs) rather than quantitative parameter calibration with provenance.</w:t>
      </w:r>
    </w:p>
    <w:p>
      <w:pPr>
        <w:pStyle w:val="BodyText"/>
      </w:pPr>
      <w:r>
        <w:t xml:space="preserve">The validation approach in MAPLE draws on established strategies for hallucination detection. Requiring extracted values to appear in quoted source text is analogous to the grounding strategies used in retrieval-augmented generation</w:t>
      </w:r>
      <w:r>
        <w:rPr>
          <w:vertAlign w:val="superscript"/>
        </w:rPr>
        <w:t xml:space="preserve">7</w:t>
      </w:r>
      <w:r>
        <w:t xml:space="preserve">, where LLM outputs are verified against retrieved documents. The schema-based validation enforces structural constraints similar to those in constrained decoding and structured output systems, where JSON schemas guide LLM generation toward valid output</w:t>
      </w:r>
      <w:r>
        <w:rPr>
          <w:vertAlign w:val="superscript"/>
        </w:rPr>
        <w:t xml:space="preserve">8</w:t>
      </w:r>
      <w:r>
        <w:t xml:space="preserve">. The key contribution is combining these strategies with domain-specific validators (DOI resolution, unit parsing, code execution) in a framework tailored to quantitative scientific extraction.</w:t>
      </w:r>
    </w:p>
    <w:p>
      <w:pPr>
        <w:pStyle w:val="BodyText"/>
      </w:pPr>
      <w:r>
        <w:t xml:space="preserve">Recent work on knowledge graph construction from biomedical literature</w:t>
      </w:r>
      <w:r>
        <w:rPr>
          <w:vertAlign w:val="superscript"/>
        </w:rPr>
        <w:t xml:space="preserve">9,10</w:t>
      </w:r>
      <w:r>
        <w:t xml:space="preserve"> </w:t>
      </w:r>
      <w:r>
        <w:t xml:space="preserve">demonstrates that LLMs can extract structured relationships at scale. The Immune Cell Knowledge Graph (ICKG) used zero-shot prompting with Llama 3.1 to extract activation and inhibition relationships from over 24,000 PubMed abstracts. Such approaches prioritize coverage and can tolerate some extraction errors because downstream analyses aggregate across many relationships. Parameter calibration has different requirements: each extracted value directly influences model predictions, so individual errors matter more. MAPLE trades some throughput for higher per-target validation stringency.</w:t>
      </w:r>
    </w:p>
    <w:p>
      <w:pPr>
        <w:pStyle w:val="BodyText"/>
      </w:pPr>
      <w:r>
        <w:t xml:space="preserve">The IQ Consortium has outlined best practices for AI/ML in quantitative modeling, including the use of NLP for knowledge extraction from biomedical literature</w:t>
      </w:r>
      <w:r>
        <w:rPr>
          <w:vertAlign w:val="superscript"/>
        </w:rPr>
        <w:t xml:space="preserve">11</w:t>
      </w:r>
      <w:r>
        <w:t xml:space="preserve">. They emphasize explainability, human-in-the-loop oversight, and consideration of context of use. MAPLE aligns with these principles: the schema documents reasoning and provenance, validators catch errors before human review, and the generated code is transparent and modifiable. The growing interest in coupling QSP with machine learning</w:t>
      </w:r>
      <w:r>
        <w:rPr>
          <w:vertAlign w:val="superscript"/>
        </w:rPr>
        <w:t xml:space="preserve">12–15</w:t>
      </w:r>
      <w:r>
        <w:t xml:space="preserve"> </w:t>
      </w:r>
      <w:r>
        <w:t xml:space="preserve">suggests that hybrid approaches combining mechanistic modeling with data-driven methods will become increasingly important; automated literature extraction is one component of this broader integration. Recent work has also explored using LLMs directly as tools for comparing and synthesizing perspectives on QSP methodology</w:t>
      </w:r>
      <w:r>
        <w:rPr>
          <w:vertAlign w:val="superscript"/>
        </w:rPr>
        <w:t xml:space="preserve">16</w:t>
      </w:r>
      <w:r>
        <w:t xml:space="preserve">. While we evaluate MAPLE on a QSP model, the approach is not limited to pharmacology: any parameter-rich mechanistic model that draws calibration data from literature (e.g., systems biology signaling networks, physiologically-based models) could benefit from structured extraction with validation.</w:t>
      </w:r>
    </w:p>
    <w:bookmarkEnd w:id="90"/>
    <w:bookmarkStart w:id="128" w:name="bibliography"/>
    <w:p>
      <w:pPr>
        <w:pStyle w:val="Heading1"/>
      </w:pPr>
      <w:r>
        <w:t xml:space="preserve">References</w:t>
      </w:r>
    </w:p>
    <w:bookmarkStart w:id="127" w:name="refs"/>
    <w:bookmarkStart w:id="92" w:name="ref-geTuringLanguageFlexible2018"/>
    <w:p>
      <w:pPr>
        <w:pStyle w:val="Bibliography"/>
      </w:pPr>
      <w:r>
        <w:t xml:space="preserve">1.</w:t>
      </w:r>
      <w:r>
        <w:t xml:space="preserve"> </w:t>
      </w:r>
      <w:r>
        <w:t xml:space="preserve">	</w:t>
      </w:r>
      <w:r>
        <w:t xml:space="preserve">Ge H, Xu K, Ghahramani Z. Turing:</w:t>
      </w:r>
      <w:r>
        <w:t xml:space="preserve"> </w:t>
      </w:r>
      <w:r>
        <w:t xml:space="preserve">A Language</w:t>
      </w:r>
      <w:r>
        <w:t xml:space="preserve"> </w:t>
      </w:r>
      <w:r>
        <w:t xml:space="preserve">for</w:t>
      </w:r>
      <w:r>
        <w:t xml:space="preserve"> </w:t>
      </w:r>
      <w:r>
        <w:t xml:space="preserve">Flexible Probabilistic Inference</w:t>
      </w:r>
      <w:r>
        <w:t xml:space="preserve">. In: Proceedings of the</w:t>
      </w:r>
      <w:r>
        <w:t xml:space="preserve"> </w:t>
      </w:r>
      <w:r>
        <w:t xml:space="preserve">Twenty-First International Conference</w:t>
      </w:r>
      <w:r>
        <w:t xml:space="preserve"> </w:t>
      </w:r>
      <w:r>
        <w:t xml:space="preserve">on</w:t>
      </w:r>
      <w:r>
        <w:t xml:space="preserve"> </w:t>
      </w:r>
      <w:r>
        <w:t xml:space="preserve">Artificial Intelligence</w:t>
      </w:r>
      <w:r>
        <w:t xml:space="preserve"> </w:t>
      </w:r>
      <w:r>
        <w:t xml:space="preserve">and</w:t>
      </w:r>
      <w:r>
        <w:t xml:space="preserve"> </w:t>
      </w:r>
      <w:r>
        <w:t xml:space="preserve">Statistics</w:t>
      </w:r>
      <w:r>
        <w:t xml:space="preserve"> </w:t>
      </w:r>
      <w:r>
        <w:t xml:space="preserve">[Internet]. PMLR; 2018 [cited 2026 Jan 20]. p. 1682–90. Available from:</w:t>
      </w:r>
      <w:r>
        <w:t xml:space="preserve"> </w:t>
      </w:r>
      <w:hyperlink r:id="rId91">
        <w:r>
          <w:rPr>
            <w:rStyle w:val="Hyperlink"/>
          </w:rPr>
          <w:t xml:space="preserve">https://proceedings.mlr.press/v84/ge18b.html</w:t>
        </w:r>
      </w:hyperlink>
    </w:p>
    <w:bookmarkEnd w:id="92"/>
    <w:bookmarkStart w:id="94" w:name="ref-JSSv098i16"/>
    <w:p>
      <w:pPr>
        <w:pStyle w:val="Bibliography"/>
      </w:pPr>
      <w:r>
        <w:t xml:space="preserve">2.</w:t>
      </w:r>
      <w:r>
        <w:t xml:space="preserve"> </w:t>
      </w:r>
      <w:r>
        <w:t xml:space="preserve">	</w:t>
      </w:r>
      <w:r>
        <w:t xml:space="preserve">Besançon M, Papamarkou T, Anthoff D, Arslan A, Byrne S, Lin D, et al. Distributions.jl: Definition and modeling of probability distributions in the JuliaStats ecosystem. Journal of Statistical Software. 2021;98(16):1–30. doi:</w:t>
      </w:r>
      <w:hyperlink r:id="rId93">
        <w:r>
          <w:rPr>
            <w:rStyle w:val="Hyperlink"/>
          </w:rPr>
          <w:t xml:space="preserve">10.18637/jss.v098.i16</w:t>
        </w:r>
      </w:hyperlink>
    </w:p>
    <w:bookmarkEnd w:id="94"/>
    <w:bookmarkStart w:id="96" w:name="ref-Colvin_Pydantic_Validation_2025"/>
    <w:p>
      <w:pPr>
        <w:pStyle w:val="Bibliography"/>
      </w:pPr>
      <w:r>
        <w:t xml:space="preserve">3.</w:t>
      </w:r>
      <w:r>
        <w:t xml:space="preserve"> </w:t>
      </w:r>
      <w:r>
        <w:t xml:space="preserve">	</w:t>
      </w:r>
      <w:r>
        <w:t xml:space="preserve">Colvin S, Jolibois E, Ramezani H, Garcia Badaracco A, Dorsey T, Montague D, et al.</w:t>
      </w:r>
      <w:r>
        <w:t xml:space="preserve"> </w:t>
      </w:r>
      <w:r>
        <w:t xml:space="preserve">Pydantic Validation</w:t>
      </w:r>
      <w:r>
        <w:t xml:space="preserve"> </w:t>
      </w:r>
      <w:r>
        <w:t xml:space="preserve">[Internet]. 2025. Available from:</w:t>
      </w:r>
      <w:r>
        <w:t xml:space="preserve"> </w:t>
      </w:r>
      <w:hyperlink r:id="rId95">
        <w:r>
          <w:rPr>
            <w:rStyle w:val="Hyperlink"/>
          </w:rPr>
          <w:t xml:space="preserve">https://github.com/pydantic/pydantic</w:t>
        </w:r>
      </w:hyperlink>
    </w:p>
    <w:bookmarkEnd w:id="96"/>
    <w:bookmarkStart w:id="98" w:name="ref-hsuLLMIEPythonPackage2025"/>
    <w:p>
      <w:pPr>
        <w:pStyle w:val="Bibliography"/>
      </w:pPr>
      <w:r>
        <w:t xml:space="preserve">4.</w:t>
      </w:r>
      <w:r>
        <w:t xml:space="preserve"> </w:t>
      </w:r>
      <w:r>
        <w:t xml:space="preserve">	</w:t>
      </w:r>
      <w:r>
        <w:t xml:space="preserve">Hsu E, Roberts K.</w:t>
      </w:r>
      <w:r>
        <w:t xml:space="preserve"> </w:t>
      </w:r>
      <w:r>
        <w:t xml:space="preserve">LLM-IE</w:t>
      </w:r>
      <w:r>
        <w:t xml:space="preserve">: A python package for biomedical generative information extraction with large language models. JAMIA Open. 2025 Apr;8(2):ooaf012. doi:</w:t>
      </w:r>
      <w:hyperlink r:id="rId97">
        <w:r>
          <w:rPr>
            <w:rStyle w:val="Hyperlink"/>
          </w:rPr>
          <w:t xml:space="preserve">10.1093/jamiaopen/ooaf012</w:t>
        </w:r>
      </w:hyperlink>
    </w:p>
    <w:bookmarkEnd w:id="98"/>
    <w:bookmarkStart w:id="100" w:name="X80b850b1fae475c21ff68b6cd4ad6c287df98b4"/>
    <w:p>
      <w:pPr>
        <w:pStyle w:val="Bibliography"/>
      </w:pPr>
      <w:r>
        <w:t xml:space="preserve">5.</w:t>
      </w:r>
      <w:r>
        <w:t xml:space="preserve"> </w:t>
      </w:r>
      <w:r>
        <w:t xml:space="preserve">	</w:t>
      </w:r>
      <w:r>
        <w:t xml:space="preserve">Wang X, Huey SL, Sheng R, Mehta S, Wang F.</w:t>
      </w:r>
      <w:r>
        <w:t xml:space="preserve"> </w:t>
      </w:r>
      <w:r>
        <w:t xml:space="preserve">SciDaSynth</w:t>
      </w:r>
      <w:r>
        <w:t xml:space="preserve">:</w:t>
      </w:r>
      <w:r>
        <w:t xml:space="preserve"> </w:t>
      </w:r>
      <w:r>
        <w:t xml:space="preserve">Interactive Structured Data Extraction From Scientific Literature With Large Language Model</w:t>
      </w:r>
      <w:r>
        <w:t xml:space="preserve">. Campbell Systematic Reviews. 2025;21(4):e70073. doi:</w:t>
      </w:r>
      <w:hyperlink r:id="rId99">
        <w:r>
          <w:rPr>
            <w:rStyle w:val="Hyperlink"/>
          </w:rPr>
          <w:t xml:space="preserve">10.1002/cl2.70073</w:t>
        </w:r>
      </w:hyperlink>
    </w:p>
    <w:bookmarkEnd w:id="100"/>
    <w:bookmarkStart w:id="102" w:name="X1029472ca037a74b06f54723d7b391db09d7c53"/>
    <w:p>
      <w:pPr>
        <w:pStyle w:val="Bibliography"/>
      </w:pPr>
      <w:r>
        <w:t xml:space="preserve">6.</w:t>
      </w:r>
      <w:r>
        <w:t xml:space="preserve"> </w:t>
      </w:r>
      <w:r>
        <w:t xml:space="preserve">	</w:t>
      </w:r>
      <w:r>
        <w:t xml:space="preserve">Saini A, Farnoud A.</w:t>
      </w:r>
      <w:r>
        <w:t xml:space="preserve"> </w:t>
      </w:r>
      <w:r>
        <w:t xml:space="preserve">QSP-Copilot</w:t>
      </w:r>
      <w:r>
        <w:t xml:space="preserve">:</w:t>
      </w:r>
      <w:r>
        <w:t xml:space="preserve"> </w:t>
      </w:r>
      <w:r>
        <w:t xml:space="preserve">An AI-Augmented Platform</w:t>
      </w:r>
      <w:r>
        <w:t xml:space="preserve"> </w:t>
      </w:r>
      <w:r>
        <w:t xml:space="preserve">for</w:t>
      </w:r>
      <w:r>
        <w:t xml:space="preserve"> </w:t>
      </w:r>
      <w:r>
        <w:t xml:space="preserve">Accelerating Quantitative Systems Pharmacology Model Development</w:t>
      </w:r>
      <w:r>
        <w:t xml:space="preserve">. CPT: Pharmacometrics &amp; Systems Pharmacology. 2025;14(11):1775–86. doi:</w:t>
      </w:r>
      <w:hyperlink r:id="rId101">
        <w:r>
          <w:rPr>
            <w:rStyle w:val="Hyperlink"/>
          </w:rPr>
          <w:t xml:space="preserve">10.1002/psp4.70127</w:t>
        </w:r>
      </w:hyperlink>
    </w:p>
    <w:bookmarkEnd w:id="102"/>
    <w:bookmarkStart w:id="105" w:name="ref-liMitigatingHallucinationLarge2025"/>
    <w:p>
      <w:pPr>
        <w:pStyle w:val="Bibliography"/>
      </w:pPr>
      <w:r>
        <w:t xml:space="preserve">7.</w:t>
      </w:r>
      <w:r>
        <w:t xml:space="preserve"> </w:t>
      </w:r>
      <w:r>
        <w:t xml:space="preserve">	</w:t>
      </w:r>
      <w:r>
        <w:t xml:space="preserve">Li Y, Fu X, Verma G, Buitelaar P, Liu M. Mitigating</w:t>
      </w:r>
      <w:r>
        <w:t xml:space="preserve"> </w:t>
      </w:r>
      <w:r>
        <w:t xml:space="preserve">Hallucination</w:t>
      </w:r>
      <w:r>
        <w:t xml:space="preserve"> </w:t>
      </w:r>
      <w:r>
        <w:t xml:space="preserve">in</w:t>
      </w:r>
      <w:r>
        <w:t xml:space="preserve"> </w:t>
      </w:r>
      <w:r>
        <w:t xml:space="preserve">Large Language Models</w:t>
      </w:r>
      <w:r>
        <w:t xml:space="preserve"> </w:t>
      </w:r>
      <w:r>
        <w:t xml:space="preserve">(</w:t>
      </w:r>
      <w:r>
        <w:t xml:space="preserve">LLMs</w:t>
      </w:r>
      <w:r>
        <w:t xml:space="preserve">):</w:t>
      </w:r>
      <w:r>
        <w:t xml:space="preserve"> </w:t>
      </w:r>
      <w:r>
        <w:t xml:space="preserve">An Application-Oriented Survey</w:t>
      </w:r>
      <w:r>
        <w:t xml:space="preserve"> </w:t>
      </w:r>
      <w:r>
        <w:t xml:space="preserve">on</w:t>
      </w:r>
      <w:r>
        <w:t xml:space="preserve"> </w:t>
      </w:r>
      <w:r>
        <w:t xml:space="preserve">RAG</w:t>
      </w:r>
      <w:r>
        <w:t xml:space="preserve">,</w:t>
      </w:r>
      <w:r>
        <w:t xml:space="preserve"> </w:t>
      </w:r>
      <w:r>
        <w:t xml:space="preserve">Reasoning</w:t>
      </w:r>
      <w:r>
        <w:t xml:space="preserve">, and</w:t>
      </w:r>
      <w:r>
        <w:t xml:space="preserve"> </w:t>
      </w:r>
      <w:r>
        <w:t xml:space="preserve">Agentic Systems</w:t>
      </w:r>
      <w:r>
        <w:t xml:space="preserve"> </w:t>
      </w:r>
      <w:r>
        <w:t xml:space="preserve">[Internet]. arXiv; 2025 [cited 2026 Feb 5]. Available from:</w:t>
      </w:r>
      <w:r>
        <w:t xml:space="preserve"> </w:t>
      </w:r>
      <w:hyperlink r:id="rId103">
        <w:r>
          <w:rPr>
            <w:rStyle w:val="Hyperlink"/>
          </w:rPr>
          <w:t xml:space="preserve">https://arxiv.org/abs/2510.24476</w:t>
        </w:r>
      </w:hyperlink>
      <w:r>
        <w:t xml:space="preserve"> </w:t>
      </w:r>
      <w:r>
        <w:t xml:space="preserve">doi:</w:t>
      </w:r>
      <w:hyperlink r:id="rId104">
        <w:r>
          <w:rPr>
            <w:rStyle w:val="Hyperlink"/>
          </w:rPr>
          <w:t xml:space="preserve">10.48550/arXiv.2510.24476</w:t>
        </w:r>
      </w:hyperlink>
    </w:p>
    <w:bookmarkEnd w:id="105"/>
    <w:bookmarkStart w:id="107" w:name="ref-gengJSONSchemaBenchRigorous2025"/>
    <w:p>
      <w:pPr>
        <w:pStyle w:val="Bibliography"/>
      </w:pPr>
      <w:r>
        <w:t xml:space="preserve">8.</w:t>
      </w:r>
      <w:r>
        <w:t xml:space="preserve"> </w:t>
      </w:r>
      <w:r>
        <w:t xml:space="preserve">	</w:t>
      </w:r>
      <w:r>
        <w:t xml:space="preserve">Geng S, Cooper H, Moskal M, Jenkins S, Berman J, Ranchin N, et al.</w:t>
      </w:r>
      <w:r>
        <w:t xml:space="preserve"> </w:t>
      </w:r>
      <w:r>
        <w:t xml:space="preserve">JSONSchemaBench</w:t>
      </w:r>
      <w:r>
        <w:t xml:space="preserve">:</w:t>
      </w:r>
      <w:r>
        <w:t xml:space="preserve"> </w:t>
      </w:r>
      <w:r>
        <w:t xml:space="preserve">A Rigorous Benchmark</w:t>
      </w:r>
      <w:r>
        <w:t xml:space="preserve"> </w:t>
      </w:r>
      <w:r>
        <w:t xml:space="preserve">of</w:t>
      </w:r>
      <w:r>
        <w:t xml:space="preserve"> </w:t>
      </w:r>
      <w:r>
        <w:t xml:space="preserve">Structured Outputs</w:t>
      </w:r>
      <w:r>
        <w:t xml:space="preserve"> </w:t>
      </w:r>
      <w:r>
        <w:t xml:space="preserve">for</w:t>
      </w:r>
      <w:r>
        <w:t xml:space="preserve"> </w:t>
      </w:r>
      <w:r>
        <w:t xml:space="preserve">Language Models</w:t>
      </w:r>
      <w:r>
        <w:t xml:space="preserve">. arXiv preprint arXiv:250110868. 2025 Feb. doi:</w:t>
      </w:r>
      <w:hyperlink r:id="rId106">
        <w:r>
          <w:rPr>
            <w:rStyle w:val="Hyperlink"/>
          </w:rPr>
          <w:t xml:space="preserve">10.48550/arXiv.2501.10868</w:t>
        </w:r>
      </w:hyperlink>
    </w:p>
    <w:bookmarkEnd w:id="107"/>
    <w:bookmarkStart w:id="109" w:name="ref-heAIpoweredImmuneCell2026"/>
    <w:p>
      <w:pPr>
        <w:pStyle w:val="Bibliography"/>
      </w:pPr>
      <w:r>
        <w:t xml:space="preserve">9.</w:t>
      </w:r>
      <w:r>
        <w:t xml:space="preserve"> </w:t>
      </w:r>
      <w:r>
        <w:t xml:space="preserve">	</w:t>
      </w:r>
      <w:r>
        <w:t xml:space="preserve">He S, Tan Y, Ye Q, M Gubin M, Dede M, Rafei H, et al.</w:t>
      </w:r>
      <w:r>
        <w:t xml:space="preserve"> </w:t>
      </w:r>
      <w:r>
        <w:t xml:space="preserve">AI-powered Immune Cell Knowledge Graph</w:t>
      </w:r>
      <w:r>
        <w:t xml:space="preserve"> </w:t>
      </w:r>
      <w:r>
        <w:t xml:space="preserve">(</w:t>
      </w:r>
      <w:r>
        <w:t xml:space="preserve">ICKG</w:t>
      </w:r>
      <w:r>
        <w:t xml:space="preserve">) with granular immune contexts enables immune program interpretation. npj Artificial Intelligence. 2026 Jan;2(1):13. doi:</w:t>
      </w:r>
      <w:hyperlink r:id="rId108">
        <w:r>
          <w:rPr>
            <w:rStyle w:val="Hyperlink"/>
          </w:rPr>
          <w:t xml:space="preserve">10.1038/s44387-025-00060-4</w:t>
        </w:r>
      </w:hyperlink>
    </w:p>
    <w:bookmarkEnd w:id="109"/>
    <w:bookmarkStart w:id="111" w:name="ref-gaoJointExtractionEntity2024"/>
    <w:p>
      <w:pPr>
        <w:pStyle w:val="Bibliography"/>
      </w:pPr>
      <w:r>
        <w:t xml:space="preserve">10.</w:t>
      </w:r>
      <w:r>
        <w:t xml:space="preserve"> </w:t>
      </w:r>
      <w:r>
        <w:t xml:space="preserve">	</w:t>
      </w:r>
      <w:r>
        <w:t xml:space="preserve">Gao T, Zhai X, Yang C, Lv L, Wang H. Joint extraction of entity and relation based on fine-tuning</w:t>
      </w:r>
      <w:r>
        <w:t xml:space="preserve"> </w:t>
      </w:r>
      <w:r>
        <w:t xml:space="preserve">BERT</w:t>
      </w:r>
      <w:r>
        <w:t xml:space="preserve"> </w:t>
      </w:r>
      <w:r>
        <w:t xml:space="preserve">for long biomedical literatures. Bioinformatics Advances. 2024 Jan;4(1):vbae194. doi:</w:t>
      </w:r>
      <w:hyperlink r:id="rId110">
        <w:r>
          <w:rPr>
            <w:rStyle w:val="Hyperlink"/>
          </w:rPr>
          <w:t xml:space="preserve">10.1093/bioadv/vbae194</w:t>
        </w:r>
      </w:hyperlink>
    </w:p>
    <w:bookmarkEnd w:id="111"/>
    <w:bookmarkStart w:id="113" w:name="Xf04452bffb761e20a8d85d7ac9f2324a57864a8"/>
    <w:p>
      <w:pPr>
        <w:pStyle w:val="Bibliography"/>
      </w:pPr>
      <w:r>
        <w:t xml:space="preserve">11.</w:t>
      </w:r>
      <w:r>
        <w:t xml:space="preserve"> </w:t>
      </w:r>
      <w:r>
        <w:t xml:space="preserve">	</w:t>
      </w:r>
      <w:r>
        <w:t xml:space="preserve">Terranova N, Renard D, Shahin MH, Menon S, Cao Y, Hop CECA, et al. Artificial</w:t>
      </w:r>
      <w:r>
        <w:t xml:space="preserve"> </w:t>
      </w:r>
      <w:r>
        <w:t xml:space="preserve">Intelligence</w:t>
      </w:r>
      <w:r>
        <w:t xml:space="preserve"> </w:t>
      </w:r>
      <w:r>
        <w:t xml:space="preserve">for</w:t>
      </w:r>
      <w:r>
        <w:t xml:space="preserve"> </w:t>
      </w:r>
      <w:r>
        <w:t xml:space="preserve">Quantitative Modeling</w:t>
      </w:r>
      <w:r>
        <w:t xml:space="preserve"> </w:t>
      </w:r>
      <w:r>
        <w:t xml:space="preserve">in</w:t>
      </w:r>
      <w:r>
        <w:t xml:space="preserve"> </w:t>
      </w:r>
      <w:r>
        <w:t xml:space="preserve">Drug Discovery</w:t>
      </w:r>
      <w:r>
        <w:t xml:space="preserve"> </w:t>
      </w:r>
      <w:r>
        <w:t xml:space="preserve">and</w:t>
      </w:r>
      <w:r>
        <w:t xml:space="preserve"> </w:t>
      </w:r>
      <w:r>
        <w:t xml:space="preserve">Development</w:t>
      </w:r>
      <w:r>
        <w:t xml:space="preserve">:</w:t>
      </w:r>
      <w:r>
        <w:t xml:space="preserve"> </w:t>
      </w:r>
      <w:r>
        <w:t xml:space="preserve">An Innovation</w:t>
      </w:r>
      <w:r>
        <w:t xml:space="preserve"> </w:t>
      </w:r>
      <w:r>
        <w:t xml:space="preserve">and</w:t>
      </w:r>
      <w:r>
        <w:t xml:space="preserve"> </w:t>
      </w:r>
      <w:r>
        <w:t xml:space="preserve">Quality Consortium Perspective</w:t>
      </w:r>
      <w:r>
        <w:t xml:space="preserve"> </w:t>
      </w:r>
      <w:r>
        <w:t xml:space="preserve">on</w:t>
      </w:r>
      <w:r>
        <w:t xml:space="preserve"> </w:t>
      </w:r>
      <w:r>
        <w:t xml:space="preserve">Use Cases</w:t>
      </w:r>
      <w:r>
        <w:t xml:space="preserve"> </w:t>
      </w:r>
      <w:r>
        <w:t xml:space="preserve">and</w:t>
      </w:r>
      <w:r>
        <w:t xml:space="preserve"> </w:t>
      </w:r>
      <w:r>
        <w:t xml:space="preserve">Best Practices</w:t>
      </w:r>
      <w:r>
        <w:t xml:space="preserve">. Clinical Pharmacology &amp; Therapeutics. 2024;115(4):658–72. doi:</w:t>
      </w:r>
      <w:hyperlink r:id="rId112">
        <w:r>
          <w:rPr>
            <w:rStyle w:val="Hyperlink"/>
          </w:rPr>
          <w:t xml:space="preserve">10.1002/cpt.3053</w:t>
        </w:r>
      </w:hyperlink>
    </w:p>
    <w:bookmarkEnd w:id="113"/>
    <w:bookmarkStart w:id="115" w:name="X1c5a4f9ad3f5411cd43e369d851a1c31e3b802b"/>
    <w:p>
      <w:pPr>
        <w:pStyle w:val="Bibliography"/>
      </w:pPr>
      <w:r>
        <w:t xml:space="preserve">12.</w:t>
      </w:r>
      <w:r>
        <w:t xml:space="preserve"> </w:t>
      </w:r>
      <w:r>
        <w:t xml:space="preserve">	</w:t>
      </w:r>
      <w:r>
        <w:t xml:space="preserve">Folguera-Blasco N, Boshier FAT, Uatay A, Pichardo-Almarza C, Lai M, Biasetti J, et al. Coupling quantitative systems pharmacology modelling to machine learning and artificial intelligence for drug development: Its</w:t>
      </w:r>
      <w:r>
        <w:t xml:space="preserve"> </w:t>
      </w:r>
      <w:r>
        <w:t xml:space="preserve">pAIns</w:t>
      </w:r>
      <w:r>
        <w:t xml:space="preserve"> </w:t>
      </w:r>
      <w:r>
        <w:t xml:space="preserve">and</w:t>
      </w:r>
      <w:r>
        <w:t xml:space="preserve"> </w:t>
      </w:r>
      <w:r>
        <w:t xml:space="preserve">gAIns</w:t>
      </w:r>
      <w:r>
        <w:t xml:space="preserve">. Frontiers in Systems Biology. 2024 Jul;4. doi:</w:t>
      </w:r>
      <w:hyperlink r:id="rId114">
        <w:r>
          <w:rPr>
            <w:rStyle w:val="Hyperlink"/>
          </w:rPr>
          <w:t xml:space="preserve">10.3389/fsysb.2024.1380685</w:t>
        </w:r>
      </w:hyperlink>
    </w:p>
    <w:bookmarkEnd w:id="115"/>
    <w:bookmarkStart w:id="118" w:name="Xae2905baa266ab7bd51e9ec9d2bb1e401adf1f5"/>
    <w:p>
      <w:pPr>
        <w:pStyle w:val="Bibliography"/>
      </w:pPr>
      <w:r>
        <w:t xml:space="preserve">13.</w:t>
      </w:r>
      <w:r>
        <w:t xml:space="preserve"> </w:t>
      </w:r>
      <w:r>
        <w:t xml:space="preserve">	</w:t>
      </w:r>
      <w:r>
        <w:t xml:space="preserve">Pawłowski T, Bokota G, Lazarou G, Kierzek AM, Sroka J. Emulation of</w:t>
      </w:r>
      <w:r>
        <w:t xml:space="preserve"> </w:t>
      </w:r>
      <w:r>
        <w:t xml:space="preserve">Quantitative Systems Pharmacology</w:t>
      </w:r>
      <w:r>
        <w:t xml:space="preserve"> </w:t>
      </w:r>
      <w:r>
        <w:t xml:space="preserve">models to accelerate virtual population inference in immuno-oncology. Methods (San Diego, Calif). 2024 Mar;223:118–26. doi:</w:t>
      </w:r>
      <w:hyperlink r:id="rId116">
        <w:r>
          <w:rPr>
            <w:rStyle w:val="Hyperlink"/>
          </w:rPr>
          <w:t xml:space="preserve">10.1016/j.ymeth.2023.12.006</w:t>
        </w:r>
      </w:hyperlink>
      <w:r>
        <w:t xml:space="preserve"> </w:t>
      </w:r>
      <w:r>
        <w:t xml:space="preserve">PubMed PMID:</w:t>
      </w:r>
      <w:r>
        <w:t xml:space="preserve"> </w:t>
      </w:r>
      <w:hyperlink r:id="rId117">
        <w:r>
          <w:rPr>
            <w:rStyle w:val="Hyperlink"/>
          </w:rPr>
          <w:t xml:space="preserve">38246229</w:t>
        </w:r>
      </w:hyperlink>
      <w:r>
        <w:t xml:space="preserve">.</w:t>
      </w:r>
    </w:p>
    <w:bookmarkEnd w:id="118"/>
    <w:bookmarkStart w:id="121" w:name="X723aaa622dba1924fafa92c7b97217b2f286bab"/>
    <w:p>
      <w:pPr>
        <w:pStyle w:val="Bibliography"/>
      </w:pPr>
      <w:r>
        <w:t xml:space="preserve">14.</w:t>
      </w:r>
      <w:r>
        <w:t xml:space="preserve"> </w:t>
      </w:r>
      <w:r>
        <w:t xml:space="preserve">	</w:t>
      </w:r>
      <w:r>
        <w:t xml:space="preserve">Goryanin I, Goryanin I, Demin O. Revolutionizing drug discovery:</w:t>
      </w:r>
      <w:r>
        <w:t xml:space="preserve"> </w:t>
      </w:r>
      <w:r>
        <w:t xml:space="preserve">Integrating</w:t>
      </w:r>
      <w:r>
        <w:t xml:space="preserve"> </w:t>
      </w:r>
      <w:r>
        <w:t xml:space="preserve">artificial intelligence with quantitative systems pharmacology. Drug Discovery Today. 2025 Sep;30(9):104448. doi:</w:t>
      </w:r>
      <w:hyperlink r:id="rId119">
        <w:r>
          <w:rPr>
            <w:rStyle w:val="Hyperlink"/>
          </w:rPr>
          <w:t xml:space="preserve">10.1016/j.drudis.2025.104448</w:t>
        </w:r>
      </w:hyperlink>
      <w:r>
        <w:t xml:space="preserve"> </w:t>
      </w:r>
      <w:r>
        <w:t xml:space="preserve">PubMed PMID:</w:t>
      </w:r>
      <w:r>
        <w:t xml:space="preserve"> </w:t>
      </w:r>
      <w:hyperlink r:id="rId120">
        <w:r>
          <w:rPr>
            <w:rStyle w:val="Hyperlink"/>
          </w:rPr>
          <w:t xml:space="preserve">40774584</w:t>
        </w:r>
      </w:hyperlink>
      <w:r>
        <w:t xml:space="preserve">.</w:t>
      </w:r>
    </w:p>
    <w:bookmarkEnd w:id="121"/>
    <w:bookmarkStart w:id="123" w:name="ref-androulakisDawnNewEra2025"/>
    <w:p>
      <w:pPr>
        <w:pStyle w:val="Bibliography"/>
      </w:pPr>
      <w:r>
        <w:t xml:space="preserve">15.</w:t>
      </w:r>
      <w:r>
        <w:t xml:space="preserve"> </w:t>
      </w:r>
      <w:r>
        <w:t xml:space="preserve">	</w:t>
      </w:r>
      <w:r>
        <w:t xml:space="preserve">Androulakis IP, Cucurull-Sanchez L, Kondic A, Mehta K, Pichardo C, Pryor M, et al. The dawn of a new era: Can machine learning and large language models reshape</w:t>
      </w:r>
      <w:r>
        <w:t xml:space="preserve"> </w:t>
      </w:r>
      <w:r>
        <w:t xml:space="preserve">QSP</w:t>
      </w:r>
      <w:r>
        <w:t xml:space="preserve"> </w:t>
      </w:r>
      <w:r>
        <w:t xml:space="preserve">modeling? Journal of Pharmacokinetics and Pharmacodynamics. 2025 Jun;52(4):36. doi:</w:t>
      </w:r>
      <w:hyperlink r:id="rId122">
        <w:r>
          <w:rPr>
            <w:rStyle w:val="Hyperlink"/>
          </w:rPr>
          <w:t xml:space="preserve">10.1007/s10928-025-09984-5</w:t>
        </w:r>
      </w:hyperlink>
    </w:p>
    <w:bookmarkEnd w:id="123"/>
    <w:bookmarkStart w:id="126" w:name="X8c415a993717a716f25d3c033f922e736091439"/>
    <w:p>
      <w:pPr>
        <w:pStyle w:val="Bibliography"/>
      </w:pPr>
      <w:r>
        <w:t xml:space="preserve">16.</w:t>
      </w:r>
      <w:r>
        <w:t xml:space="preserve"> </w:t>
      </w:r>
      <w:r>
        <w:t xml:space="preserve">	</w:t>
      </w:r>
      <w:r>
        <w:t xml:space="preserve">Androulakis IP, Cheng L, Cho CR, Zhang T. Leveraging large language models to compare perspectives on integrating</w:t>
      </w:r>
      <w:r>
        <w:t xml:space="preserve"> </w:t>
      </w:r>
      <w:r>
        <w:t xml:space="preserve">QSP</w:t>
      </w:r>
      <w:r>
        <w:t xml:space="preserve"> </w:t>
      </w:r>
      <w:r>
        <w:t xml:space="preserve">and</w:t>
      </w:r>
      <w:r>
        <w:t xml:space="preserve"> </w:t>
      </w:r>
      <w:r>
        <w:t xml:space="preserve">AI</w:t>
      </w:r>
      <w:r>
        <w:t xml:space="preserve">/</w:t>
      </w:r>
      <w:r>
        <w:t xml:space="preserve">ML</w:t>
      </w:r>
      <w:r>
        <w:t xml:space="preserve">. Journal of Pharmacokinetics and Pharmacodynamics. 2025 May;52(3):29. doi:</w:t>
      </w:r>
      <w:hyperlink r:id="rId124">
        <w:r>
          <w:rPr>
            <w:rStyle w:val="Hyperlink"/>
          </w:rPr>
          <w:t xml:space="preserve">10.1007/s10928-025-09976-5</w:t>
        </w:r>
      </w:hyperlink>
      <w:r>
        <w:t xml:space="preserve"> </w:t>
      </w:r>
      <w:r>
        <w:t xml:space="preserve">PubMed PMID:</w:t>
      </w:r>
      <w:r>
        <w:t xml:space="preserve"> </w:t>
      </w:r>
      <w:hyperlink r:id="rId125">
        <w:r>
          <w:rPr>
            <w:rStyle w:val="Hyperlink"/>
          </w:rPr>
          <w:t xml:space="preserve">40325298</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qFormat/>
    <w:pPr>
      <w:spacing w:after="180" w:before="180"/>
    </w:pPr>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theme="majorBidi" w:eastAsiaTheme="majorEastAsia" w:hAnsi="Arial" w:hAnsiTheme="majorHAnsi"/>
      <w:b/>
      <w:spacing w:val="-10"/>
      <w:kern w:val="28"/>
      <w:sz w:val="40"/>
      <w:szCs w:val="56"/>
    </w:rPr>
  </w:style>
  <w:style w:customStyle="1" w:styleId="TitleChar" w:type="character">
    <w:name w:val="Title Char"/>
    <w:basedOn w:val="DefaultParagraphFont"/>
    <w:link w:val="Title"/>
    <w:uiPriority w:val="10"/>
    <w:rsid w:val="00A10FD9"/>
    <w:rPr>
      <w:rFonts w:ascii="Arial" w:asciiTheme="majorHAnsi" w:cstheme="majorBidi" w:eastAsiaTheme="majorEastAsia" w:hAnsi="Arial" w:hAnsiTheme="majorHAnsi"/>
      <w:spacing w:val="-10"/>
      <w:kern w:val="28"/>
      <w:sz w:val="22"/>
      <w:szCs w:val="56"/>
    </w:rPr>
  </w:style>
  <w:style w:styleId="Subtitle" w:type="paragraph">
    <w:name w:val="Subtitle"/>
    <w:basedOn w:val="Title"/>
    <w:next w:val="BodyText"/>
    <w:link w:val="SubtitleChar"/>
    <w:uiPriority w:val="11"/>
    <w:qFormat/>
    <w:rsid w:val="00A10FD9"/>
    <w:pPr>
      <w:numPr>
        <w:ilvl w:val="1"/>
      </w:numPr>
    </w:pPr>
    <w:rPr>
      <w:rFonts w:ascii="Arial" w:cstheme="majorBidi" w:eastAsiaTheme="majorEastAsia" w:hAnsi="Arial"/>
      <w:spacing w:val="15"/>
      <w:sz w:val="22"/>
      <w:szCs w:val="28"/>
    </w:rPr>
  </w:style>
  <w:style w:customStyle="1" w:styleId="SubtitleChar" w:type="character">
    <w:name w:val="Subtitle Char"/>
    <w:basedOn w:val="DefaultParagraphFont"/>
    <w:link w:val="Subtitle"/>
    <w:uiPriority w:val="11"/>
    <w:rsid w:val="00A10FD9"/>
    <w:rPr>
      <w:rFonts w:ascii="Arial" w:cstheme="majorBidi" w:eastAsiaTheme="majorEastAsia" w:hAnsi="Arial"/>
      <w:color w:themeColor="text1" w:themeTint="A6" w:val="595959"/>
      <w:spacing w:val="15"/>
      <w:sz w:val="22"/>
      <w:szCs w:val="28"/>
    </w:rPr>
  </w:style>
  <w:style w:customStyle="1" w:styleId="Author" w:type="paragraph">
    <w:name w:val="Author"/>
    <w:next w:val="BodyText"/>
    <w:qFormat/>
    <w:pPr>
      <w:keepNext/>
      <w:keepLines/>
      <w:jc w:val="center"/>
    </w:pPr>
    <w:rPr>
      <w:rFonts w:ascii="Arial" w:hAnsi="Arial"/>
      <w:sz w:val="22"/>
    </w:rPr>
  </w:style>
  <w:style w:styleId="Date" w:type="paragraph">
    <w:name w:val="Date"/>
    <w:next w:val="BodyText"/>
    <w:qFormat/>
    <w:pPr>
      <w:keepNext/>
      <w:keepLines/>
      <w:jc w:val="center"/>
    </w:pPr>
    <w:rPr>
      <w:rFonts w:ascii="Arial" w:hAnsi="Arial"/>
      <w:sz w:val="22"/>
    </w:rPr>
  </w:style>
  <w:style w:customStyle="1" w:styleId="AbstractTitle" w:type="paragraph">
    <w:name w:val="Abstract Title"/>
    <w:basedOn w:val="Normal"/>
    <w:next w:val="Abstract"/>
    <w:qFormat/>
    <w:pPr>
      <w:keepNext/>
      <w:keepLines/>
      <w:spacing w:after="0" w:before="300"/>
      <w:jc w:val="center"/>
    </w:pPr>
    <w:rPr>
      <w:rFonts w:ascii="Arial" w:hAnsi="Arial"/>
      <w:b/>
      <w:sz w:val="22"/>
      <w:szCs w:val="20"/>
    </w:rPr>
  </w:style>
  <w:style w:customStyle="1" w:styleId="Abstract" w:type="paragraph">
    <w:name w:val="Abstract"/>
    <w:basedOn w:val="Normal"/>
    <w:next w:val="BodyText"/>
    <w:qFormat/>
    <w:pPr>
      <w:keepNext/>
      <w:keepLines/>
      <w:spacing w:after="300" w:before="100"/>
    </w:pPr>
    <w:rPr>
      <w:rFonts w:ascii="Arial" w:hAnsi="Arial"/>
      <w:sz w:val="22"/>
      <w:szCs w:val="20"/>
    </w:rPr>
  </w:style>
  <w:style w:styleId="Bibliography" w:type="paragraph">
    <w:name w:val="Bibliography"/>
    <w:basedOn w:val="Normal"/>
    <w:next w:val="Bibliography"/>
    <w:qFormat/>
    <w:pPr/>
    <w:rPr>
      <w:rFonts w:ascii="Arial" w:hAnsi="Arial"/>
      <w:sz w:val="22"/>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Theme="majorEastAsia" w:hAnsi="Arial"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Theme="majorEastAsia" w:hAnsi="Arial"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Theme="majorEastAsia" w:hAnsi="Arial"/>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theme="majorBidi" w:eastAsiaTheme="majorEastAsia" w:hAnsi="Arial"/>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theme="majorBidi" w:eastAsiaTheme="majorEastAsia" w:hAnsi="Arial"/>
      <w:b/>
      <w:color w:themeColor="accent1" w:themeShade="BF" w:val="0F4761"/>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theme="majorBidi" w:eastAsiaTheme="majorEastAsia" w:hAnsi="Arial"/>
      <w:i/>
      <w:iCs/>
      <w:color w:themeColor="text1" w:themeTint="A6" w:val="595959"/>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theme="majorBidi" w:eastAsiaTheme="majorEastAsia" w:hAnsi="Arial"/>
      <w:color w:themeColor="text1" w:themeTint="A6" w:val="595959"/>
      <w:sz w:val="22"/>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theme="majorBidi" w:eastAsiaTheme="majorEastAsia" w:hAnsi="Arial"/>
      <w:i/>
      <w:iCs/>
      <w:color w:themeColor="text1" w:themeTint="D8" w:val="272727"/>
      <w:sz w:val="22"/>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theme="majorBidi" w:eastAsiaTheme="majorEastAsia" w:hAnsi="Arial"/>
      <w:color w:themeColor="text1" w:themeTint="D8" w:val="272727"/>
      <w:sz w:val="22"/>
    </w:rPr>
  </w:style>
  <w:style w:customStyle="1" w:styleId="Heading1Char" w:type="character">
    <w:name w:val="Heading 1 Char"/>
    <w:basedOn w:val="DefaultParagraphFont"/>
    <w:link w:val="Heading1"/>
    <w:uiPriority w:val="9"/>
    <w:rsid w:val="00A10FD9"/>
    <w:rPr>
      <w:rFonts w:ascii="Arial" w:asciiTheme="majorHAnsi" w:cstheme="majorBidi" w:eastAsiaTheme="majorEastAsia" w:hAnsi="Arial" w:hAnsiTheme="majorHAnsi"/>
      <w:color w:themeColor="accent1" w:themeShade="BF" w:val="0F4761"/>
      <w:sz w:val="22"/>
      <w:szCs w:val="40"/>
    </w:rPr>
  </w:style>
  <w:style w:customStyle="1" w:styleId="Heading2Char" w:type="character">
    <w:name w:val="Heading 2 Char"/>
    <w:basedOn w:val="DefaultParagraphFont"/>
    <w:link w:val="Heading2"/>
    <w:uiPriority w:val="9"/>
    <w:semiHidden/>
    <w:rsid w:val="00A10FD9"/>
    <w:rPr>
      <w:rFonts w:ascii="Arial" w:asciiTheme="majorHAnsi" w:cstheme="majorBidi" w:eastAsiaTheme="majorEastAsia" w:hAnsi="Arial" w:hAnsiTheme="majorHAnsi"/>
      <w:color w:themeColor="accent1" w:themeShade="BF" w:val="0F4761"/>
      <w:sz w:val="22"/>
      <w:szCs w:val="32"/>
    </w:rPr>
  </w:style>
  <w:style w:customStyle="1" w:styleId="Heading3Char" w:type="character">
    <w:name w:val="Heading 3 Char"/>
    <w:basedOn w:val="DefaultParagraphFont"/>
    <w:link w:val="Heading3"/>
    <w:uiPriority w:val="9"/>
    <w:semiHidden/>
    <w:rsid w:val="00A10FD9"/>
    <w:rPr>
      <w:rFonts w:ascii="Arial" w:cstheme="majorBidi" w:eastAsiaTheme="majorEastAsia" w:hAnsi="Arial"/>
      <w:color w:themeColor="accent1" w:themeShade="BF" w:val="0F4761"/>
      <w:sz w:val="22"/>
      <w:szCs w:val="28"/>
    </w:rPr>
  </w:style>
  <w:style w:customStyle="1" w:styleId="Heading4Char" w:type="character">
    <w:name w:val="Heading 4 Char"/>
    <w:basedOn w:val="DefaultParagraphFont"/>
    <w:link w:val="Heading4"/>
    <w:uiPriority w:val="9"/>
    <w:semiHidden/>
    <w:rsid w:val="00A10FD9"/>
    <w:rPr>
      <w:rFonts w:ascii="Arial" w:cstheme="majorBidi" w:eastAsiaTheme="majorEastAsia" w:hAnsi="Arial"/>
      <w:i/>
      <w:iCs/>
      <w:color w:themeColor="accent1" w:themeShade="BF" w:val="0F4761"/>
      <w:sz w:val="22"/>
    </w:rPr>
  </w:style>
  <w:style w:customStyle="1" w:styleId="Heading5Char" w:type="character">
    <w:name w:val="Heading 5 Char"/>
    <w:basedOn w:val="DefaultParagraphFont"/>
    <w:link w:val="Heading5"/>
    <w:uiPriority w:val="9"/>
    <w:semiHidden/>
    <w:rsid w:val="00A10FD9"/>
    <w:rPr>
      <w:rFonts w:ascii="Arial" w:cstheme="majorBidi" w:eastAsiaTheme="majorEastAsia" w:hAnsi="Arial"/>
      <w:color w:themeColor="accent1" w:themeShade="BF" w:val="0F4761"/>
      <w:sz w:val="22"/>
    </w:rPr>
  </w:style>
  <w:style w:customStyle="1" w:styleId="Heading6Char" w:type="character">
    <w:name w:val="Heading 6 Char"/>
    <w:basedOn w:val="DefaultParagraphFont"/>
    <w:link w:val="Heading6"/>
    <w:uiPriority w:val="9"/>
    <w:semiHidden/>
    <w:rsid w:val="00A10FD9"/>
    <w:rPr>
      <w:rFonts w:ascii="Arial" w:cstheme="majorBidi" w:eastAsiaTheme="majorEastAsia" w:hAnsi="Arial"/>
      <w:i/>
      <w:iCs/>
      <w:color w:themeColor="text1" w:themeTint="A6" w:val="595959"/>
      <w:sz w:val="22"/>
    </w:rPr>
  </w:style>
  <w:style w:customStyle="1" w:styleId="Heading7Char" w:type="character">
    <w:name w:val="Heading 7 Char"/>
    <w:basedOn w:val="DefaultParagraphFont"/>
    <w:link w:val="Heading7"/>
    <w:uiPriority w:val="9"/>
    <w:semiHidden/>
    <w:rsid w:val="00A10FD9"/>
    <w:rPr>
      <w:rFonts w:ascii="Arial" w:cstheme="majorBidi" w:eastAsiaTheme="majorEastAsia" w:hAnsi="Arial"/>
      <w:color w:themeColor="text1" w:themeTint="A6" w:val="595959"/>
      <w:sz w:val="22"/>
    </w:rPr>
  </w:style>
  <w:style w:customStyle="1" w:styleId="Heading8Char" w:type="character">
    <w:name w:val="Heading 8 Char"/>
    <w:basedOn w:val="DefaultParagraphFont"/>
    <w:link w:val="Heading8"/>
    <w:uiPriority w:val="9"/>
    <w:semiHidden/>
    <w:rsid w:val="00A10FD9"/>
    <w:rPr>
      <w:rFonts w:ascii="Arial" w:cstheme="majorBidi" w:eastAsiaTheme="majorEastAsia" w:hAnsi="Arial"/>
      <w:i/>
      <w:iCs/>
      <w:color w:themeColor="text1" w:themeTint="D8" w:val="272727"/>
      <w:sz w:val="22"/>
    </w:rPr>
  </w:style>
  <w:style w:customStyle="1" w:styleId="Heading9Char" w:type="character">
    <w:name w:val="Heading 9 Char"/>
    <w:basedOn w:val="DefaultParagraphFont"/>
    <w:link w:val="Heading9"/>
    <w:uiPriority w:val="9"/>
    <w:semiHidden/>
    <w:rsid w:val="00A10FD9"/>
    <w:rPr>
      <w:rFonts w:ascii="Arial" w:cstheme="majorBidi" w:eastAsiaTheme="majorEastAsia" w:hAnsi="Arial"/>
      <w:color w:themeColor="text1" w:themeTint="D8" w:val="272727"/>
      <w:sz w:val="22"/>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rPr>
      <w:rFonts w:ascii="Arial" w:hAnsi="Arial"/>
      <w:sz w:val="22"/>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hAnsi="Arial"/>
      <w:sz w:val="22"/>
    </w:rPr>
  </w:style>
  <w:style w:default="1" w:styleId="DefaultParagraphFont" w:type="character">
    <w:name w:val="Default Paragraph Font"/>
    <w:semiHidden/>
    <w:unhideWhenUsed/>
    <w:rPr>
      <w:rFonts w:ascii="Arial" w:hAnsi="Arial"/>
      <w:sz w:val="22"/>
    </w:rPr>
  </w:style>
  <w:style w:default="1" w:styleId="Table" w:type="table">
    <w:name w:val="Table"/>
    <w:basedOn w:val="TableNormal"/>
    <w:semiHidden/>
    <w:unhideWhenUsed/>
    <w:qFormat/>
    <w:rPr>
      <w:rFonts w:ascii="Arial" w:hAnsi="Arial"/>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hAnsi="Arial"/>
      <w:b/>
      <w:sz w:val="22"/>
    </w:rPr>
  </w:style>
  <w:style w:customStyle="1" w:styleId="Definition" w:type="paragraph">
    <w:name w:val="Definition"/>
    <w:basedOn w:val="Normal"/>
    <w:rPr>
      <w:rFonts w:ascii="Arial" w:hAnsi="Arial"/>
      <w:sz w:val="22"/>
    </w:rPr>
  </w:style>
  <w:style w:styleId="Caption" w:type="paragraph">
    <w:name w:val="Caption"/>
    <w:basedOn w:val="Normal"/>
    <w:link w:val="BodyTextChar"/>
    <w:pPr>
      <w:spacing w:after="120" w:before="0"/>
    </w:pPr>
    <w:rPr>
      <w:rFonts w:ascii="Arial" w:hAnsi="Arial"/>
      <w:i/>
      <w:color w:val="333333"/>
      <w:sz w:val="20"/>
    </w:rPr>
  </w:style>
  <w:style w:customStyle="1" w:styleId="TableCaption" w:type="paragraph">
    <w:name w:val="Table Caption"/>
    <w:basedOn w:val="Caption"/>
    <w:pPr>
      <w:keepNext/>
    </w:pPr>
    <w:rPr>
      <w:rFonts w:ascii="Arial" w:hAnsi="Arial"/>
      <w:i/>
      <w:color w:val="333333"/>
      <w:sz w:val="20"/>
    </w:rPr>
  </w:style>
  <w:style w:customStyle="1" w:styleId="ImageCaption" w:type="paragraph">
    <w:name w:val="Image Caption"/>
    <w:basedOn w:val="Caption"/>
    <w:rPr>
      <w:rFonts w:ascii="Arial" w:hAnsi="Arial"/>
      <w:i/>
      <w:color w:val="333333"/>
      <w:sz w:val="20"/>
    </w:rPr>
  </w:style>
  <w:style w:customStyle="1" w:styleId="Figure" w:type="paragraph">
    <w:name w:val="Figure"/>
    <w:basedOn w:val="Normal"/>
    <w:rPr>
      <w:rFonts w:ascii="Arial" w:hAnsi="Arial"/>
      <w:sz w:val="22"/>
    </w:rPr>
  </w:style>
  <w:style w:customStyle="1" w:styleId="CaptionedFigure" w:type="paragraph">
    <w:name w:val="Captioned Figure"/>
    <w:basedOn w:val="Figure"/>
    <w:pPr>
      <w:keepNext/>
    </w:pPr>
    <w:rPr>
      <w:rFonts w:ascii="Arial" w:hAnsi="Arial"/>
      <w:sz w:val="22"/>
    </w:rPr>
  </w:style>
  <w:style w:customStyle="1" w:styleId="BodyTextChar" w:type="character">
    <w:name w:val="Body Text Char"/>
    <w:basedOn w:val="DefaultParagraphFont"/>
    <w:link w:val="BodyText"/>
    <w:rPr>
      <w:rFonts w:ascii="Arial" w:hAnsi="Arial"/>
      <w:sz w:val="22"/>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sz w:val="22"/>
    </w:rPr>
  </w:style>
  <w:style w:styleId="FootnoteReference" w:type="character">
    <w:name w:val="Footnote Reference"/>
    <w:basedOn w:val="BodyTextChar"/>
    <w:rPr>
      <w:rFonts w:ascii="Arial" w:hAnsi="Arial"/>
      <w:sz w:val="22"/>
      <w:vertAlign w:val="superscript"/>
    </w:rPr>
  </w:style>
  <w:style w:styleId="Hyperlink" w:type="character">
    <w:name w:val="Hyperlink"/>
    <w:basedOn w:val="BodyTextChar"/>
    <w:rPr>
      <w:rFonts w:ascii="Arial" w:hAnsi="Arial"/>
      <w:color w:themeColor="accent1" w:val="4F81BD"/>
      <w:sz w:val="22"/>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9" Type="http://schemas.openxmlformats.org/officeDocument/2006/relationships/image" Target="media/rId79.pdf"/><Relationship Id="rId103" Type="http://schemas.openxmlformats.org/officeDocument/2006/relationships/hyperlink" Target="https://arxiv.org/abs/2510.24476" TargetMode="External"/><Relationship Id="rId99" Type="http://schemas.openxmlformats.org/officeDocument/2006/relationships/hyperlink" Target="https://doi.org/10.1002/cl2.70073" TargetMode="External"/><Relationship Id="rId112" Type="http://schemas.openxmlformats.org/officeDocument/2006/relationships/hyperlink" Target="https://doi.org/10.1002/cpt.3053" TargetMode="External"/><Relationship Id="rId101" Type="http://schemas.openxmlformats.org/officeDocument/2006/relationships/hyperlink" Target="https://doi.org/10.1002/psp4.70127" TargetMode="External"/><Relationship Id="rId124" Type="http://schemas.openxmlformats.org/officeDocument/2006/relationships/hyperlink" Target="https://doi.org/10.1007/s10928-025-09976-5" TargetMode="External"/><Relationship Id="rId122" Type="http://schemas.openxmlformats.org/officeDocument/2006/relationships/hyperlink" Target="https://doi.org/10.1007/s10928-025-09984-5" TargetMode="External"/><Relationship Id="rId119" Type="http://schemas.openxmlformats.org/officeDocument/2006/relationships/hyperlink" Target="https://doi.org/10.1016/j.drudis.2025.104448" TargetMode="External"/><Relationship Id="rId116" Type="http://schemas.openxmlformats.org/officeDocument/2006/relationships/hyperlink" Target="https://doi.org/10.1016/j.ymeth.2023.12.006" TargetMode="External"/><Relationship Id="rId108" Type="http://schemas.openxmlformats.org/officeDocument/2006/relationships/hyperlink" Target="https://doi.org/10.1038/s44387-025-00060-4" TargetMode="External"/><Relationship Id="rId110" Type="http://schemas.openxmlformats.org/officeDocument/2006/relationships/hyperlink" Target="https://doi.org/10.1093/bioadv/vbae194" TargetMode="External"/><Relationship Id="rId97" Type="http://schemas.openxmlformats.org/officeDocument/2006/relationships/hyperlink" Target="https://doi.org/10.1093/jamiaopen/ooaf012" TargetMode="External"/><Relationship Id="rId93" Type="http://schemas.openxmlformats.org/officeDocument/2006/relationships/hyperlink" Target="https://doi.org/10.18637/jss.v098.i16" TargetMode="External"/><Relationship Id="rId114" Type="http://schemas.openxmlformats.org/officeDocument/2006/relationships/hyperlink" Target="https://doi.org/10.3389/fsysb.2024.1380685" TargetMode="External"/><Relationship Id="rId106" Type="http://schemas.openxmlformats.org/officeDocument/2006/relationships/hyperlink" Target="https://doi.org/10.48550/arXiv.2501.10868" TargetMode="External"/><Relationship Id="rId104" Type="http://schemas.openxmlformats.org/officeDocument/2006/relationships/hyperlink" Target="https://doi.org/10.48550/arXiv.2510.24476" TargetMode="External"/><Relationship Id="rId95" Type="http://schemas.openxmlformats.org/officeDocument/2006/relationships/hyperlink" Target="https://github.com/pydantic/pydantic" TargetMode="External"/><Relationship Id="rId91" Type="http://schemas.openxmlformats.org/officeDocument/2006/relationships/hyperlink" Target="https://proceedings.mlr.press/v84/ge18b.html" TargetMode="External"/><Relationship Id="rId117" Type="http://schemas.openxmlformats.org/officeDocument/2006/relationships/hyperlink" Target="https://www.ncbi.nlm.nih.gov/pubmed/38246229" TargetMode="External"/><Relationship Id="rId125" Type="http://schemas.openxmlformats.org/officeDocument/2006/relationships/hyperlink" Target="https://www.ncbi.nlm.nih.gov/pubmed/40325298" TargetMode="External"/><Relationship Id="rId120" Type="http://schemas.openxmlformats.org/officeDocument/2006/relationships/hyperlink" Target="https://www.ncbi.nlm.nih.gov/pubmed/40774584" TargetMode="External"/></Relationships>
</file>

<file path=word/_rels/footnotes.xml.rels><?xml version='1.0' encoding='UTF-8' standalone='yes'?>
<Relationships xmlns="http://schemas.openxmlformats.org/package/2006/relationships"><Relationship Id="rId103" Type="http://schemas.openxmlformats.org/officeDocument/2006/relationships/hyperlink" Target="https://arxiv.org/abs/2510.24476" TargetMode="External"/><Relationship Id="rId99" Type="http://schemas.openxmlformats.org/officeDocument/2006/relationships/hyperlink" Target="https://doi.org/10.1002/cl2.70073" TargetMode="External"/><Relationship Id="rId112" Type="http://schemas.openxmlformats.org/officeDocument/2006/relationships/hyperlink" Target="https://doi.org/10.1002/cpt.3053" TargetMode="External"/><Relationship Id="rId101" Type="http://schemas.openxmlformats.org/officeDocument/2006/relationships/hyperlink" Target="https://doi.org/10.1002/psp4.70127" TargetMode="External"/><Relationship Id="rId124" Type="http://schemas.openxmlformats.org/officeDocument/2006/relationships/hyperlink" Target="https://doi.org/10.1007/s10928-025-09976-5" TargetMode="External"/><Relationship Id="rId122" Type="http://schemas.openxmlformats.org/officeDocument/2006/relationships/hyperlink" Target="https://doi.org/10.1007/s10928-025-09984-5" TargetMode="External"/><Relationship Id="rId119" Type="http://schemas.openxmlformats.org/officeDocument/2006/relationships/hyperlink" Target="https://doi.org/10.1016/j.drudis.2025.104448" TargetMode="External"/><Relationship Id="rId116" Type="http://schemas.openxmlformats.org/officeDocument/2006/relationships/hyperlink" Target="https://doi.org/10.1016/j.ymeth.2023.12.006" TargetMode="External"/><Relationship Id="rId108" Type="http://schemas.openxmlformats.org/officeDocument/2006/relationships/hyperlink" Target="https://doi.org/10.1038/s44387-025-00060-4" TargetMode="External"/><Relationship Id="rId110" Type="http://schemas.openxmlformats.org/officeDocument/2006/relationships/hyperlink" Target="https://doi.org/10.1093/bioadv/vbae194" TargetMode="External"/><Relationship Id="rId97" Type="http://schemas.openxmlformats.org/officeDocument/2006/relationships/hyperlink" Target="https://doi.org/10.1093/jamiaopen/ooaf012" TargetMode="External"/><Relationship Id="rId93" Type="http://schemas.openxmlformats.org/officeDocument/2006/relationships/hyperlink" Target="https://doi.org/10.18637/jss.v098.i16" TargetMode="External"/><Relationship Id="rId114" Type="http://schemas.openxmlformats.org/officeDocument/2006/relationships/hyperlink" Target="https://doi.org/10.3389/fsysb.2024.1380685" TargetMode="External"/><Relationship Id="rId106" Type="http://schemas.openxmlformats.org/officeDocument/2006/relationships/hyperlink" Target="https://doi.org/10.48550/arXiv.2501.10868" TargetMode="External"/><Relationship Id="rId104" Type="http://schemas.openxmlformats.org/officeDocument/2006/relationships/hyperlink" Target="https://doi.org/10.48550/arXiv.2510.24476" TargetMode="External"/><Relationship Id="rId95" Type="http://schemas.openxmlformats.org/officeDocument/2006/relationships/hyperlink" Target="https://github.com/pydantic/pydantic" TargetMode="External"/><Relationship Id="rId91" Type="http://schemas.openxmlformats.org/officeDocument/2006/relationships/hyperlink" Target="https://proceedings.mlr.press/v84/ge18b.html" TargetMode="External"/><Relationship Id="rId117" Type="http://schemas.openxmlformats.org/officeDocument/2006/relationships/hyperlink" Target="https://www.ncbi.nlm.nih.gov/pubmed/38246229" TargetMode="External"/><Relationship Id="rId125" Type="http://schemas.openxmlformats.org/officeDocument/2006/relationships/hyperlink" Target="https://www.ncbi.nlm.nih.gov/pubmed/40325298" TargetMode="External"/><Relationship Id="rId120" Type="http://schemas.openxmlformats.org/officeDocument/2006/relationships/hyperlink" Target="https://www.ncbi.nlm.nih.gov/pubmed/40774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Structured Schemas for LLM-Expert Collaboration in QSP Model Calibration</dc:title>
  <dc:creator>Joel Eliason and Aleksander S. Popel</dc:creator>
  <cp:keywords/>
  <dcterms:created xsi:type="dcterms:W3CDTF">2026-03-05T16:51:35Z</dcterms:created>
  <dcterms:modified xsi:type="dcterms:W3CDTF">2026-03-05T16:51:35Z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vancouver-superscript.csl</vt:lpwstr>
  </property>
  <property fmtid="{D5CDD505-2E9C-101B-9397-08002B2CF9AE}" pid="4" name="date">
    <vt:lpwstr/>
  </property>
  <property fmtid="{D5CDD505-2E9C-101B-9397-08002B2CF9AE}" pid="5" name="reference-section-title">
    <vt:lpwstr>References</vt:lpwstr>
  </property>
</Properties>
</file>