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652FE" w14:textId="3570C60F" w:rsidR="00132B6D" w:rsidRDefault="00132B6D">
      <w:pPr>
        <w:spacing w:before="480" w:after="120"/>
        <w:jc w:val="center"/>
        <w:rPr>
          <w:b/>
          <w:bCs/>
          <w:color w:val="1F4E79"/>
          <w:sz w:val="52"/>
          <w:szCs w:val="52"/>
        </w:rPr>
      </w:pPr>
      <w:r w:rsidRPr="00132B6D">
        <w:rPr>
          <w:i/>
          <w:iCs/>
          <w:noProof/>
          <w:color w:val="555555"/>
          <w:sz w:val="24"/>
          <w:szCs w:val="24"/>
        </w:rPr>
        <mc:AlternateContent>
          <mc:Choice Requires="wps">
            <w:drawing>
              <wp:anchor distT="45720" distB="45720" distL="114300" distR="114300" simplePos="0" relativeHeight="251661312" behindDoc="0" locked="0" layoutInCell="1" allowOverlap="1" wp14:anchorId="426B0544" wp14:editId="58B68FDB">
                <wp:simplePos x="0" y="0"/>
                <wp:positionH relativeFrom="margin">
                  <wp:align>center</wp:align>
                </wp:positionH>
                <wp:positionV relativeFrom="paragraph">
                  <wp:posOffset>3867150</wp:posOffset>
                </wp:positionV>
                <wp:extent cx="3086100" cy="1404620"/>
                <wp:effectExtent l="0" t="0" r="0" b="0"/>
                <wp:wrapSquare wrapText="bothSides"/>
                <wp:docPr id="5150621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3F1B1655" w14:textId="0432A6E1" w:rsidR="00132B6D" w:rsidRPr="00132B6D" w:rsidRDefault="00132B6D" w:rsidP="00132B6D">
                            <w:pPr>
                              <w:jc w:val="center"/>
                              <w:rPr>
                                <w:color w:val="FFFFFF" w:themeColor="background1"/>
                                <w:lang w:val="en-US"/>
                              </w:rPr>
                            </w:pPr>
                            <w:r>
                              <w:rPr>
                                <w:color w:val="FFFFFF" w:themeColor="background1"/>
                                <w:sz w:val="20"/>
                                <w:szCs w:val="20"/>
                                <w:lang w:val="en-US"/>
                              </w:rPr>
                              <w:t>A plain-English guide to reading and acting on your simulation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26B0544" id="_x0000_t202" coordsize="21600,21600" o:spt="202" path="m,l,21600r21600,l21600,xe">
                <v:stroke joinstyle="miter"/>
                <v:path gradientshapeok="t" o:connecttype="rect"/>
              </v:shapetype>
              <v:shape id="Text Box 2" o:spid="_x0000_s1026" type="#_x0000_t202" style="position:absolute;left:0;text-align:left;margin-left:0;margin-top:304.5pt;width:243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" filled="f" stroked="f">
                <v:textbox style="mso-fit-shape-to-text:t">
                  <w:txbxContent>
                    <w:p w14:paraId="3F1B1655" w14:textId="0432A6E1" w:rsidR="00132B6D" w:rsidRPr="00132B6D" w:rsidRDefault="00132B6D" w:rsidP="00132B6D">
                      <w:pPr>
                        <w:jc w:val="center"/>
                        <w:rPr>
                          <w:color w:val="FFFFFF" w:themeColor="background1"/>
                          <w:lang w:val="en-US"/>
                        </w:rPr>
                      </w:pPr>
                      <w:r>
                        <w:rPr>
                          <w:color w:val="FFFFFF" w:themeColor="background1"/>
                          <w:sz w:val="20"/>
                          <w:szCs w:val="20"/>
                          <w:lang w:val="en-US"/>
                        </w:rPr>
                        <w:t>A plain-English guide to reading and acting on your simulation output</w:t>
                      </w:r>
                    </w:p>
                  </w:txbxContent>
                </v:textbox>
                <w10:wrap type="square" anchorx="margin"/>
              </v:shape>
            </w:pict>
          </mc:Fallback>
        </mc:AlternateContent>
      </w:r>
      <w:r w:rsidRPr="00132B6D">
        <w:rPr>
          <w:i/>
          <w:iCs/>
          <w:noProof/>
          <w:color w:val="555555"/>
          <w:sz w:val="24"/>
          <w:szCs w:val="24"/>
        </w:rPr>
        <mc:AlternateContent>
          <mc:Choice Requires="wps">
            <w:drawing>
              <wp:anchor distT="45720" distB="45720" distL="114300" distR="114300" simplePos="0" relativeHeight="251659264" behindDoc="0" locked="0" layoutInCell="1" allowOverlap="1" wp14:anchorId="21860EF9" wp14:editId="14A97ED6">
                <wp:simplePos x="0" y="0"/>
                <wp:positionH relativeFrom="margin">
                  <wp:align>center</wp:align>
                </wp:positionH>
                <wp:positionV relativeFrom="paragraph">
                  <wp:posOffset>7553325</wp:posOffset>
                </wp:positionV>
                <wp:extent cx="3924300" cy="140462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4300" cy="1404620"/>
                        </a:xfrm>
                        <a:prstGeom prst="rect">
                          <a:avLst/>
                        </a:prstGeom>
                        <a:noFill/>
                        <a:ln w="9525">
                          <a:noFill/>
                          <a:miter lim="800000"/>
                          <a:headEnd/>
                          <a:tailEnd/>
                        </a:ln>
                      </wps:spPr>
                      <wps:txbx>
                        <w:txbxContent>
                          <w:p w14:paraId="570413E6" w14:textId="2DC6065C" w:rsidR="00132B6D" w:rsidRPr="00132B6D" w:rsidRDefault="00132B6D">
                            <w:pPr>
                              <w:rPr>
                                <w:color w:val="FFFFFF" w:themeColor="background1"/>
                              </w:rPr>
                            </w:pPr>
                            <w:r w:rsidRPr="00132B6D">
                              <w:rPr>
                                <w:color w:val="FFFFFF" w:themeColor="background1"/>
                                <w:sz w:val="20"/>
                                <w:szCs w:val="20"/>
                              </w:rPr>
                              <w:t xml:space="preserve">Version </w:t>
                            </w:r>
                            <w:proofErr w:type="gramStart"/>
                            <w:r w:rsidRPr="00132B6D">
                              <w:rPr>
                                <w:color w:val="FFFFFF" w:themeColor="background1"/>
                                <w:sz w:val="20"/>
                                <w:szCs w:val="20"/>
                              </w:rPr>
                              <w:t xml:space="preserve">1.0  </w:t>
                            </w:r>
                            <w:r>
                              <w:rPr>
                                <w:color w:val="FFFFFF" w:themeColor="background1"/>
                                <w:sz w:val="20"/>
                                <w:szCs w:val="20"/>
                              </w:rPr>
                              <w:t>-</w:t>
                            </w:r>
                            <w:proofErr w:type="gramEnd"/>
                            <w:r>
                              <w:rPr>
                                <w:color w:val="FFFFFF" w:themeColor="background1"/>
                                <w:sz w:val="20"/>
                                <w:szCs w:val="20"/>
                              </w:rPr>
                              <w:t xml:space="preserve"> Companion Guide to Quick Start Guide (Version 16)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860EF9" id="_x0000_s1027" type="#_x0000_t202" style="position:absolute;left:0;text-align:left;margin-left:0;margin-top:594.75pt;width:309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" filled="f" stroked="f">
                <v:textbox style="mso-fit-shape-to-text:t">
                  <w:txbxContent>
                    <w:p w14:paraId="570413E6" w14:textId="2DC6065C" w:rsidR="00132B6D" w:rsidRPr="00132B6D" w:rsidRDefault="00132B6D">
                      <w:pPr>
                        <w:rPr>
                          <w:color w:val="FFFFFF" w:themeColor="background1"/>
                        </w:rPr>
                      </w:pPr>
                      <w:r w:rsidRPr="00132B6D">
                        <w:rPr>
                          <w:color w:val="FFFFFF" w:themeColor="background1"/>
                          <w:sz w:val="20"/>
                          <w:szCs w:val="20"/>
                        </w:rPr>
                        <w:t xml:space="preserve">Version </w:t>
                      </w:r>
                      <w:proofErr w:type="gramStart"/>
                      <w:r w:rsidRPr="00132B6D">
                        <w:rPr>
                          <w:color w:val="FFFFFF" w:themeColor="background1"/>
                          <w:sz w:val="20"/>
                          <w:szCs w:val="20"/>
                        </w:rPr>
                        <w:t xml:space="preserve">1.0  </w:t>
                      </w:r>
                      <w:r>
                        <w:rPr>
                          <w:color w:val="FFFFFF" w:themeColor="background1"/>
                          <w:sz w:val="20"/>
                          <w:szCs w:val="20"/>
                        </w:rPr>
                        <w:t>-</w:t>
                      </w:r>
                      <w:proofErr w:type="gramEnd"/>
                      <w:r>
                        <w:rPr>
                          <w:color w:val="FFFFFF" w:themeColor="background1"/>
                          <w:sz w:val="20"/>
                          <w:szCs w:val="20"/>
                        </w:rPr>
                        <w:t xml:space="preserve"> Companion Guide to Quick Start Guide (Version 16)</w:t>
                      </w:r>
                    </w:p>
                  </w:txbxContent>
                </v:textbox>
                <w10:wrap type="square" anchorx="margin"/>
              </v:shape>
            </w:pict>
          </mc:Fallback>
        </mc:AlternateContent>
      </w:r>
      <w:r>
        <w:rPr>
          <w:b/>
          <w:bCs/>
          <w:noProof/>
          <w:color w:val="1F4E79"/>
          <w:sz w:val="52"/>
          <w:szCs w:val="52"/>
        </w:rPr>
        <w:drawing>
          <wp:inline distT="0" distB="0" distL="0" distR="0" wp14:anchorId="572268D6" wp14:editId="4FF2CFB9">
            <wp:extent cx="6144895" cy="8686800"/>
            <wp:effectExtent l="0" t="0" r="8255" b="0"/>
            <wp:docPr id="65191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5029" name="Picture 651915029"/>
                    <pic:cNvPicPr/>
                  </pic:nvPicPr>
                  <pic:blipFill>
                    <a:blip r:embed="rId8">
                      <a:extLst>
                        <a:ext uri="{28A0092B-C50C-407E-A947-70E740481C1C}">
                          <a14:useLocalDpi xmlns:a14="http://schemas.microsoft.com/office/drawing/2010/main" val="0"/>
                        </a:ext>
                      </a:extLst>
                    </a:blip>
                    <a:stretch>
                      <a:fillRect/>
                    </a:stretch>
                  </pic:blipFill>
                  <pic:spPr>
                    <a:xfrm>
                      <a:off x="0" y="0"/>
                      <a:ext cx="6144895" cy="8686800"/>
                    </a:xfrm>
                    <a:prstGeom prst="rect">
                      <a:avLst/>
                    </a:prstGeom>
                  </pic:spPr>
                </pic:pic>
              </a:graphicData>
            </a:graphic>
          </wp:inline>
        </w:drawing>
      </w:r>
    </w:p>
    <w:sdt>
      <w:sdtPr>
        <w:id w:val="-436834890"/>
        <w:docPartObj>
          <w:docPartGallery w:val="Table of Contents"/>
          <w:docPartUnique/>
        </w:docPartObj>
      </w:sdtPr>
      <w:sdtEndPr>
        <w:rPr>
          <w:rFonts w:ascii="Arial" w:eastAsia="Arial" w:hAnsi="Arial" w:cs="Arial"/>
          <w:b/>
          <w:bCs/>
          <w:noProof/>
          <w:color w:val="auto"/>
          <w:sz w:val="22"/>
          <w:szCs w:val="22"/>
          <w:lang w:val="en-AU" w:eastAsia="en-AU"/>
        </w:rPr>
      </w:sdtEndPr>
      <w:sdtContent>
        <w:p w14:paraId="61D653FF" w14:textId="0810BE62" w:rsidR="004B4794" w:rsidRDefault="004B4794">
          <w:pPr>
            <w:pStyle w:val="TOCHeading"/>
          </w:pPr>
          <w:r>
            <w:t>Contents</w:t>
          </w:r>
        </w:p>
        <w:p w14:paraId="7694E9BE" w14:textId="63BC5767"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190816" w:history="1">
            <w:r w:rsidRPr="00590AFC">
              <w:rPr>
                <w:rStyle w:val="Hyperlink"/>
                <w:noProof/>
              </w:rPr>
              <w:t>1.  Why Your Results Are Ranges, Not Answers</w:t>
            </w:r>
            <w:r>
              <w:rPr>
                <w:noProof/>
                <w:webHidden/>
              </w:rPr>
              <w:tab/>
            </w:r>
            <w:r>
              <w:rPr>
                <w:noProof/>
                <w:webHidden/>
              </w:rPr>
              <w:fldChar w:fldCharType="begin"/>
            </w:r>
            <w:r>
              <w:rPr>
                <w:noProof/>
                <w:webHidden/>
              </w:rPr>
              <w:instrText xml:space="preserve"> PAGEREF _Toc223190816 \h </w:instrText>
            </w:r>
            <w:r>
              <w:rPr>
                <w:noProof/>
                <w:webHidden/>
              </w:rPr>
            </w:r>
            <w:r>
              <w:rPr>
                <w:noProof/>
                <w:webHidden/>
              </w:rPr>
              <w:fldChar w:fldCharType="separate"/>
            </w:r>
            <w:r>
              <w:rPr>
                <w:noProof/>
                <w:webHidden/>
              </w:rPr>
              <w:t>3</w:t>
            </w:r>
            <w:r>
              <w:rPr>
                <w:noProof/>
                <w:webHidden/>
              </w:rPr>
              <w:fldChar w:fldCharType="end"/>
            </w:r>
          </w:hyperlink>
        </w:p>
        <w:p w14:paraId="49D8049A" w14:textId="6EC3E1D0"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17" w:history="1">
            <w:r w:rsidRPr="00590AFC">
              <w:rPr>
                <w:rStyle w:val="Hyperlink"/>
                <w:noProof/>
              </w:rPr>
              <w:t>2.  Monte Carlo: Success Rates and Percentile Bands</w:t>
            </w:r>
            <w:r>
              <w:rPr>
                <w:noProof/>
                <w:webHidden/>
              </w:rPr>
              <w:tab/>
            </w:r>
            <w:r>
              <w:rPr>
                <w:noProof/>
                <w:webHidden/>
              </w:rPr>
              <w:fldChar w:fldCharType="begin"/>
            </w:r>
            <w:r>
              <w:rPr>
                <w:noProof/>
                <w:webHidden/>
              </w:rPr>
              <w:instrText xml:space="preserve"> PAGEREF _Toc223190817 \h </w:instrText>
            </w:r>
            <w:r>
              <w:rPr>
                <w:noProof/>
                <w:webHidden/>
              </w:rPr>
            </w:r>
            <w:r>
              <w:rPr>
                <w:noProof/>
                <w:webHidden/>
              </w:rPr>
              <w:fldChar w:fldCharType="separate"/>
            </w:r>
            <w:r>
              <w:rPr>
                <w:noProof/>
                <w:webHidden/>
              </w:rPr>
              <w:t>3</w:t>
            </w:r>
            <w:r>
              <w:rPr>
                <w:noProof/>
                <w:webHidden/>
              </w:rPr>
              <w:fldChar w:fldCharType="end"/>
            </w:r>
          </w:hyperlink>
        </w:p>
        <w:p w14:paraId="7F35550B" w14:textId="7BF0BF6A"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18" w:history="1">
            <w:r w:rsidRPr="00590AFC">
              <w:rPr>
                <w:rStyle w:val="Hyperlink"/>
                <w:noProof/>
              </w:rPr>
              <w:t>2.1  What Is the Success Rate?</w:t>
            </w:r>
            <w:r>
              <w:rPr>
                <w:noProof/>
                <w:webHidden/>
              </w:rPr>
              <w:tab/>
            </w:r>
            <w:r>
              <w:rPr>
                <w:noProof/>
                <w:webHidden/>
              </w:rPr>
              <w:fldChar w:fldCharType="begin"/>
            </w:r>
            <w:r>
              <w:rPr>
                <w:noProof/>
                <w:webHidden/>
              </w:rPr>
              <w:instrText xml:space="preserve"> PAGEREF _Toc223190818 \h </w:instrText>
            </w:r>
            <w:r>
              <w:rPr>
                <w:noProof/>
                <w:webHidden/>
              </w:rPr>
            </w:r>
            <w:r>
              <w:rPr>
                <w:noProof/>
                <w:webHidden/>
              </w:rPr>
              <w:fldChar w:fldCharType="separate"/>
            </w:r>
            <w:r>
              <w:rPr>
                <w:noProof/>
                <w:webHidden/>
              </w:rPr>
              <w:t>3</w:t>
            </w:r>
            <w:r>
              <w:rPr>
                <w:noProof/>
                <w:webHidden/>
              </w:rPr>
              <w:fldChar w:fldCharType="end"/>
            </w:r>
          </w:hyperlink>
        </w:p>
        <w:p w14:paraId="3C0C83AD" w14:textId="499A8720"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19" w:history="1">
            <w:r w:rsidRPr="00590AFC">
              <w:rPr>
                <w:rStyle w:val="Hyperlink"/>
                <w:noProof/>
              </w:rPr>
              <w:t>2.2  Understanding P10, P50, and P90</w:t>
            </w:r>
            <w:r>
              <w:rPr>
                <w:noProof/>
                <w:webHidden/>
              </w:rPr>
              <w:tab/>
            </w:r>
            <w:r>
              <w:rPr>
                <w:noProof/>
                <w:webHidden/>
              </w:rPr>
              <w:fldChar w:fldCharType="begin"/>
            </w:r>
            <w:r>
              <w:rPr>
                <w:noProof/>
                <w:webHidden/>
              </w:rPr>
              <w:instrText xml:space="preserve"> PAGEREF _Toc223190819 \h </w:instrText>
            </w:r>
            <w:r>
              <w:rPr>
                <w:noProof/>
                <w:webHidden/>
              </w:rPr>
            </w:r>
            <w:r>
              <w:rPr>
                <w:noProof/>
                <w:webHidden/>
              </w:rPr>
              <w:fldChar w:fldCharType="separate"/>
            </w:r>
            <w:r>
              <w:rPr>
                <w:noProof/>
                <w:webHidden/>
              </w:rPr>
              <w:t>4</w:t>
            </w:r>
            <w:r>
              <w:rPr>
                <w:noProof/>
                <w:webHidden/>
              </w:rPr>
              <w:fldChar w:fldCharType="end"/>
            </w:r>
          </w:hyperlink>
        </w:p>
        <w:p w14:paraId="47246747" w14:textId="29C7E29A"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0" w:history="1">
            <w:r w:rsidRPr="00590AFC">
              <w:rPr>
                <w:rStyle w:val="Hyperlink"/>
                <w:noProof/>
              </w:rPr>
              <w:t>2.3  Sequence-of-Returns Risk: Why Timing Matters</w:t>
            </w:r>
            <w:r>
              <w:rPr>
                <w:noProof/>
                <w:webHidden/>
              </w:rPr>
              <w:tab/>
            </w:r>
            <w:r>
              <w:rPr>
                <w:noProof/>
                <w:webHidden/>
              </w:rPr>
              <w:fldChar w:fldCharType="begin"/>
            </w:r>
            <w:r>
              <w:rPr>
                <w:noProof/>
                <w:webHidden/>
              </w:rPr>
              <w:instrText xml:space="preserve"> PAGEREF _Toc223190820 \h </w:instrText>
            </w:r>
            <w:r>
              <w:rPr>
                <w:noProof/>
                <w:webHidden/>
              </w:rPr>
            </w:r>
            <w:r>
              <w:rPr>
                <w:noProof/>
                <w:webHidden/>
              </w:rPr>
              <w:fldChar w:fldCharType="separate"/>
            </w:r>
            <w:r>
              <w:rPr>
                <w:noProof/>
                <w:webHidden/>
              </w:rPr>
              <w:t>4</w:t>
            </w:r>
            <w:r>
              <w:rPr>
                <w:noProof/>
                <w:webHidden/>
              </w:rPr>
              <w:fldChar w:fldCharType="end"/>
            </w:r>
          </w:hyperlink>
        </w:p>
        <w:p w14:paraId="5A9AEA0E" w14:textId="4525D5C2"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1" w:history="1">
            <w:r w:rsidRPr="00590AFC">
              <w:rPr>
                <w:rStyle w:val="Hyperlink"/>
                <w:noProof/>
              </w:rPr>
              <w:t>2.4  Historical Monte Carlo vs Parametric Monte Carlo</w:t>
            </w:r>
            <w:r>
              <w:rPr>
                <w:noProof/>
                <w:webHidden/>
              </w:rPr>
              <w:tab/>
            </w:r>
            <w:r>
              <w:rPr>
                <w:noProof/>
                <w:webHidden/>
              </w:rPr>
              <w:fldChar w:fldCharType="begin"/>
            </w:r>
            <w:r>
              <w:rPr>
                <w:noProof/>
                <w:webHidden/>
              </w:rPr>
              <w:instrText xml:space="preserve"> PAGEREF _Toc223190821 \h </w:instrText>
            </w:r>
            <w:r>
              <w:rPr>
                <w:noProof/>
                <w:webHidden/>
              </w:rPr>
            </w:r>
            <w:r>
              <w:rPr>
                <w:noProof/>
                <w:webHidden/>
              </w:rPr>
              <w:fldChar w:fldCharType="separate"/>
            </w:r>
            <w:r>
              <w:rPr>
                <w:noProof/>
                <w:webHidden/>
              </w:rPr>
              <w:t>5</w:t>
            </w:r>
            <w:r>
              <w:rPr>
                <w:noProof/>
                <w:webHidden/>
              </w:rPr>
              <w:fldChar w:fldCharType="end"/>
            </w:r>
          </w:hyperlink>
        </w:p>
        <w:p w14:paraId="0411FE12" w14:textId="57989F5A"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22" w:history="1">
            <w:r w:rsidRPr="00590AFC">
              <w:rPr>
                <w:rStyle w:val="Hyperlink"/>
                <w:noProof/>
              </w:rPr>
              <w:t>3.  Reading the Annual Spending Breakdown Chart</w:t>
            </w:r>
            <w:r>
              <w:rPr>
                <w:noProof/>
                <w:webHidden/>
              </w:rPr>
              <w:tab/>
            </w:r>
            <w:r>
              <w:rPr>
                <w:noProof/>
                <w:webHidden/>
              </w:rPr>
              <w:fldChar w:fldCharType="begin"/>
            </w:r>
            <w:r>
              <w:rPr>
                <w:noProof/>
                <w:webHidden/>
              </w:rPr>
              <w:instrText xml:space="preserve"> PAGEREF _Toc223190822 \h </w:instrText>
            </w:r>
            <w:r>
              <w:rPr>
                <w:noProof/>
                <w:webHidden/>
              </w:rPr>
            </w:r>
            <w:r>
              <w:rPr>
                <w:noProof/>
                <w:webHidden/>
              </w:rPr>
              <w:fldChar w:fldCharType="separate"/>
            </w:r>
            <w:r>
              <w:rPr>
                <w:noProof/>
                <w:webHidden/>
              </w:rPr>
              <w:t>5</w:t>
            </w:r>
            <w:r>
              <w:rPr>
                <w:noProof/>
                <w:webHidden/>
              </w:rPr>
              <w:fldChar w:fldCharType="end"/>
            </w:r>
          </w:hyperlink>
        </w:p>
        <w:p w14:paraId="414CA9FE" w14:textId="75F2BD4B"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3" w:history="1">
            <w:r w:rsidRPr="00590AFC">
              <w:rPr>
                <w:rStyle w:val="Hyperlink"/>
                <w:noProof/>
              </w:rPr>
              <w:t>3.1  What the Colours Mean</w:t>
            </w:r>
            <w:r>
              <w:rPr>
                <w:noProof/>
                <w:webHidden/>
              </w:rPr>
              <w:tab/>
            </w:r>
            <w:r>
              <w:rPr>
                <w:noProof/>
                <w:webHidden/>
              </w:rPr>
              <w:fldChar w:fldCharType="begin"/>
            </w:r>
            <w:r>
              <w:rPr>
                <w:noProof/>
                <w:webHidden/>
              </w:rPr>
              <w:instrText xml:space="preserve"> PAGEREF _Toc223190823 \h </w:instrText>
            </w:r>
            <w:r>
              <w:rPr>
                <w:noProof/>
                <w:webHidden/>
              </w:rPr>
            </w:r>
            <w:r>
              <w:rPr>
                <w:noProof/>
                <w:webHidden/>
              </w:rPr>
              <w:fldChar w:fldCharType="separate"/>
            </w:r>
            <w:r>
              <w:rPr>
                <w:noProof/>
                <w:webHidden/>
              </w:rPr>
              <w:t>5</w:t>
            </w:r>
            <w:r>
              <w:rPr>
                <w:noProof/>
                <w:webHidden/>
              </w:rPr>
              <w:fldChar w:fldCharType="end"/>
            </w:r>
          </w:hyperlink>
        </w:p>
        <w:p w14:paraId="35224A9E" w14:textId="6110D067"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4" w:history="1">
            <w:r w:rsidRPr="00590AFC">
              <w:rPr>
                <w:rStyle w:val="Hyperlink"/>
                <w:noProof/>
              </w:rPr>
              <w:t>3.2  Healthy vs. Concerning Patterns</w:t>
            </w:r>
            <w:r>
              <w:rPr>
                <w:noProof/>
                <w:webHidden/>
              </w:rPr>
              <w:tab/>
            </w:r>
            <w:r>
              <w:rPr>
                <w:noProof/>
                <w:webHidden/>
              </w:rPr>
              <w:fldChar w:fldCharType="begin"/>
            </w:r>
            <w:r>
              <w:rPr>
                <w:noProof/>
                <w:webHidden/>
              </w:rPr>
              <w:instrText xml:space="preserve"> PAGEREF _Toc223190824 \h </w:instrText>
            </w:r>
            <w:r>
              <w:rPr>
                <w:noProof/>
                <w:webHidden/>
              </w:rPr>
            </w:r>
            <w:r>
              <w:rPr>
                <w:noProof/>
                <w:webHidden/>
              </w:rPr>
              <w:fldChar w:fldCharType="separate"/>
            </w:r>
            <w:r>
              <w:rPr>
                <w:noProof/>
                <w:webHidden/>
              </w:rPr>
              <w:t>5</w:t>
            </w:r>
            <w:r>
              <w:rPr>
                <w:noProof/>
                <w:webHidden/>
              </w:rPr>
              <w:fldChar w:fldCharType="end"/>
            </w:r>
          </w:hyperlink>
        </w:p>
        <w:p w14:paraId="7F9564F7" w14:textId="7694CF0B"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5" w:history="1">
            <w:r w:rsidRPr="00590AFC">
              <w:rPr>
                <w:rStyle w:val="Hyperlink"/>
                <w:noProof/>
              </w:rPr>
              <w:t>3.3  What a Solid Income Floor Looks Like</w:t>
            </w:r>
            <w:r>
              <w:rPr>
                <w:noProof/>
                <w:webHidden/>
              </w:rPr>
              <w:tab/>
            </w:r>
            <w:r>
              <w:rPr>
                <w:noProof/>
                <w:webHidden/>
              </w:rPr>
              <w:fldChar w:fldCharType="begin"/>
            </w:r>
            <w:r>
              <w:rPr>
                <w:noProof/>
                <w:webHidden/>
              </w:rPr>
              <w:instrText xml:space="preserve"> PAGEREF _Toc223190825 \h </w:instrText>
            </w:r>
            <w:r>
              <w:rPr>
                <w:noProof/>
                <w:webHidden/>
              </w:rPr>
            </w:r>
            <w:r>
              <w:rPr>
                <w:noProof/>
                <w:webHidden/>
              </w:rPr>
              <w:fldChar w:fldCharType="separate"/>
            </w:r>
            <w:r>
              <w:rPr>
                <w:noProof/>
                <w:webHidden/>
              </w:rPr>
              <w:t>6</w:t>
            </w:r>
            <w:r>
              <w:rPr>
                <w:noProof/>
                <w:webHidden/>
              </w:rPr>
              <w:fldChar w:fldCharType="end"/>
            </w:r>
          </w:hyperlink>
        </w:p>
        <w:p w14:paraId="214F4235" w14:textId="02A36313"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26" w:history="1">
            <w:r w:rsidRPr="00590AFC">
              <w:rPr>
                <w:rStyle w:val="Hyperlink"/>
                <w:noProof/>
              </w:rPr>
              <w:t>4.  Reading the Formal Stress Test Results</w:t>
            </w:r>
            <w:r>
              <w:rPr>
                <w:noProof/>
                <w:webHidden/>
              </w:rPr>
              <w:tab/>
            </w:r>
            <w:r>
              <w:rPr>
                <w:noProof/>
                <w:webHidden/>
              </w:rPr>
              <w:fldChar w:fldCharType="begin"/>
            </w:r>
            <w:r>
              <w:rPr>
                <w:noProof/>
                <w:webHidden/>
              </w:rPr>
              <w:instrText xml:space="preserve"> PAGEREF _Toc223190826 \h </w:instrText>
            </w:r>
            <w:r>
              <w:rPr>
                <w:noProof/>
                <w:webHidden/>
              </w:rPr>
            </w:r>
            <w:r>
              <w:rPr>
                <w:noProof/>
                <w:webHidden/>
              </w:rPr>
              <w:fldChar w:fldCharType="separate"/>
            </w:r>
            <w:r>
              <w:rPr>
                <w:noProof/>
                <w:webHidden/>
              </w:rPr>
              <w:t>6</w:t>
            </w:r>
            <w:r>
              <w:rPr>
                <w:noProof/>
                <w:webHidden/>
              </w:rPr>
              <w:fldChar w:fldCharType="end"/>
            </w:r>
          </w:hyperlink>
        </w:p>
        <w:p w14:paraId="78ABA313" w14:textId="4D8A162E"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7" w:history="1">
            <w:r w:rsidRPr="00590AFC">
              <w:rPr>
                <w:rStyle w:val="Hyperlink"/>
                <w:noProof/>
              </w:rPr>
              <w:t>4.1  What Each Test Is Probing</w:t>
            </w:r>
            <w:r>
              <w:rPr>
                <w:noProof/>
                <w:webHidden/>
              </w:rPr>
              <w:tab/>
            </w:r>
            <w:r>
              <w:rPr>
                <w:noProof/>
                <w:webHidden/>
              </w:rPr>
              <w:fldChar w:fldCharType="begin"/>
            </w:r>
            <w:r>
              <w:rPr>
                <w:noProof/>
                <w:webHidden/>
              </w:rPr>
              <w:instrText xml:space="preserve"> PAGEREF _Toc223190827 \h </w:instrText>
            </w:r>
            <w:r>
              <w:rPr>
                <w:noProof/>
                <w:webHidden/>
              </w:rPr>
            </w:r>
            <w:r>
              <w:rPr>
                <w:noProof/>
                <w:webHidden/>
              </w:rPr>
              <w:fldChar w:fldCharType="separate"/>
            </w:r>
            <w:r>
              <w:rPr>
                <w:noProof/>
                <w:webHidden/>
              </w:rPr>
              <w:t>7</w:t>
            </w:r>
            <w:r>
              <w:rPr>
                <w:noProof/>
                <w:webHidden/>
              </w:rPr>
              <w:fldChar w:fldCharType="end"/>
            </w:r>
          </w:hyperlink>
        </w:p>
        <w:p w14:paraId="6B9BF61A" w14:textId="1DEEB61A"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28" w:history="1">
            <w:r w:rsidRPr="00590AFC">
              <w:rPr>
                <w:rStyle w:val="Hyperlink"/>
                <w:noProof/>
              </w:rPr>
              <w:t>4.2  How to Read Your Stress Test Results Together</w:t>
            </w:r>
            <w:r>
              <w:rPr>
                <w:noProof/>
                <w:webHidden/>
              </w:rPr>
              <w:tab/>
            </w:r>
            <w:r>
              <w:rPr>
                <w:noProof/>
                <w:webHidden/>
              </w:rPr>
              <w:fldChar w:fldCharType="begin"/>
            </w:r>
            <w:r>
              <w:rPr>
                <w:noProof/>
                <w:webHidden/>
              </w:rPr>
              <w:instrText xml:space="preserve"> PAGEREF _Toc223190828 \h </w:instrText>
            </w:r>
            <w:r>
              <w:rPr>
                <w:noProof/>
                <w:webHidden/>
              </w:rPr>
            </w:r>
            <w:r>
              <w:rPr>
                <w:noProof/>
                <w:webHidden/>
              </w:rPr>
              <w:fldChar w:fldCharType="separate"/>
            </w:r>
            <w:r>
              <w:rPr>
                <w:noProof/>
                <w:webHidden/>
              </w:rPr>
              <w:t>7</w:t>
            </w:r>
            <w:r>
              <w:rPr>
                <w:noProof/>
                <w:webHidden/>
              </w:rPr>
              <w:fldChar w:fldCharType="end"/>
            </w:r>
          </w:hyperlink>
        </w:p>
        <w:p w14:paraId="593D3A5B" w14:textId="71806024"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29" w:history="1">
            <w:r w:rsidRPr="00590AFC">
              <w:rPr>
                <w:rStyle w:val="Hyperlink"/>
                <w:noProof/>
              </w:rPr>
              <w:t>5.  Age Pension: When It Kicks In and What It Means</w:t>
            </w:r>
            <w:r>
              <w:rPr>
                <w:noProof/>
                <w:webHidden/>
              </w:rPr>
              <w:tab/>
            </w:r>
            <w:r>
              <w:rPr>
                <w:noProof/>
                <w:webHidden/>
              </w:rPr>
              <w:fldChar w:fldCharType="begin"/>
            </w:r>
            <w:r>
              <w:rPr>
                <w:noProof/>
                <w:webHidden/>
              </w:rPr>
              <w:instrText xml:space="preserve"> PAGEREF _Toc223190829 \h </w:instrText>
            </w:r>
            <w:r>
              <w:rPr>
                <w:noProof/>
                <w:webHidden/>
              </w:rPr>
            </w:r>
            <w:r>
              <w:rPr>
                <w:noProof/>
                <w:webHidden/>
              </w:rPr>
              <w:fldChar w:fldCharType="separate"/>
            </w:r>
            <w:r>
              <w:rPr>
                <w:noProof/>
                <w:webHidden/>
              </w:rPr>
              <w:t>8</w:t>
            </w:r>
            <w:r>
              <w:rPr>
                <w:noProof/>
                <w:webHidden/>
              </w:rPr>
              <w:fldChar w:fldCharType="end"/>
            </w:r>
          </w:hyperlink>
        </w:p>
        <w:p w14:paraId="1CF49917" w14:textId="2CEED541"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0" w:history="1">
            <w:r w:rsidRPr="00590AFC">
              <w:rPr>
                <w:rStyle w:val="Hyperlink"/>
                <w:noProof/>
              </w:rPr>
              <w:t>5.1  How Eligibility Works</w:t>
            </w:r>
            <w:r>
              <w:rPr>
                <w:noProof/>
                <w:webHidden/>
              </w:rPr>
              <w:tab/>
            </w:r>
            <w:r>
              <w:rPr>
                <w:noProof/>
                <w:webHidden/>
              </w:rPr>
              <w:fldChar w:fldCharType="begin"/>
            </w:r>
            <w:r>
              <w:rPr>
                <w:noProof/>
                <w:webHidden/>
              </w:rPr>
              <w:instrText xml:space="preserve"> PAGEREF _Toc223190830 \h </w:instrText>
            </w:r>
            <w:r>
              <w:rPr>
                <w:noProof/>
                <w:webHidden/>
              </w:rPr>
            </w:r>
            <w:r>
              <w:rPr>
                <w:noProof/>
                <w:webHidden/>
              </w:rPr>
              <w:fldChar w:fldCharType="separate"/>
            </w:r>
            <w:r>
              <w:rPr>
                <w:noProof/>
                <w:webHidden/>
              </w:rPr>
              <w:t>8</w:t>
            </w:r>
            <w:r>
              <w:rPr>
                <w:noProof/>
                <w:webHidden/>
              </w:rPr>
              <w:fldChar w:fldCharType="end"/>
            </w:r>
          </w:hyperlink>
        </w:p>
        <w:p w14:paraId="6EA1CDA3" w14:textId="50B480A2"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1" w:history="1">
            <w:r w:rsidRPr="00590AFC">
              <w:rPr>
                <w:rStyle w:val="Hyperlink"/>
                <w:noProof/>
              </w:rPr>
              <w:t>5.2  The Natural Increase Pattern</w:t>
            </w:r>
            <w:r>
              <w:rPr>
                <w:noProof/>
                <w:webHidden/>
              </w:rPr>
              <w:tab/>
            </w:r>
            <w:r>
              <w:rPr>
                <w:noProof/>
                <w:webHidden/>
              </w:rPr>
              <w:fldChar w:fldCharType="begin"/>
            </w:r>
            <w:r>
              <w:rPr>
                <w:noProof/>
                <w:webHidden/>
              </w:rPr>
              <w:instrText xml:space="preserve"> PAGEREF _Toc223190831 \h </w:instrText>
            </w:r>
            <w:r>
              <w:rPr>
                <w:noProof/>
                <w:webHidden/>
              </w:rPr>
            </w:r>
            <w:r>
              <w:rPr>
                <w:noProof/>
                <w:webHidden/>
              </w:rPr>
              <w:fldChar w:fldCharType="separate"/>
            </w:r>
            <w:r>
              <w:rPr>
                <w:noProof/>
                <w:webHidden/>
              </w:rPr>
              <w:t>9</w:t>
            </w:r>
            <w:r>
              <w:rPr>
                <w:noProof/>
                <w:webHidden/>
              </w:rPr>
              <w:fldChar w:fldCharType="end"/>
            </w:r>
          </w:hyperlink>
        </w:p>
        <w:p w14:paraId="505ACE97" w14:textId="1C3D4539"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2" w:history="1">
            <w:r w:rsidRPr="00590AFC">
              <w:rPr>
                <w:rStyle w:val="Hyperlink"/>
                <w:noProof/>
              </w:rPr>
              <w:t>5.3  Couples vs Singles</w:t>
            </w:r>
            <w:r>
              <w:rPr>
                <w:noProof/>
                <w:webHidden/>
              </w:rPr>
              <w:tab/>
            </w:r>
            <w:r>
              <w:rPr>
                <w:noProof/>
                <w:webHidden/>
              </w:rPr>
              <w:fldChar w:fldCharType="begin"/>
            </w:r>
            <w:r>
              <w:rPr>
                <w:noProof/>
                <w:webHidden/>
              </w:rPr>
              <w:instrText xml:space="preserve"> PAGEREF _Toc223190832 \h </w:instrText>
            </w:r>
            <w:r>
              <w:rPr>
                <w:noProof/>
                <w:webHidden/>
              </w:rPr>
            </w:r>
            <w:r>
              <w:rPr>
                <w:noProof/>
                <w:webHidden/>
              </w:rPr>
              <w:fldChar w:fldCharType="separate"/>
            </w:r>
            <w:r>
              <w:rPr>
                <w:noProof/>
                <w:webHidden/>
              </w:rPr>
              <w:t>9</w:t>
            </w:r>
            <w:r>
              <w:rPr>
                <w:noProof/>
                <w:webHidden/>
              </w:rPr>
              <w:fldChar w:fldCharType="end"/>
            </w:r>
          </w:hyperlink>
        </w:p>
        <w:p w14:paraId="46B451BE" w14:textId="7E6A1474"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3" w:history="1">
            <w:r w:rsidRPr="00590AFC">
              <w:rPr>
                <w:rStyle w:val="Hyperlink"/>
                <w:noProof/>
              </w:rPr>
              <w:t>5.4  What the Work Bonus Does</w:t>
            </w:r>
            <w:r>
              <w:rPr>
                <w:noProof/>
                <w:webHidden/>
              </w:rPr>
              <w:tab/>
            </w:r>
            <w:r>
              <w:rPr>
                <w:noProof/>
                <w:webHidden/>
              </w:rPr>
              <w:fldChar w:fldCharType="begin"/>
            </w:r>
            <w:r>
              <w:rPr>
                <w:noProof/>
                <w:webHidden/>
              </w:rPr>
              <w:instrText xml:space="preserve"> PAGEREF _Toc223190833 \h </w:instrText>
            </w:r>
            <w:r>
              <w:rPr>
                <w:noProof/>
                <w:webHidden/>
              </w:rPr>
            </w:r>
            <w:r>
              <w:rPr>
                <w:noProof/>
                <w:webHidden/>
              </w:rPr>
              <w:fldChar w:fldCharType="separate"/>
            </w:r>
            <w:r>
              <w:rPr>
                <w:noProof/>
                <w:webHidden/>
              </w:rPr>
              <w:t>9</w:t>
            </w:r>
            <w:r>
              <w:rPr>
                <w:noProof/>
                <w:webHidden/>
              </w:rPr>
              <w:fldChar w:fldCharType="end"/>
            </w:r>
          </w:hyperlink>
        </w:p>
        <w:p w14:paraId="0EB0CC87" w14:textId="779A7A3F"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34" w:history="1">
            <w:r w:rsidRPr="00590AFC">
              <w:rPr>
                <w:rStyle w:val="Hyperlink"/>
                <w:noProof/>
              </w:rPr>
              <w:t>6.  The Ending Balance: How Much Is Enough?</w:t>
            </w:r>
            <w:r>
              <w:rPr>
                <w:noProof/>
                <w:webHidden/>
              </w:rPr>
              <w:tab/>
            </w:r>
            <w:r>
              <w:rPr>
                <w:noProof/>
                <w:webHidden/>
              </w:rPr>
              <w:fldChar w:fldCharType="begin"/>
            </w:r>
            <w:r>
              <w:rPr>
                <w:noProof/>
                <w:webHidden/>
              </w:rPr>
              <w:instrText xml:space="preserve"> PAGEREF _Toc223190834 \h </w:instrText>
            </w:r>
            <w:r>
              <w:rPr>
                <w:noProof/>
                <w:webHidden/>
              </w:rPr>
            </w:r>
            <w:r>
              <w:rPr>
                <w:noProof/>
                <w:webHidden/>
              </w:rPr>
              <w:fldChar w:fldCharType="separate"/>
            </w:r>
            <w:r>
              <w:rPr>
                <w:noProof/>
                <w:webHidden/>
              </w:rPr>
              <w:t>10</w:t>
            </w:r>
            <w:r>
              <w:rPr>
                <w:noProof/>
                <w:webHidden/>
              </w:rPr>
              <w:fldChar w:fldCharType="end"/>
            </w:r>
          </w:hyperlink>
        </w:p>
        <w:p w14:paraId="2FA31D1A" w14:textId="3D8AA6DF"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5" w:history="1">
            <w:r w:rsidRPr="00590AFC">
              <w:rPr>
                <w:rStyle w:val="Hyperlink"/>
                <w:noProof/>
              </w:rPr>
              <w:t>6.1  What a Large Ending Balance Actually Means</w:t>
            </w:r>
            <w:r>
              <w:rPr>
                <w:noProof/>
                <w:webHidden/>
              </w:rPr>
              <w:tab/>
            </w:r>
            <w:r>
              <w:rPr>
                <w:noProof/>
                <w:webHidden/>
              </w:rPr>
              <w:fldChar w:fldCharType="begin"/>
            </w:r>
            <w:r>
              <w:rPr>
                <w:noProof/>
                <w:webHidden/>
              </w:rPr>
              <w:instrText xml:space="preserve"> PAGEREF _Toc223190835 \h </w:instrText>
            </w:r>
            <w:r>
              <w:rPr>
                <w:noProof/>
                <w:webHidden/>
              </w:rPr>
            </w:r>
            <w:r>
              <w:rPr>
                <w:noProof/>
                <w:webHidden/>
              </w:rPr>
              <w:fldChar w:fldCharType="separate"/>
            </w:r>
            <w:r>
              <w:rPr>
                <w:noProof/>
                <w:webHidden/>
              </w:rPr>
              <w:t>10</w:t>
            </w:r>
            <w:r>
              <w:rPr>
                <w:noProof/>
                <w:webHidden/>
              </w:rPr>
              <w:fldChar w:fldCharType="end"/>
            </w:r>
          </w:hyperlink>
        </w:p>
        <w:p w14:paraId="1FA041EB" w14:textId="5E14AE2E"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6" w:history="1">
            <w:r w:rsidRPr="00590AFC">
              <w:rPr>
                <w:rStyle w:val="Hyperlink"/>
                <w:noProof/>
              </w:rPr>
              <w:t>6.2  Interpreting Zero or Near-Zero Endings</w:t>
            </w:r>
            <w:r>
              <w:rPr>
                <w:noProof/>
                <w:webHidden/>
              </w:rPr>
              <w:tab/>
            </w:r>
            <w:r>
              <w:rPr>
                <w:noProof/>
                <w:webHidden/>
              </w:rPr>
              <w:fldChar w:fldCharType="begin"/>
            </w:r>
            <w:r>
              <w:rPr>
                <w:noProof/>
                <w:webHidden/>
              </w:rPr>
              <w:instrText xml:space="preserve"> PAGEREF _Toc223190836 \h </w:instrText>
            </w:r>
            <w:r>
              <w:rPr>
                <w:noProof/>
                <w:webHidden/>
              </w:rPr>
            </w:r>
            <w:r>
              <w:rPr>
                <w:noProof/>
                <w:webHidden/>
              </w:rPr>
              <w:fldChar w:fldCharType="separate"/>
            </w:r>
            <w:r>
              <w:rPr>
                <w:noProof/>
                <w:webHidden/>
              </w:rPr>
              <w:t>10</w:t>
            </w:r>
            <w:r>
              <w:rPr>
                <w:noProof/>
                <w:webHidden/>
              </w:rPr>
              <w:fldChar w:fldCharType="end"/>
            </w:r>
          </w:hyperlink>
        </w:p>
        <w:p w14:paraId="620D952F" w14:textId="57E92C37"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7" w:history="1">
            <w:r w:rsidRPr="00590AFC">
              <w:rPr>
                <w:rStyle w:val="Hyperlink"/>
                <w:noProof/>
              </w:rPr>
              <w:t>6.3  A Practical Framework for Evaluating Your Ending Balance</w:t>
            </w:r>
            <w:r>
              <w:rPr>
                <w:noProof/>
                <w:webHidden/>
              </w:rPr>
              <w:tab/>
            </w:r>
            <w:r>
              <w:rPr>
                <w:noProof/>
                <w:webHidden/>
              </w:rPr>
              <w:fldChar w:fldCharType="begin"/>
            </w:r>
            <w:r>
              <w:rPr>
                <w:noProof/>
                <w:webHidden/>
              </w:rPr>
              <w:instrText xml:space="preserve"> PAGEREF _Toc223190837 \h </w:instrText>
            </w:r>
            <w:r>
              <w:rPr>
                <w:noProof/>
                <w:webHidden/>
              </w:rPr>
            </w:r>
            <w:r>
              <w:rPr>
                <w:noProof/>
                <w:webHidden/>
              </w:rPr>
              <w:fldChar w:fldCharType="separate"/>
            </w:r>
            <w:r>
              <w:rPr>
                <w:noProof/>
                <w:webHidden/>
              </w:rPr>
              <w:t>10</w:t>
            </w:r>
            <w:r>
              <w:rPr>
                <w:noProof/>
                <w:webHidden/>
              </w:rPr>
              <w:fldChar w:fldCharType="end"/>
            </w:r>
          </w:hyperlink>
        </w:p>
        <w:p w14:paraId="3E210A7C" w14:textId="15E88D45"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38" w:history="1">
            <w:r w:rsidRPr="00590AFC">
              <w:rPr>
                <w:rStyle w:val="Hyperlink"/>
                <w:noProof/>
              </w:rPr>
              <w:t>6.4  The Legacy Question</w:t>
            </w:r>
            <w:r>
              <w:rPr>
                <w:noProof/>
                <w:webHidden/>
              </w:rPr>
              <w:tab/>
            </w:r>
            <w:r>
              <w:rPr>
                <w:noProof/>
                <w:webHidden/>
              </w:rPr>
              <w:fldChar w:fldCharType="begin"/>
            </w:r>
            <w:r>
              <w:rPr>
                <w:noProof/>
                <w:webHidden/>
              </w:rPr>
              <w:instrText xml:space="preserve"> PAGEREF _Toc223190838 \h </w:instrText>
            </w:r>
            <w:r>
              <w:rPr>
                <w:noProof/>
                <w:webHidden/>
              </w:rPr>
            </w:r>
            <w:r>
              <w:rPr>
                <w:noProof/>
                <w:webHidden/>
              </w:rPr>
              <w:fldChar w:fldCharType="separate"/>
            </w:r>
            <w:r>
              <w:rPr>
                <w:noProof/>
                <w:webHidden/>
              </w:rPr>
              <w:t>11</w:t>
            </w:r>
            <w:r>
              <w:rPr>
                <w:noProof/>
                <w:webHidden/>
              </w:rPr>
              <w:fldChar w:fldCharType="end"/>
            </w:r>
          </w:hyperlink>
        </w:p>
        <w:p w14:paraId="149C0BCB" w14:textId="76A026AA"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39" w:history="1">
            <w:r w:rsidRPr="00590AFC">
              <w:rPr>
                <w:rStyle w:val="Hyperlink"/>
                <w:noProof/>
              </w:rPr>
              <w:t>7.  Common Result Patterns and What They Diagnose</w:t>
            </w:r>
            <w:r>
              <w:rPr>
                <w:noProof/>
                <w:webHidden/>
              </w:rPr>
              <w:tab/>
            </w:r>
            <w:r>
              <w:rPr>
                <w:noProof/>
                <w:webHidden/>
              </w:rPr>
              <w:fldChar w:fldCharType="begin"/>
            </w:r>
            <w:r>
              <w:rPr>
                <w:noProof/>
                <w:webHidden/>
              </w:rPr>
              <w:instrText xml:space="preserve"> PAGEREF _Toc223190839 \h </w:instrText>
            </w:r>
            <w:r>
              <w:rPr>
                <w:noProof/>
                <w:webHidden/>
              </w:rPr>
            </w:r>
            <w:r>
              <w:rPr>
                <w:noProof/>
                <w:webHidden/>
              </w:rPr>
              <w:fldChar w:fldCharType="separate"/>
            </w:r>
            <w:r>
              <w:rPr>
                <w:noProof/>
                <w:webHidden/>
              </w:rPr>
              <w:t>11</w:t>
            </w:r>
            <w:r>
              <w:rPr>
                <w:noProof/>
                <w:webHidden/>
              </w:rPr>
              <w:fldChar w:fldCharType="end"/>
            </w:r>
          </w:hyperlink>
        </w:p>
        <w:p w14:paraId="417D2EEE" w14:textId="63E2A8AB"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0" w:history="1">
            <w:r w:rsidRPr="00590AFC">
              <w:rPr>
                <w:rStyle w:val="Hyperlink"/>
                <w:noProof/>
              </w:rPr>
              <w:t>Pattern A: "Cliff Edge" — Good Until It Isn't</w:t>
            </w:r>
            <w:r>
              <w:rPr>
                <w:noProof/>
                <w:webHidden/>
              </w:rPr>
              <w:tab/>
            </w:r>
            <w:r>
              <w:rPr>
                <w:noProof/>
                <w:webHidden/>
              </w:rPr>
              <w:fldChar w:fldCharType="begin"/>
            </w:r>
            <w:r>
              <w:rPr>
                <w:noProof/>
                <w:webHidden/>
              </w:rPr>
              <w:instrText xml:space="preserve"> PAGEREF _Toc223190840 \h </w:instrText>
            </w:r>
            <w:r>
              <w:rPr>
                <w:noProof/>
                <w:webHidden/>
              </w:rPr>
            </w:r>
            <w:r>
              <w:rPr>
                <w:noProof/>
                <w:webHidden/>
              </w:rPr>
              <w:fldChar w:fldCharType="separate"/>
            </w:r>
            <w:r>
              <w:rPr>
                <w:noProof/>
                <w:webHidden/>
              </w:rPr>
              <w:t>11</w:t>
            </w:r>
            <w:r>
              <w:rPr>
                <w:noProof/>
                <w:webHidden/>
              </w:rPr>
              <w:fldChar w:fldCharType="end"/>
            </w:r>
          </w:hyperlink>
        </w:p>
        <w:p w14:paraId="7A7E4589" w14:textId="4DF9542B"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1" w:history="1">
            <w:r w:rsidRPr="00590AFC">
              <w:rPr>
                <w:rStyle w:val="Hyperlink"/>
                <w:noProof/>
              </w:rPr>
              <w:t>Pattern B: "Good Middle, Rough Ends" — The Monte Carlo Fan</w:t>
            </w:r>
            <w:r>
              <w:rPr>
                <w:noProof/>
                <w:webHidden/>
              </w:rPr>
              <w:tab/>
            </w:r>
            <w:r>
              <w:rPr>
                <w:noProof/>
                <w:webHidden/>
              </w:rPr>
              <w:fldChar w:fldCharType="begin"/>
            </w:r>
            <w:r>
              <w:rPr>
                <w:noProof/>
                <w:webHidden/>
              </w:rPr>
              <w:instrText xml:space="preserve"> PAGEREF _Toc223190841 \h </w:instrText>
            </w:r>
            <w:r>
              <w:rPr>
                <w:noProof/>
                <w:webHidden/>
              </w:rPr>
            </w:r>
            <w:r>
              <w:rPr>
                <w:noProof/>
                <w:webHidden/>
              </w:rPr>
              <w:fldChar w:fldCharType="separate"/>
            </w:r>
            <w:r>
              <w:rPr>
                <w:noProof/>
                <w:webHidden/>
              </w:rPr>
              <w:t>11</w:t>
            </w:r>
            <w:r>
              <w:rPr>
                <w:noProof/>
                <w:webHidden/>
              </w:rPr>
              <w:fldChar w:fldCharType="end"/>
            </w:r>
          </w:hyperlink>
        </w:p>
        <w:p w14:paraId="593E9A3F" w14:textId="49624D00"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2" w:history="1">
            <w:r w:rsidRPr="00590AFC">
              <w:rPr>
                <w:rStyle w:val="Hyperlink"/>
                <w:noProof/>
              </w:rPr>
              <w:t>Pattern C: "Survivor" — Large Surplus Despite Stress Tests</w:t>
            </w:r>
            <w:r>
              <w:rPr>
                <w:noProof/>
                <w:webHidden/>
              </w:rPr>
              <w:tab/>
            </w:r>
            <w:r>
              <w:rPr>
                <w:noProof/>
                <w:webHidden/>
              </w:rPr>
              <w:fldChar w:fldCharType="begin"/>
            </w:r>
            <w:r>
              <w:rPr>
                <w:noProof/>
                <w:webHidden/>
              </w:rPr>
              <w:instrText xml:space="preserve"> PAGEREF _Toc223190842 \h </w:instrText>
            </w:r>
            <w:r>
              <w:rPr>
                <w:noProof/>
                <w:webHidden/>
              </w:rPr>
            </w:r>
            <w:r>
              <w:rPr>
                <w:noProof/>
                <w:webHidden/>
              </w:rPr>
              <w:fldChar w:fldCharType="separate"/>
            </w:r>
            <w:r>
              <w:rPr>
                <w:noProof/>
                <w:webHidden/>
              </w:rPr>
              <w:t>12</w:t>
            </w:r>
            <w:r>
              <w:rPr>
                <w:noProof/>
                <w:webHidden/>
              </w:rPr>
              <w:fldChar w:fldCharType="end"/>
            </w:r>
          </w:hyperlink>
        </w:p>
        <w:p w14:paraId="51B037EE" w14:textId="7AF2D553"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3" w:history="1">
            <w:r w:rsidRPr="00590AFC">
              <w:rPr>
                <w:rStyle w:val="Hyperlink"/>
                <w:noProof/>
              </w:rPr>
              <w:t>Pattern D: "Works on Paper, Fails Under Stress" — The Brittle Plan</w:t>
            </w:r>
            <w:r>
              <w:rPr>
                <w:noProof/>
                <w:webHidden/>
              </w:rPr>
              <w:tab/>
            </w:r>
            <w:r>
              <w:rPr>
                <w:noProof/>
                <w:webHidden/>
              </w:rPr>
              <w:fldChar w:fldCharType="begin"/>
            </w:r>
            <w:r>
              <w:rPr>
                <w:noProof/>
                <w:webHidden/>
              </w:rPr>
              <w:instrText xml:space="preserve"> PAGEREF _Toc223190843 \h </w:instrText>
            </w:r>
            <w:r>
              <w:rPr>
                <w:noProof/>
                <w:webHidden/>
              </w:rPr>
            </w:r>
            <w:r>
              <w:rPr>
                <w:noProof/>
                <w:webHidden/>
              </w:rPr>
              <w:fldChar w:fldCharType="separate"/>
            </w:r>
            <w:r>
              <w:rPr>
                <w:noProof/>
                <w:webHidden/>
              </w:rPr>
              <w:t>12</w:t>
            </w:r>
            <w:r>
              <w:rPr>
                <w:noProof/>
                <w:webHidden/>
              </w:rPr>
              <w:fldChar w:fldCharType="end"/>
            </w:r>
          </w:hyperlink>
        </w:p>
        <w:p w14:paraId="705E8584" w14:textId="767A8F70"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44" w:history="1">
            <w:r w:rsidRPr="00590AFC">
              <w:rPr>
                <w:rStyle w:val="Hyperlink"/>
                <w:noProof/>
              </w:rPr>
              <w:t>8.  Sensitivity Analysis: Testing Return and Spending Assumptions</w:t>
            </w:r>
            <w:r>
              <w:rPr>
                <w:noProof/>
                <w:webHidden/>
              </w:rPr>
              <w:tab/>
            </w:r>
            <w:r>
              <w:rPr>
                <w:noProof/>
                <w:webHidden/>
              </w:rPr>
              <w:fldChar w:fldCharType="begin"/>
            </w:r>
            <w:r>
              <w:rPr>
                <w:noProof/>
                <w:webHidden/>
              </w:rPr>
              <w:instrText xml:space="preserve"> PAGEREF _Toc223190844 \h </w:instrText>
            </w:r>
            <w:r>
              <w:rPr>
                <w:noProof/>
                <w:webHidden/>
              </w:rPr>
            </w:r>
            <w:r>
              <w:rPr>
                <w:noProof/>
                <w:webHidden/>
              </w:rPr>
              <w:fldChar w:fldCharType="separate"/>
            </w:r>
            <w:r>
              <w:rPr>
                <w:noProof/>
                <w:webHidden/>
              </w:rPr>
              <w:t>12</w:t>
            </w:r>
            <w:r>
              <w:rPr>
                <w:noProof/>
                <w:webHidden/>
              </w:rPr>
              <w:fldChar w:fldCharType="end"/>
            </w:r>
          </w:hyperlink>
        </w:p>
        <w:p w14:paraId="753513E8" w14:textId="13025110"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5" w:history="1">
            <w:r w:rsidRPr="00590AFC">
              <w:rPr>
                <w:rStyle w:val="Hyperlink"/>
                <w:noProof/>
              </w:rPr>
              <w:t>8.1  What the Grid Shows</w:t>
            </w:r>
            <w:r>
              <w:rPr>
                <w:noProof/>
                <w:webHidden/>
              </w:rPr>
              <w:tab/>
            </w:r>
            <w:r>
              <w:rPr>
                <w:noProof/>
                <w:webHidden/>
              </w:rPr>
              <w:fldChar w:fldCharType="begin"/>
            </w:r>
            <w:r>
              <w:rPr>
                <w:noProof/>
                <w:webHidden/>
              </w:rPr>
              <w:instrText xml:space="preserve"> PAGEREF _Toc223190845 \h </w:instrText>
            </w:r>
            <w:r>
              <w:rPr>
                <w:noProof/>
                <w:webHidden/>
              </w:rPr>
            </w:r>
            <w:r>
              <w:rPr>
                <w:noProof/>
                <w:webHidden/>
              </w:rPr>
              <w:fldChar w:fldCharType="separate"/>
            </w:r>
            <w:r>
              <w:rPr>
                <w:noProof/>
                <w:webHidden/>
              </w:rPr>
              <w:t>12</w:t>
            </w:r>
            <w:r>
              <w:rPr>
                <w:noProof/>
                <w:webHidden/>
              </w:rPr>
              <w:fldChar w:fldCharType="end"/>
            </w:r>
          </w:hyperlink>
        </w:p>
        <w:p w14:paraId="1049AE56" w14:textId="42668E56"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6" w:history="1">
            <w:r w:rsidRPr="00590AFC">
              <w:rPr>
                <w:rStyle w:val="Hyperlink"/>
                <w:noProof/>
              </w:rPr>
              <w:t>8.2  Reading the Colour Coding</w:t>
            </w:r>
            <w:r>
              <w:rPr>
                <w:noProof/>
                <w:webHidden/>
              </w:rPr>
              <w:tab/>
            </w:r>
            <w:r>
              <w:rPr>
                <w:noProof/>
                <w:webHidden/>
              </w:rPr>
              <w:fldChar w:fldCharType="begin"/>
            </w:r>
            <w:r>
              <w:rPr>
                <w:noProof/>
                <w:webHidden/>
              </w:rPr>
              <w:instrText xml:space="preserve"> PAGEREF _Toc223190846 \h </w:instrText>
            </w:r>
            <w:r>
              <w:rPr>
                <w:noProof/>
                <w:webHidden/>
              </w:rPr>
            </w:r>
            <w:r>
              <w:rPr>
                <w:noProof/>
                <w:webHidden/>
              </w:rPr>
              <w:fldChar w:fldCharType="separate"/>
            </w:r>
            <w:r>
              <w:rPr>
                <w:noProof/>
                <w:webHidden/>
              </w:rPr>
              <w:t>12</w:t>
            </w:r>
            <w:r>
              <w:rPr>
                <w:noProof/>
                <w:webHidden/>
              </w:rPr>
              <w:fldChar w:fldCharType="end"/>
            </w:r>
          </w:hyperlink>
        </w:p>
        <w:p w14:paraId="75B1C0E0" w14:textId="0E691A1C"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7" w:history="1">
            <w:r w:rsidRPr="00590AFC">
              <w:rPr>
                <w:rStyle w:val="Hyperlink"/>
                <w:noProof/>
              </w:rPr>
              <w:t>8.3  Why the Blue Cell May Differ from the Executive Summary</w:t>
            </w:r>
            <w:r>
              <w:rPr>
                <w:noProof/>
                <w:webHidden/>
              </w:rPr>
              <w:tab/>
            </w:r>
            <w:r>
              <w:rPr>
                <w:noProof/>
                <w:webHidden/>
              </w:rPr>
              <w:fldChar w:fldCharType="begin"/>
            </w:r>
            <w:r>
              <w:rPr>
                <w:noProof/>
                <w:webHidden/>
              </w:rPr>
              <w:instrText xml:space="preserve"> PAGEREF _Toc223190847 \h </w:instrText>
            </w:r>
            <w:r>
              <w:rPr>
                <w:noProof/>
                <w:webHidden/>
              </w:rPr>
            </w:r>
            <w:r>
              <w:rPr>
                <w:noProof/>
                <w:webHidden/>
              </w:rPr>
              <w:fldChar w:fldCharType="separate"/>
            </w:r>
            <w:r>
              <w:rPr>
                <w:noProof/>
                <w:webHidden/>
              </w:rPr>
              <w:t>13</w:t>
            </w:r>
            <w:r>
              <w:rPr>
                <w:noProof/>
                <w:webHidden/>
              </w:rPr>
              <w:fldChar w:fldCharType="end"/>
            </w:r>
          </w:hyperlink>
        </w:p>
        <w:p w14:paraId="3F4154F3" w14:textId="417CC749" w:rsidR="004B4794" w:rsidRDefault="004B4794">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3190848" w:history="1">
            <w:r w:rsidRPr="00590AFC">
              <w:rPr>
                <w:rStyle w:val="Hyperlink"/>
                <w:noProof/>
              </w:rPr>
              <w:t>8.4  What the Sensitivity Analysis Does Not Show</w:t>
            </w:r>
            <w:r>
              <w:rPr>
                <w:noProof/>
                <w:webHidden/>
              </w:rPr>
              <w:tab/>
            </w:r>
            <w:r>
              <w:rPr>
                <w:noProof/>
                <w:webHidden/>
              </w:rPr>
              <w:fldChar w:fldCharType="begin"/>
            </w:r>
            <w:r>
              <w:rPr>
                <w:noProof/>
                <w:webHidden/>
              </w:rPr>
              <w:instrText xml:space="preserve"> PAGEREF _Toc223190848 \h </w:instrText>
            </w:r>
            <w:r>
              <w:rPr>
                <w:noProof/>
                <w:webHidden/>
              </w:rPr>
            </w:r>
            <w:r>
              <w:rPr>
                <w:noProof/>
                <w:webHidden/>
              </w:rPr>
              <w:fldChar w:fldCharType="separate"/>
            </w:r>
            <w:r>
              <w:rPr>
                <w:noProof/>
                <w:webHidden/>
              </w:rPr>
              <w:t>13</w:t>
            </w:r>
            <w:r>
              <w:rPr>
                <w:noProof/>
                <w:webHidden/>
              </w:rPr>
              <w:fldChar w:fldCharType="end"/>
            </w:r>
          </w:hyperlink>
        </w:p>
        <w:p w14:paraId="4864C69E" w14:textId="7F252A80" w:rsidR="004B4794"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3190849" w:history="1">
            <w:r w:rsidRPr="00590AFC">
              <w:rPr>
                <w:rStyle w:val="Hyperlink"/>
                <w:noProof/>
              </w:rPr>
              <w:t>9.  Quick Reference: What Am I Looking At?</w:t>
            </w:r>
            <w:r>
              <w:rPr>
                <w:noProof/>
                <w:webHidden/>
              </w:rPr>
              <w:tab/>
            </w:r>
            <w:r>
              <w:rPr>
                <w:noProof/>
                <w:webHidden/>
              </w:rPr>
              <w:fldChar w:fldCharType="begin"/>
            </w:r>
            <w:r>
              <w:rPr>
                <w:noProof/>
                <w:webHidden/>
              </w:rPr>
              <w:instrText xml:space="preserve"> PAGEREF _Toc223190849 \h </w:instrText>
            </w:r>
            <w:r>
              <w:rPr>
                <w:noProof/>
                <w:webHidden/>
              </w:rPr>
            </w:r>
            <w:r>
              <w:rPr>
                <w:noProof/>
                <w:webHidden/>
              </w:rPr>
              <w:fldChar w:fldCharType="separate"/>
            </w:r>
            <w:r>
              <w:rPr>
                <w:noProof/>
                <w:webHidden/>
              </w:rPr>
              <w:t>13</w:t>
            </w:r>
            <w:r>
              <w:rPr>
                <w:noProof/>
                <w:webHidden/>
              </w:rPr>
              <w:fldChar w:fldCharType="end"/>
            </w:r>
          </w:hyperlink>
        </w:p>
        <w:p w14:paraId="76613B98" w14:textId="5D247B28" w:rsidR="004B4794" w:rsidRDefault="004B4794">
          <w:r>
            <w:rPr>
              <w:b/>
              <w:bCs/>
              <w:noProof/>
            </w:rPr>
            <w:fldChar w:fldCharType="end"/>
          </w:r>
        </w:p>
      </w:sdtContent>
    </w:sdt>
    <w:p w14:paraId="06FF642D" w14:textId="77777777" w:rsidR="004B4794" w:rsidRDefault="004B4794">
      <w:pPr>
        <w:pStyle w:val="Heading1"/>
        <w:pBdr>
          <w:bottom w:val="single" w:sz="6" w:space="4" w:color="2E75B6"/>
        </w:pBdr>
      </w:pPr>
    </w:p>
    <w:p w14:paraId="6BE73E87" w14:textId="4E7559B5" w:rsidR="00777E11" w:rsidRDefault="00000000">
      <w:pPr>
        <w:pStyle w:val="Heading1"/>
        <w:pBdr>
          <w:bottom w:val="single" w:sz="6" w:space="4" w:color="2E75B6"/>
        </w:pBdr>
      </w:pPr>
      <w:bookmarkStart w:id="0" w:name="_Toc223190816"/>
      <w:r>
        <w:lastRenderedPageBreak/>
        <w:t>1.  Why Your Results Are Ranges, Not Answers</w:t>
      </w:r>
      <w:bookmarkEnd w:id="0"/>
    </w:p>
    <w:p w14:paraId="2156AE11" w14:textId="77777777" w:rsidR="00777E11" w:rsidRDefault="00000000">
      <w:pPr>
        <w:spacing w:before="80" w:after="100"/>
      </w:pPr>
      <w:r>
        <w:t xml:space="preserve">The first thing to understand is what the calculator is </w:t>
      </w:r>
      <w:proofErr w:type="gramStart"/>
      <w:r>
        <w:t>actually doing</w:t>
      </w:r>
      <w:proofErr w:type="gramEnd"/>
      <w:r>
        <w:t>. Rather than predicting the future, it runs hundreds or thousands of plausible futures — each with a different sequence of market returns — and asks: how often does your plan survive?</w:t>
      </w:r>
    </w:p>
    <w:p w14:paraId="156080BE" w14:textId="77777777" w:rsidR="00777E11" w:rsidRDefault="00777E11">
      <w:pPr>
        <w:spacing w:before="40" w:after="40"/>
      </w:pPr>
    </w:p>
    <w:p w14:paraId="3237C633" w14:textId="77777777" w:rsidR="00777E11" w:rsidRDefault="00000000">
      <w:pPr>
        <w:spacing w:before="80" w:after="100"/>
      </w:pPr>
      <w:r>
        <w:t>This is fundamentally different from a spreadsheet that calculates "your money runs out at age 83". That kind of single-path projection creates false precision. Real retirement involves good years, bad years, and (most dangerously) bad years early on that your plan may never recover from.</w:t>
      </w:r>
    </w:p>
    <w:p w14:paraId="20BB6FD1" w14:textId="77777777" w:rsidR="00777E11" w:rsidRDefault="00777E11">
      <w:pPr>
        <w:spacing w:before="40" w:after="40"/>
      </w:pPr>
    </w:p>
    <w:p w14:paraId="51BD5DDF" w14:textId="77777777" w:rsidR="00777E11" w:rsidRDefault="00000000">
      <w:pPr>
        <w:spacing w:before="80" w:after="100"/>
      </w:pPr>
      <w:proofErr w:type="gramStart"/>
      <w:r>
        <w:t>So</w:t>
      </w:r>
      <w:proofErr w:type="gramEnd"/>
      <w:r>
        <w:t xml:space="preserve"> when you see a success rate, a percentile band, or a chart that shows a fan of possible outcomes, that is not the calculator being vague — it is being honest about genuine uncertainty.</w:t>
      </w:r>
    </w:p>
    <w:p w14:paraId="68C70FA6"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D984C6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37B032C4" w14:textId="77777777" w:rsidR="00777E11" w:rsidRDefault="00000000">
            <w:proofErr w:type="gramStart"/>
            <w:r>
              <w:t xml:space="preserve">💡  </w:t>
            </w:r>
            <w:r>
              <w:rPr>
                <w:i/>
                <w:iCs/>
              </w:rPr>
              <w:t>Think</w:t>
            </w:r>
            <w:proofErr w:type="gramEnd"/>
            <w:r>
              <w:rPr>
                <w:i/>
                <w:iCs/>
              </w:rPr>
              <w:t xml:space="preserve"> of the results as a weather forecast, not a train timetable. A 90% success rate doesn't guarantee success any more than a 90% chance of sunshine guarantees you won't get rained on — but it tells you whether to pack an umbrella.</w:t>
            </w:r>
          </w:p>
        </w:tc>
      </w:tr>
    </w:tbl>
    <w:p w14:paraId="56B855B9" w14:textId="77777777" w:rsidR="00777E11" w:rsidRDefault="00777E11">
      <w:pPr>
        <w:spacing w:before="40" w:after="40"/>
      </w:pPr>
    </w:p>
    <w:p w14:paraId="78BD8487" w14:textId="77777777" w:rsidR="00777E11" w:rsidRDefault="00000000">
      <w:pPr>
        <w:pStyle w:val="Heading1"/>
        <w:pBdr>
          <w:bottom w:val="single" w:sz="6" w:space="4" w:color="2E75B6"/>
        </w:pBdr>
      </w:pPr>
      <w:bookmarkStart w:id="1" w:name="_Toc223190817"/>
      <w:r>
        <w:t>2.  Monte Carlo: Success Rates and Percentile Bands</w:t>
      </w:r>
      <w:bookmarkEnd w:id="1"/>
    </w:p>
    <w:p w14:paraId="19922595" w14:textId="77777777" w:rsidR="00777E11" w:rsidRDefault="00000000">
      <w:pPr>
        <w:pStyle w:val="Heading2"/>
      </w:pPr>
      <w:bookmarkStart w:id="2" w:name="_Toc223190818"/>
      <w:proofErr w:type="gramStart"/>
      <w:r>
        <w:t>2.1  What</w:t>
      </w:r>
      <w:proofErr w:type="gramEnd"/>
      <w:r>
        <w:t xml:space="preserve"> Is the Success Rate?</w:t>
      </w:r>
      <w:bookmarkEnd w:id="2"/>
    </w:p>
    <w:p w14:paraId="16B88665" w14:textId="77777777" w:rsidR="00777E11" w:rsidRDefault="00000000">
      <w:pPr>
        <w:spacing w:before="80" w:after="100"/>
      </w:pPr>
      <w:r>
        <w:t>The success rate tells you: in what percentage of simulated futures did your money last the full retirement period?</w:t>
      </w:r>
    </w:p>
    <w:p w14:paraId="40088C2F" w14:textId="77777777" w:rsidR="00777E11" w:rsidRDefault="00777E11">
      <w:pPr>
        <w:spacing w:before="40" w:after="40"/>
      </w:pPr>
    </w:p>
    <w:p w14:paraId="22F6C975" w14:textId="77777777" w:rsidR="00777E11" w:rsidRDefault="00000000">
      <w:pPr>
        <w:spacing w:before="80" w:after="100"/>
      </w:pPr>
      <w:r>
        <w:t>A run of 1,000 simulations might produce 870 where your portfolio reached your target age with money remaining, and 130 where it ran out early. That gives a success rate of 87%.</w:t>
      </w:r>
    </w:p>
    <w:p w14:paraId="709B53EF"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777E11" w14:paraId="26549AD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EFEE24" w14:textId="77777777" w:rsidR="00777E11" w:rsidRDefault="00000000">
            <w:r>
              <w:rPr>
                <w:b/>
                <w:bCs/>
                <w:sz w:val="20"/>
                <w:szCs w:val="20"/>
              </w:rPr>
              <w:t>Success Rate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C8F875C" w14:textId="77777777" w:rsidR="00777E11" w:rsidRDefault="00000000">
            <w:r>
              <w:rPr>
                <w:b/>
                <w:bCs/>
                <w:sz w:val="20"/>
                <w:szCs w:val="20"/>
              </w:rPr>
              <w:t>Rating</w:t>
            </w:r>
          </w:p>
        </w:tc>
        <w:tc>
          <w:tcPr>
            <w:tcW w:w="51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48BBAC" w14:textId="77777777" w:rsidR="00777E11" w:rsidRDefault="00000000">
            <w:r>
              <w:rPr>
                <w:b/>
                <w:bCs/>
                <w:sz w:val="20"/>
                <w:szCs w:val="20"/>
              </w:rPr>
              <w:t>What It Means</w:t>
            </w:r>
          </w:p>
        </w:tc>
      </w:tr>
      <w:tr w:rsidR="00777E11" w14:paraId="49A94549"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6C5E0E9" w14:textId="77777777" w:rsidR="00777E11" w:rsidRDefault="00000000">
            <w:r>
              <w:rPr>
                <w:b/>
                <w:bCs/>
                <w:sz w:val="20"/>
                <w:szCs w:val="20"/>
              </w:rPr>
              <w:t>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0520F34" w14:textId="77777777" w:rsidR="00777E11" w:rsidRDefault="00000000">
            <w:r>
              <w:rPr>
                <w:sz w:val="20"/>
                <w:szCs w:val="20"/>
              </w:rPr>
              <w:t>Excellent</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71E1F73" w14:textId="77777777" w:rsidR="00777E11" w:rsidRDefault="00000000">
            <w:r>
              <w:rPr>
                <w:sz w:val="20"/>
                <w:szCs w:val="20"/>
              </w:rPr>
              <w:t>Your plan is well-buffered. The main risk is dying with far more than you needed — worth checking whether you're enjoying enough.</w:t>
            </w:r>
          </w:p>
        </w:tc>
      </w:tr>
      <w:tr w:rsidR="00777E11" w14:paraId="6AE70C5C"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DD3D86F" w14:textId="77777777" w:rsidR="00777E11" w:rsidRDefault="00000000">
            <w:r>
              <w:rPr>
                <w:b/>
                <w:bCs/>
                <w:sz w:val="20"/>
                <w:szCs w:val="20"/>
              </w:rPr>
              <w:t>85–90%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3230F23" w14:textId="77777777" w:rsidR="00777E11" w:rsidRDefault="00000000">
            <w:r>
              <w:rPr>
                <w:sz w:val="20"/>
                <w:szCs w:val="20"/>
              </w:rPr>
              <w:t>Very Good</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3089273" w14:textId="77777777" w:rsidR="00777E11" w:rsidRDefault="00000000">
            <w:r>
              <w:rPr>
                <w:sz w:val="20"/>
                <w:szCs w:val="20"/>
              </w:rPr>
              <w:t>Strong result with modest margin. Most planners would consider this acceptable. A bad sequence of returns (e.g., a crash in your first two years) is the main vulnerability.</w:t>
            </w:r>
          </w:p>
        </w:tc>
      </w:tr>
      <w:tr w:rsidR="00777E11" w14:paraId="3E4BE4C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CD2034F" w14:textId="77777777" w:rsidR="00777E11" w:rsidRDefault="00000000">
            <w:r>
              <w:rPr>
                <w:b/>
                <w:bCs/>
                <w:sz w:val="20"/>
                <w:szCs w:val="20"/>
              </w:rPr>
              <w:t>75–85%</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FD5B81A" w14:textId="77777777" w:rsidR="00777E11" w:rsidRDefault="00000000">
            <w:r>
              <w:rPr>
                <w:sz w:val="20"/>
                <w:szCs w:val="20"/>
              </w:rPr>
              <w:t>Moderate</w:t>
            </w:r>
          </w:p>
        </w:tc>
        <w:tc>
          <w:tcPr>
            <w:tcW w:w="51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504A573" w14:textId="77777777" w:rsidR="00777E11" w:rsidRDefault="00000000">
            <w:r>
              <w:rPr>
                <w:sz w:val="20"/>
                <w:szCs w:val="20"/>
              </w:rPr>
              <w:t>Reasonable but not comfortable. One-in-four to one-in-six scenarios end in shortfall. Consider small adjustments — even $5–10k/year in reduced spending can shift this significantly.</w:t>
            </w:r>
          </w:p>
        </w:tc>
      </w:tr>
      <w:tr w:rsidR="00777E11" w14:paraId="51D310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0936788" w14:textId="77777777" w:rsidR="00777E11" w:rsidRDefault="00000000">
            <w:r>
              <w:rPr>
                <w:b/>
                <w:bCs/>
                <w:sz w:val="20"/>
                <w:szCs w:val="20"/>
              </w:rPr>
              <w:t>&lt;75%</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1F76E5A" w14:textId="77777777" w:rsidR="00777E11" w:rsidRDefault="00000000">
            <w:r>
              <w:rPr>
                <w:sz w:val="20"/>
                <w:szCs w:val="20"/>
              </w:rPr>
              <w:t>Needs Work</w:t>
            </w:r>
          </w:p>
        </w:tc>
        <w:tc>
          <w:tcPr>
            <w:tcW w:w="51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513109" w14:textId="77777777" w:rsidR="00777E11" w:rsidRDefault="00000000">
            <w:r>
              <w:rPr>
                <w:sz w:val="20"/>
                <w:szCs w:val="20"/>
              </w:rPr>
              <w:t>More simulations fail than succeed in many unfavourable market regimes. This needs material changes: spending cuts, later retirement, part-time income, or some combination.</w:t>
            </w:r>
          </w:p>
        </w:tc>
      </w:tr>
    </w:tbl>
    <w:p w14:paraId="292937D4"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135DF1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2D4F95E3" w14:textId="77777777" w:rsidR="00777E11" w:rsidRDefault="00000000">
            <w:proofErr w:type="gramStart"/>
            <w:r>
              <w:lastRenderedPageBreak/>
              <w:t xml:space="preserve">💡  </w:t>
            </w:r>
            <w:r>
              <w:rPr>
                <w:i/>
                <w:iCs/>
              </w:rPr>
              <w:t>A</w:t>
            </w:r>
            <w:proofErr w:type="gramEnd"/>
            <w:r>
              <w:rPr>
                <w:i/>
                <w:iCs/>
              </w:rPr>
              <w:t xml:space="preserve"> 100% success rate is not the goal. It typically means you're being so conservative — either spending too little or assuming very low returns — that you'll almost certainly die with a large, unused surplus. Most financial planners aim for 85–90%.</w:t>
            </w:r>
          </w:p>
        </w:tc>
      </w:tr>
    </w:tbl>
    <w:p w14:paraId="6ABC1C9E" w14:textId="77777777" w:rsidR="00777E11" w:rsidRDefault="00777E11">
      <w:pPr>
        <w:spacing w:before="40" w:after="40"/>
      </w:pPr>
    </w:p>
    <w:p w14:paraId="4DA2BA21" w14:textId="77777777" w:rsidR="00777E11" w:rsidRDefault="00000000">
      <w:pPr>
        <w:pStyle w:val="Heading2"/>
      </w:pPr>
      <w:bookmarkStart w:id="3" w:name="_Toc223190819"/>
      <w:proofErr w:type="gramStart"/>
      <w:r>
        <w:t>2.2  Understanding</w:t>
      </w:r>
      <w:proofErr w:type="gramEnd"/>
      <w:r>
        <w:t xml:space="preserve"> P10, P50, and P90</w:t>
      </w:r>
      <w:bookmarkEnd w:id="3"/>
    </w:p>
    <w:p w14:paraId="76CB70EE" w14:textId="77777777" w:rsidR="00777E11" w:rsidRDefault="00000000">
      <w:pPr>
        <w:spacing w:before="80" w:after="100"/>
      </w:pPr>
      <w:r>
        <w:t>When Monte Carlo mode shows percentile bands on the portfolio balance chart, it is showing you three representative outcomes drawn from your full set of simulations:</w:t>
      </w:r>
    </w:p>
    <w:p w14:paraId="75B85EB5"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400"/>
        <w:gridCol w:w="5520"/>
      </w:tblGrid>
      <w:tr w:rsidR="00777E11" w14:paraId="5A10E181" w14:textId="77777777">
        <w:trPr>
          <w:tblHeader/>
        </w:trPr>
        <w:tc>
          <w:tcPr>
            <w:tcW w:w="14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D163686" w14:textId="77777777" w:rsidR="00777E11" w:rsidRDefault="00000000">
            <w:r>
              <w:rPr>
                <w:b/>
                <w:bCs/>
                <w:sz w:val="20"/>
                <w:szCs w:val="20"/>
              </w:rPr>
              <w:t>Band</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8367465" w14:textId="77777777" w:rsidR="00777E11" w:rsidRDefault="00000000">
            <w:r>
              <w:rPr>
                <w:b/>
                <w:bCs/>
                <w:sz w:val="20"/>
                <w:szCs w:val="20"/>
              </w:rPr>
              <w:t>Meaning</w:t>
            </w:r>
          </w:p>
        </w:tc>
        <w:tc>
          <w:tcPr>
            <w:tcW w:w="55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1C05A1" w14:textId="77777777" w:rsidR="00777E11" w:rsidRDefault="00000000">
            <w:r>
              <w:rPr>
                <w:b/>
                <w:bCs/>
                <w:sz w:val="20"/>
                <w:szCs w:val="20"/>
              </w:rPr>
              <w:t>How to Use It</w:t>
            </w:r>
          </w:p>
        </w:tc>
      </w:tr>
      <w:tr w:rsidR="00777E11" w14:paraId="0B9E6FB4"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A800FB" w14:textId="77777777" w:rsidR="00777E11" w:rsidRDefault="00000000">
            <w:r>
              <w:rPr>
                <w:sz w:val="20"/>
                <w:szCs w:val="20"/>
              </w:rPr>
              <w:t>P10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3A8555" w14:textId="77777777" w:rsidR="00777E11" w:rsidRDefault="00000000">
            <w:r>
              <w:rPr>
                <w:sz w:val="20"/>
                <w:szCs w:val="20"/>
              </w:rPr>
              <w:t>Worst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19FA26" w14:textId="77777777" w:rsidR="00777E11" w:rsidRDefault="00000000">
            <w:r>
              <w:rPr>
                <w:sz w:val="20"/>
                <w:szCs w:val="20"/>
              </w:rPr>
              <w:t>The uncomfortable question: can you live with this? If the P10 line runs out of money at 78, that's a one-in-ten chance of serious financial difficulty. This is your key planning number — not P50.</w:t>
            </w:r>
          </w:p>
        </w:tc>
      </w:tr>
      <w:tr w:rsidR="00777E11" w14:paraId="10D6E556" w14:textId="77777777">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301572" w14:textId="77777777" w:rsidR="00777E11" w:rsidRDefault="00000000">
            <w:r>
              <w:rPr>
                <w:sz w:val="20"/>
                <w:szCs w:val="20"/>
              </w:rPr>
              <w:t>P50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39413" w14:textId="77777777" w:rsidR="00777E11" w:rsidRDefault="00000000">
            <w:r>
              <w:rPr>
                <w:sz w:val="20"/>
                <w:szCs w:val="20"/>
              </w:rPr>
              <w:t>Median — the middle outcome</w:t>
            </w:r>
          </w:p>
        </w:tc>
        <w:tc>
          <w:tcPr>
            <w:tcW w:w="5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4478B0" w14:textId="77777777" w:rsidR="00777E11" w:rsidRDefault="00000000">
            <w:r>
              <w:rPr>
                <w:sz w:val="20"/>
                <w:szCs w:val="20"/>
              </w:rPr>
              <w:t>Half of simulations did better, half did worse. This represents your most likely trajectory, but 'most likely' still means a coin-flip between better and worse.</w:t>
            </w:r>
          </w:p>
        </w:tc>
      </w:tr>
      <w:tr w:rsidR="00777E11" w14:paraId="5478368B"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28CF37" w14:textId="77777777" w:rsidR="00777E11" w:rsidRDefault="00000000">
            <w:r>
              <w:rPr>
                <w:sz w:val="20"/>
                <w:szCs w:val="20"/>
              </w:rPr>
              <w:t>P90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A22294" w14:textId="77777777" w:rsidR="00777E11" w:rsidRDefault="00000000">
            <w:r>
              <w:rPr>
                <w:sz w:val="20"/>
                <w:szCs w:val="20"/>
              </w:rPr>
              <w:t>Best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159169" w14:textId="77777777" w:rsidR="00777E11" w:rsidRDefault="00000000">
            <w:r>
              <w:rPr>
                <w:sz w:val="20"/>
                <w:szCs w:val="20"/>
              </w:rPr>
              <w:t>A lucky scenario — strong early returns, no major shocks. Do not build your retirement around this line. It's shown so you can see the upside, not plan for it.</w:t>
            </w:r>
          </w:p>
        </w:tc>
      </w:tr>
    </w:tbl>
    <w:p w14:paraId="22D164B0" w14:textId="77777777" w:rsidR="00777E11" w:rsidRDefault="00777E11">
      <w:pPr>
        <w:spacing w:before="40" w:after="40"/>
      </w:pPr>
    </w:p>
    <w:p w14:paraId="561086E2" w14:textId="77777777" w:rsidR="00777E11" w:rsidRDefault="00000000">
      <w:pPr>
        <w:spacing w:before="80" w:after="100"/>
      </w:pPr>
      <w:r>
        <w:t>The gap between P10 and P90 is your range of uncertainty. A very wide fan indicates high sensitivity to sequence-of-returns risk — meaning an unlucky run of bad years early in retirement has an outsized impact compared to the same bad years occurring later.</w:t>
      </w:r>
    </w:p>
    <w:p w14:paraId="531368DD" w14:textId="77777777" w:rsidR="00777E11" w:rsidRDefault="00777E11">
      <w:pPr>
        <w:spacing w:before="40" w:after="40"/>
      </w:pPr>
    </w:p>
    <w:p w14:paraId="2AAABB2E" w14:textId="77777777" w:rsidR="00777E11" w:rsidRDefault="00000000">
      <w:pPr>
        <w:pStyle w:val="Heading2"/>
      </w:pPr>
      <w:bookmarkStart w:id="4" w:name="_Toc223190820"/>
      <w:proofErr w:type="gramStart"/>
      <w:r>
        <w:t>2.3  Sequence</w:t>
      </w:r>
      <w:proofErr w:type="gramEnd"/>
      <w:r>
        <w:t>-of-Returns Risk: Why Timing Matters</w:t>
      </w:r>
      <w:bookmarkEnd w:id="4"/>
    </w:p>
    <w:p w14:paraId="72DBA5D4" w14:textId="77777777" w:rsidR="00777E11" w:rsidRDefault="00000000">
      <w:pPr>
        <w:spacing w:before="80" w:after="100"/>
      </w:pPr>
      <w:r>
        <w:t>One of the most important concepts in retirement planning is that a 10% market drop at age 65 is far more damaging than the same 10% drop at age 75. Here's why:</w:t>
      </w:r>
    </w:p>
    <w:p w14:paraId="6F75B936" w14:textId="77777777" w:rsidR="00777E11" w:rsidRDefault="00777E11">
      <w:pPr>
        <w:spacing w:before="40" w:after="40"/>
      </w:pPr>
    </w:p>
    <w:p w14:paraId="124F4EEC" w14:textId="77777777" w:rsidR="00777E11" w:rsidRDefault="00000000">
      <w:pPr>
        <w:pStyle w:val="ListParagraph"/>
        <w:numPr>
          <w:ilvl w:val="0"/>
          <w:numId w:val="2"/>
        </w:numPr>
        <w:spacing w:before="60" w:after="60"/>
      </w:pPr>
      <w:r>
        <w:rPr>
          <w:b/>
          <w:bCs/>
        </w:rPr>
        <w:t xml:space="preserve">At 65, </w:t>
      </w:r>
      <w:r>
        <w:t>you are drawing down the portfolio to fund spending. A crash forces you to sell more units at depressed prices to raise the same cash. Those sold units can't recover when markets rebound.</w:t>
      </w:r>
    </w:p>
    <w:p w14:paraId="0793626B" w14:textId="77777777" w:rsidR="00777E11" w:rsidRDefault="00000000">
      <w:pPr>
        <w:pStyle w:val="ListParagraph"/>
        <w:numPr>
          <w:ilvl w:val="0"/>
          <w:numId w:val="2"/>
        </w:numPr>
        <w:spacing w:before="60" w:after="60"/>
      </w:pPr>
      <w:r>
        <w:rPr>
          <w:b/>
          <w:bCs/>
        </w:rPr>
        <w:t xml:space="preserve">At 75, </w:t>
      </w:r>
      <w:r>
        <w:t>your portfolio is smaller anyway, and you have fewer years for a bad run to compound into a catastrophe.</w:t>
      </w:r>
    </w:p>
    <w:p w14:paraId="3C335C91" w14:textId="77777777" w:rsidR="00777E11" w:rsidRDefault="00777E11">
      <w:pPr>
        <w:spacing w:before="40" w:after="40"/>
      </w:pPr>
    </w:p>
    <w:p w14:paraId="1972FB46" w14:textId="77777777" w:rsidR="00777E11" w:rsidRDefault="00000000">
      <w:pPr>
        <w:spacing w:before="80" w:after="100"/>
      </w:pPr>
      <w:r>
        <w:t>This is why a bad sequence of returns in the first few years of retirement is far more damaging than the same bad returns occurring later — and why the sequencing buffer (cash reserve) and formal stress tests B1 (Crash) and B2 (Bear Market) are particularly important to run. Note that the fan of outcomes on the chart will typically widen over time as uncertainty compounds; this is normal and expected, not a cause for alarm.</w:t>
      </w:r>
    </w:p>
    <w:p w14:paraId="6B1E62AD"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3C1700F"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07BC742C" w14:textId="77777777" w:rsidR="00777E11" w:rsidRDefault="00000000">
            <w:proofErr w:type="gramStart"/>
            <w:r>
              <w:t xml:space="preserve">💡  </w:t>
            </w:r>
            <w:r>
              <w:rPr>
                <w:i/>
                <w:iCs/>
              </w:rPr>
              <w:t>If</w:t>
            </w:r>
            <w:proofErr w:type="gramEnd"/>
            <w:r>
              <w:rPr>
                <w:i/>
                <w:iCs/>
              </w:rPr>
              <w:t xml:space="preserve"> your P10 line drops sharply in the first 5–8 years of retirement, that is a sequence-of-returns problem. Solutions include: a sequencing buffer, dynamic guardrails, or delaying retirement by 1–2 years.</w:t>
            </w:r>
          </w:p>
        </w:tc>
      </w:tr>
    </w:tbl>
    <w:p w14:paraId="0EF4D282" w14:textId="77777777" w:rsidR="00777E11" w:rsidRDefault="00777E11">
      <w:pPr>
        <w:spacing w:before="40" w:after="40"/>
      </w:pPr>
    </w:p>
    <w:p w14:paraId="613C7DA5" w14:textId="77777777" w:rsidR="00777E11" w:rsidRDefault="00000000">
      <w:pPr>
        <w:pStyle w:val="Heading2"/>
      </w:pPr>
      <w:bookmarkStart w:id="5" w:name="_Toc223190821"/>
      <w:proofErr w:type="gramStart"/>
      <w:r>
        <w:t>2.4  Historical</w:t>
      </w:r>
      <w:proofErr w:type="gramEnd"/>
      <w:r>
        <w:t xml:space="preserve"> Monte Carlo vs Parametric Monte Carlo</w:t>
      </w:r>
      <w:bookmarkEnd w:id="5"/>
    </w:p>
    <w:p w14:paraId="68AD1A86" w14:textId="77777777" w:rsidR="00777E11" w:rsidRDefault="00000000">
      <w:pPr>
        <w:spacing w:before="80" w:after="100"/>
      </w:pPr>
      <w:r>
        <w:t>The calculator offers two Monte Carlo modes, and they answer slightly different questions:</w:t>
      </w:r>
    </w:p>
    <w:p w14:paraId="53DF82FC" w14:textId="77777777" w:rsidR="00777E11" w:rsidRDefault="00777E11">
      <w:pPr>
        <w:spacing w:before="40" w:after="40"/>
      </w:pPr>
    </w:p>
    <w:p w14:paraId="40B0E480" w14:textId="77777777" w:rsidR="00777E11" w:rsidRDefault="00000000">
      <w:pPr>
        <w:pStyle w:val="ListParagraph"/>
        <w:numPr>
          <w:ilvl w:val="0"/>
          <w:numId w:val="2"/>
        </w:numPr>
        <w:spacing w:before="60" w:after="60"/>
      </w:pPr>
      <w:r>
        <w:rPr>
          <w:b/>
          <w:bCs/>
        </w:rPr>
        <w:t xml:space="preserve">Parametric Monte Carlo </w:t>
      </w:r>
      <w:r>
        <w:t>generates random returns using your specified expected return and volatility. It explores a wide mathematical range, including scenarios that have never actually occurred. Use it to understand sensitivity to your assumptions.</w:t>
      </w:r>
    </w:p>
    <w:p w14:paraId="5D3ACC01" w14:textId="77777777" w:rsidR="00777E11" w:rsidRDefault="00000000">
      <w:pPr>
        <w:pStyle w:val="ListParagraph"/>
        <w:numPr>
          <w:ilvl w:val="0"/>
          <w:numId w:val="2"/>
        </w:numPr>
        <w:spacing w:before="60" w:after="60"/>
      </w:pPr>
      <w:r>
        <w:rPr>
          <w:b/>
          <w:bCs/>
        </w:rPr>
        <w:t xml:space="preserve">Historical Monte Carlo </w:t>
      </w:r>
      <w:r>
        <w:t xml:space="preserve">samples from 98 years of real market data (1928–2025). These are returns that </w:t>
      </w:r>
      <w:proofErr w:type="gramStart"/>
      <w:r>
        <w:t>actually happened</w:t>
      </w:r>
      <w:proofErr w:type="gramEnd"/>
      <w:r>
        <w:t xml:space="preserve"> — including the Great Depression, World War II, 1970s stagflation, the Dot-com crash, and the GFC. It cannot simulate things outside that range, but every scenario it produces has real-world grounding.</w:t>
      </w:r>
    </w:p>
    <w:p w14:paraId="33B12379" w14:textId="77777777" w:rsidR="00777E11" w:rsidRDefault="00777E11">
      <w:pPr>
        <w:spacing w:before="40" w:after="40"/>
      </w:pPr>
    </w:p>
    <w:p w14:paraId="2DAA9C05" w14:textId="77777777" w:rsidR="00777E11" w:rsidRDefault="00000000">
      <w:pPr>
        <w:spacing w:before="80" w:after="100"/>
      </w:pPr>
      <w:r>
        <w:t>For serious retirement planning, Historical Monte Carlo (Block Bootstrap method, block size 5–7 years) is the most credible analysis available in the calculator. It naturally captures the multi-year correlations that make crashes painful — bad years tend to cluster.</w:t>
      </w:r>
    </w:p>
    <w:p w14:paraId="2571CC49" w14:textId="6F2E08B0" w:rsidR="00777E11" w:rsidRDefault="00777E11"/>
    <w:p w14:paraId="19B6DBF2" w14:textId="77777777" w:rsidR="00777E11" w:rsidRDefault="00000000">
      <w:pPr>
        <w:pStyle w:val="Heading1"/>
        <w:pBdr>
          <w:bottom w:val="single" w:sz="6" w:space="4" w:color="2E75B6"/>
        </w:pBdr>
      </w:pPr>
      <w:bookmarkStart w:id="6" w:name="_Toc223190822"/>
      <w:r>
        <w:t>3.  Reading the Annual Spending Breakdown Chart</w:t>
      </w:r>
      <w:bookmarkEnd w:id="6"/>
    </w:p>
    <w:p w14:paraId="17209B13" w14:textId="77777777" w:rsidR="00777E11" w:rsidRDefault="00000000">
      <w:pPr>
        <w:spacing w:before="80" w:after="100"/>
      </w:pPr>
      <w:r>
        <w:t>The Annual Spending Breakdown chart is arguably the most diagnostic chart in the calculator. Rather than just showing you whether you survived, it shows you how — and reveals structural vulnerabilities that the summary metrics can miss.</w:t>
      </w:r>
    </w:p>
    <w:p w14:paraId="58E9D84E" w14:textId="77777777" w:rsidR="00777E11" w:rsidRDefault="00777E11">
      <w:pPr>
        <w:spacing w:before="40" w:after="40"/>
      </w:pPr>
    </w:p>
    <w:p w14:paraId="1E1C0F37" w14:textId="77777777" w:rsidR="00777E11" w:rsidRDefault="00000000">
      <w:pPr>
        <w:pStyle w:val="Heading2"/>
      </w:pPr>
      <w:bookmarkStart w:id="7" w:name="_Toc223190823"/>
      <w:proofErr w:type="gramStart"/>
      <w:r>
        <w:t>3.1  What</w:t>
      </w:r>
      <w:proofErr w:type="gramEnd"/>
      <w:r>
        <w:t xml:space="preserve"> the Colours Mean</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777E11" w14:paraId="0F8492A5"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5807385" w14:textId="77777777" w:rsidR="00777E11" w:rsidRDefault="00000000">
            <w:r>
              <w:rPr>
                <w:b/>
                <w:bCs/>
                <w:sz w:val="20"/>
                <w:szCs w:val="20"/>
              </w:rPr>
              <w:t>Colour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DC742F" w14:textId="77777777" w:rsidR="00777E11" w:rsidRDefault="00000000">
            <w:r>
              <w:rPr>
                <w:b/>
                <w:bCs/>
                <w:sz w:val="20"/>
                <w:szCs w:val="20"/>
              </w:rPr>
              <w:t>Source</w:t>
            </w:r>
          </w:p>
        </w:tc>
        <w:tc>
          <w:tcPr>
            <w:tcW w:w="5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61F1C2" w14:textId="77777777" w:rsidR="00777E11" w:rsidRDefault="00000000">
            <w:r>
              <w:rPr>
                <w:b/>
                <w:bCs/>
                <w:sz w:val="20"/>
                <w:szCs w:val="20"/>
              </w:rPr>
              <w:t>What to Look For</w:t>
            </w:r>
          </w:p>
        </w:tc>
      </w:tr>
      <w:tr w:rsidR="00777E11" w14:paraId="46939BC0"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FA7E75" w14:textId="77777777" w:rsidR="00777E11" w:rsidRDefault="00000000">
            <w:r>
              <w:rPr>
                <w:sz w:val="20"/>
                <w:szCs w:val="20"/>
              </w:rPr>
              <w:t>Blue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D24964" w14:textId="77777777" w:rsidR="00777E11" w:rsidRDefault="00000000">
            <w:r>
              <w:rPr>
                <w:sz w:val="20"/>
                <w:szCs w:val="20"/>
              </w:rPr>
              <w:t>Main super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56309C" w14:textId="77777777" w:rsidR="00777E11" w:rsidRDefault="00000000">
            <w:r>
              <w:rPr>
                <w:sz w:val="20"/>
                <w:szCs w:val="20"/>
              </w:rPr>
              <w:t>Your primary drawdown — the dominant bar in early retirement.</w:t>
            </w:r>
          </w:p>
        </w:tc>
      </w:tr>
      <w:tr w:rsidR="00777E11" w14:paraId="68977CF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CAEEBE" w14:textId="77777777" w:rsidR="00777E11" w:rsidRDefault="00000000">
            <w:r>
              <w:rPr>
                <w:sz w:val="20"/>
                <w:szCs w:val="20"/>
              </w:rPr>
              <w:t>Yellow</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5A845" w14:textId="77777777" w:rsidR="00777E11" w:rsidRDefault="00000000">
            <w:r>
              <w:rPr>
                <w:sz w:val="20"/>
                <w:szCs w:val="20"/>
              </w:rPr>
              <w:t>Cash account</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853037" w14:textId="77777777" w:rsidR="00777E11" w:rsidRDefault="00000000">
            <w:r>
              <w:rPr>
                <w:sz w:val="20"/>
                <w:szCs w:val="20"/>
              </w:rPr>
              <w:t xml:space="preserve">Appears if you have a cash component. </w:t>
            </w:r>
            <w:proofErr w:type="gramStart"/>
            <w:r>
              <w:rPr>
                <w:sz w:val="20"/>
                <w:szCs w:val="20"/>
              </w:rPr>
              <w:t>Usually</w:t>
            </w:r>
            <w:proofErr w:type="gramEnd"/>
            <w:r>
              <w:rPr>
                <w:sz w:val="20"/>
                <w:szCs w:val="20"/>
              </w:rPr>
              <w:t xml:space="preserve"> small.</w:t>
            </w:r>
          </w:p>
        </w:tc>
      </w:tr>
      <w:tr w:rsidR="00777E11" w14:paraId="4DD5B2A3"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A187B7" w14:textId="77777777" w:rsidR="00777E11" w:rsidRDefault="00000000">
            <w:r>
              <w:rPr>
                <w:sz w:val="20"/>
                <w:szCs w:val="20"/>
              </w:rPr>
              <w:t>Orange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E0409C" w14:textId="77777777" w:rsidR="00777E11" w:rsidRDefault="00000000">
            <w:r>
              <w:rPr>
                <w:sz w:val="20"/>
                <w:szCs w:val="20"/>
              </w:rPr>
              <w:t>Sequencing buffer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1B854D" w14:textId="77777777" w:rsidR="00777E11" w:rsidRDefault="00000000">
            <w:r>
              <w:rPr>
                <w:sz w:val="20"/>
                <w:szCs w:val="20"/>
              </w:rPr>
              <w:t>Draws down early in retirement if you have a buffer configured.</w:t>
            </w:r>
          </w:p>
        </w:tc>
      </w:tr>
      <w:tr w:rsidR="00777E11" w14:paraId="695436C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3304FD" w14:textId="77777777" w:rsidR="00777E11" w:rsidRDefault="00000000">
            <w:r>
              <w:rPr>
                <w:sz w:val="20"/>
                <w:szCs w:val="20"/>
              </w:rPr>
              <w:t>Dark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53155C" w14:textId="77777777" w:rsidR="00777E11" w:rsidRDefault="00000000">
            <w:r>
              <w:rPr>
                <w:sz w:val="20"/>
                <w:szCs w:val="20"/>
              </w:rPr>
              <w:t>Age Pension</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2DC8" w14:textId="77777777" w:rsidR="00777E11" w:rsidRDefault="00000000">
            <w:r>
              <w:rPr>
                <w:sz w:val="20"/>
                <w:szCs w:val="20"/>
              </w:rPr>
              <w:t>Centrelink payments. Watch for this growing as super depletes.</w:t>
            </w:r>
          </w:p>
        </w:tc>
      </w:tr>
      <w:tr w:rsidR="00777E11" w14:paraId="7BCAF3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C78547" w14:textId="77777777" w:rsidR="00777E11" w:rsidRDefault="00000000">
            <w:r>
              <w:rPr>
                <w:sz w:val="20"/>
                <w:szCs w:val="20"/>
              </w:rPr>
              <w:t>Medium green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50EC15" w14:textId="77777777" w:rsidR="00777E11" w:rsidRDefault="00000000">
            <w:r>
              <w:rPr>
                <w:sz w:val="20"/>
                <w:szCs w:val="20"/>
              </w:rPr>
              <w:t>Defined Benefit / Annuity</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7D9BB2" w14:textId="77777777" w:rsidR="00777E11" w:rsidRDefault="00000000">
            <w:r>
              <w:rPr>
                <w:sz w:val="20"/>
                <w:szCs w:val="20"/>
              </w:rPr>
              <w:t>Stable income floor. A large green segment here is a powerful safety net.</w:t>
            </w:r>
          </w:p>
        </w:tc>
      </w:tr>
      <w:tr w:rsidR="00777E11" w14:paraId="7DE63CA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DCF474" w14:textId="77777777" w:rsidR="00777E11" w:rsidRDefault="00000000">
            <w:r>
              <w:rPr>
                <w:sz w:val="20"/>
                <w:szCs w:val="20"/>
              </w:rPr>
              <w:t>Light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9ACF0C" w14:textId="77777777" w:rsidR="00777E11" w:rsidRDefault="00000000">
            <w:r>
              <w:rPr>
                <w:sz w:val="20"/>
                <w:szCs w:val="20"/>
              </w:rPr>
              <w:t>Other income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5CF15" w14:textId="77777777" w:rsidR="00777E11" w:rsidRDefault="00000000">
            <w:r>
              <w:rPr>
                <w:sz w:val="20"/>
                <w:szCs w:val="20"/>
              </w:rPr>
              <w:t>Part-time work, rental, etc. — usually present in early retirement only.</w:t>
            </w:r>
          </w:p>
        </w:tc>
      </w:tr>
    </w:tbl>
    <w:p w14:paraId="04B1E5AE" w14:textId="77777777" w:rsidR="00777E11" w:rsidRDefault="00777E11">
      <w:pPr>
        <w:spacing w:before="40" w:after="40"/>
      </w:pPr>
    </w:p>
    <w:p w14:paraId="37C50660" w14:textId="77777777" w:rsidR="00777E11" w:rsidRDefault="00000000">
      <w:pPr>
        <w:pStyle w:val="Heading2"/>
      </w:pPr>
      <w:bookmarkStart w:id="8" w:name="_Toc223190824"/>
      <w:proofErr w:type="gramStart"/>
      <w:r>
        <w:t>3.2  Healthy</w:t>
      </w:r>
      <w:proofErr w:type="gramEnd"/>
      <w:r>
        <w:t xml:space="preserve"> vs. Concerning Patterns</w:t>
      </w:r>
      <w:bookmarkEnd w:id="8"/>
    </w:p>
    <w:p w14:paraId="1C925344" w14:textId="77777777" w:rsidR="00777E11" w:rsidRDefault="00000000">
      <w:pPr>
        <w:spacing w:before="80" w:after="100"/>
      </w:pPr>
      <w:r>
        <w:t>Below are the key patterns to recognise:</w:t>
      </w:r>
    </w:p>
    <w:p w14:paraId="349108A2" w14:textId="77777777" w:rsidR="00777E11" w:rsidRDefault="00777E11">
      <w:pPr>
        <w:spacing w:before="40" w:after="40"/>
      </w:pPr>
    </w:p>
    <w:p w14:paraId="3B04F9C8" w14:textId="77777777" w:rsidR="00777E11" w:rsidRDefault="00000000">
      <w:pPr>
        <w:spacing w:before="180" w:after="80"/>
      </w:pPr>
      <w:r>
        <w:rPr>
          <w:b/>
          <w:bCs/>
          <w:color w:val="333333"/>
          <w:sz w:val="24"/>
          <w:szCs w:val="24"/>
        </w:rPr>
        <w:t>Pattern 1: Gradual Transition — Healthy</w:t>
      </w:r>
    </w:p>
    <w:p w14:paraId="48EF39B5" w14:textId="77777777" w:rsidR="00777E11" w:rsidRDefault="00000000">
      <w:pPr>
        <w:spacing w:before="80" w:after="100"/>
      </w:pPr>
      <w:r>
        <w:lastRenderedPageBreak/>
        <w:t>In early retirement, the bars are dominated by blue (super). Over time, as super depletes, the dark green (Age Pension) grows to fill the gap. By late retirement, Age Pension and defined benefit income cover most spending. This is the expected, healthy pattern — the system is working as designed.</w:t>
      </w:r>
    </w:p>
    <w:p w14:paraId="1C85BC9B" w14:textId="77777777" w:rsidR="00777E11" w:rsidRDefault="00777E11">
      <w:pPr>
        <w:spacing w:before="40" w:after="40"/>
      </w:pPr>
    </w:p>
    <w:p w14:paraId="51A156B5" w14:textId="77777777" w:rsidR="00777E11" w:rsidRDefault="00000000">
      <w:pPr>
        <w:spacing w:before="180" w:after="80"/>
      </w:pPr>
      <w:r>
        <w:rPr>
          <w:b/>
          <w:bCs/>
          <w:color w:val="333333"/>
          <w:sz w:val="24"/>
          <w:szCs w:val="24"/>
        </w:rPr>
        <w:t>Pattern 2: Blue Disappears Abruptly — Warning</w:t>
      </w:r>
    </w:p>
    <w:p w14:paraId="358833C6" w14:textId="77777777" w:rsidR="00777E11" w:rsidRDefault="00000000">
      <w:pPr>
        <w:spacing w:before="80" w:after="100"/>
      </w:pPr>
      <w:r>
        <w:t>If the blue super bar disappears suddenly (rather than gradually) in mid-retirement, it means super ran out in those years. Check what fills the gap: if Age Pension and other income are sufficient, the plan may still be viable. If there's a shortfall (total bar height drops below your spending line), you have a real problem.</w:t>
      </w:r>
    </w:p>
    <w:p w14:paraId="4536FA7C" w14:textId="77777777" w:rsidR="00777E11" w:rsidRDefault="00777E11">
      <w:pPr>
        <w:spacing w:before="40" w:after="40"/>
      </w:pPr>
    </w:p>
    <w:p w14:paraId="693452CB" w14:textId="77777777" w:rsidR="00777E11" w:rsidRDefault="00000000">
      <w:pPr>
        <w:spacing w:before="180" w:after="80"/>
      </w:pPr>
      <w:r>
        <w:rPr>
          <w:b/>
          <w:bCs/>
          <w:color w:val="333333"/>
          <w:sz w:val="24"/>
          <w:szCs w:val="24"/>
        </w:rPr>
        <w:t>Pattern 3: Heavy Age Pension Reliance from Day One — Investigate</w:t>
      </w:r>
    </w:p>
    <w:p w14:paraId="1759173B" w14:textId="77777777" w:rsidR="00777E11" w:rsidRDefault="00000000">
      <w:pPr>
        <w:spacing w:before="80" w:after="100"/>
      </w:pPr>
      <w:r>
        <w:t>If Age Pension accounts for a large portion of income from the very start of retirement, your super balance may be lower than ideal relative to your spending, or you're entering retirement old enough that Age Pension kicks in promptly. This is not automatically bad, but it means your lifestyle is more exposed to any policy changes to the Age Pension.</w:t>
      </w:r>
    </w:p>
    <w:p w14:paraId="4FDCF1F9" w14:textId="77777777" w:rsidR="00777E11" w:rsidRDefault="00777E11">
      <w:pPr>
        <w:spacing w:before="40" w:after="40"/>
      </w:pPr>
    </w:p>
    <w:p w14:paraId="6A3BB87E" w14:textId="77777777" w:rsidR="00777E11" w:rsidRDefault="00000000">
      <w:pPr>
        <w:spacing w:before="180" w:after="80"/>
      </w:pPr>
      <w:r>
        <w:rPr>
          <w:b/>
          <w:bCs/>
          <w:color w:val="333333"/>
          <w:sz w:val="24"/>
          <w:szCs w:val="24"/>
        </w:rPr>
        <w:t>Pattern 4: Spending Line Drops in Later Years — Intentional or Not?</w:t>
      </w:r>
    </w:p>
    <w:p w14:paraId="1021AE37" w14:textId="77777777" w:rsidR="00777E11" w:rsidRDefault="00000000">
      <w:pPr>
        <w:spacing w:before="80" w:after="100"/>
      </w:pPr>
      <w:r>
        <w:t>The grey dashed line shows the minimum required superannuation drawdown. If your total spending (the bars) drops noticeably below your intended spending in later retirement, check whether the JP Morgan declining spend curve is active — this models the research finding that real spending naturally falls in late retirement as mobility decreases. If that's the cause, it's a deliberate modelling choice. If it's unexpected, investigate.</w:t>
      </w:r>
    </w:p>
    <w:p w14:paraId="772531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B61FDA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8F43354" w14:textId="77777777" w:rsidR="00777E11" w:rsidRDefault="00000000">
            <w:proofErr w:type="gramStart"/>
            <w:r>
              <w:t xml:space="preserve">💡  </w:t>
            </w:r>
            <w:r>
              <w:rPr>
                <w:i/>
                <w:iCs/>
              </w:rPr>
              <w:t>The</w:t>
            </w:r>
            <w:proofErr w:type="gramEnd"/>
            <w:r>
              <w:rPr>
                <w:i/>
                <w:iCs/>
              </w:rPr>
              <w:t xml:space="preserve"> Annual Spending Breakdown is best read in 'Real $' mode (toggle at the top of the screen). This removes the illusion of growing bars caused by inflation and shows you actual purchasing power each year.</w:t>
            </w:r>
          </w:p>
        </w:tc>
      </w:tr>
    </w:tbl>
    <w:p w14:paraId="794CA4DD" w14:textId="77777777" w:rsidR="00777E11" w:rsidRDefault="00777E11">
      <w:pPr>
        <w:spacing w:before="40" w:after="40"/>
      </w:pPr>
    </w:p>
    <w:p w14:paraId="0C5DB14B" w14:textId="77777777" w:rsidR="00777E11" w:rsidRDefault="00000000">
      <w:pPr>
        <w:pStyle w:val="Heading2"/>
      </w:pPr>
      <w:bookmarkStart w:id="9" w:name="_Toc223190825"/>
      <w:proofErr w:type="gramStart"/>
      <w:r>
        <w:t>3.3  What</w:t>
      </w:r>
      <w:proofErr w:type="gramEnd"/>
      <w:r>
        <w:t xml:space="preserve"> a Solid Income Floor Looks Like</w:t>
      </w:r>
      <w:bookmarkEnd w:id="9"/>
    </w:p>
    <w:p w14:paraId="0167393B" w14:textId="77777777" w:rsidR="00777E11" w:rsidRDefault="00000000">
      <w:pPr>
        <w:spacing w:before="80" w:after="100"/>
      </w:pPr>
      <w:r>
        <w:t>The most resilient retirement plans have a meaningful floor of non-super income — defined benefit pension, Age Pension, or annuity income — that covers a substantial portion of basic living costs. When that floor exists, market downturns have less power to derail the plan because essential spending doesn't depend on investment performance.</w:t>
      </w:r>
    </w:p>
    <w:p w14:paraId="700B3BA3" w14:textId="77777777" w:rsidR="00777E11" w:rsidRDefault="00777E11">
      <w:pPr>
        <w:spacing w:before="40" w:after="40"/>
      </w:pPr>
    </w:p>
    <w:p w14:paraId="79FBC6B0" w14:textId="77777777" w:rsidR="00777E11" w:rsidRDefault="00000000">
      <w:pPr>
        <w:spacing w:before="80" w:after="100"/>
      </w:pPr>
      <w:r>
        <w:t>If your income floor (green bars) covers 50–70% or more of your spending in late retirement, your plan is structurally robust. If it covers less than 30%, your lifestyle in late retirement is heavily dependent on investment returns over the next 20–30 years — worth stress-testing carefully.</w:t>
      </w:r>
    </w:p>
    <w:p w14:paraId="2F1E33A0" w14:textId="54102B5E" w:rsidR="00777E11" w:rsidRDefault="00777E11"/>
    <w:p w14:paraId="34AF43D0" w14:textId="77777777" w:rsidR="00777E11" w:rsidRDefault="00000000">
      <w:pPr>
        <w:pStyle w:val="Heading1"/>
        <w:pBdr>
          <w:bottom w:val="single" w:sz="6" w:space="4" w:color="2E75B6"/>
        </w:pBdr>
      </w:pPr>
      <w:bookmarkStart w:id="10" w:name="_Toc223190826"/>
      <w:r>
        <w:t>4.  Reading the Formal Stress Test Results</w:t>
      </w:r>
      <w:bookmarkEnd w:id="10"/>
    </w:p>
    <w:p w14:paraId="42C94F5D" w14:textId="77777777" w:rsidR="00777E11" w:rsidRDefault="00000000">
      <w:pPr>
        <w:spacing w:before="80" w:after="100"/>
      </w:pPr>
      <w:r>
        <w:t>The Formal Tests mode runs your plan through eight predefined scenarios, each designed to expose a specific type of vulnerability. No real retirement will exactly match any of these scenarios — but a robust plan should be able to absorb most of them.</w:t>
      </w:r>
    </w:p>
    <w:p w14:paraId="3FF68398" w14:textId="77777777" w:rsidR="00777E11" w:rsidRDefault="00777E11">
      <w:pPr>
        <w:spacing w:before="40" w:after="40"/>
      </w:pPr>
    </w:p>
    <w:p w14:paraId="6F232BC4" w14:textId="77777777" w:rsidR="00777E11" w:rsidRDefault="00000000">
      <w:pPr>
        <w:spacing w:before="80" w:after="100"/>
      </w:pPr>
      <w:r>
        <w:t>Rather than looking at each test in isolation, read them as a group. The pattern across tests tells you far more than any single result.</w:t>
      </w:r>
    </w:p>
    <w:p w14:paraId="3352FE55" w14:textId="77777777" w:rsidR="00777E11" w:rsidRDefault="00777E11">
      <w:pPr>
        <w:spacing w:before="40" w:after="40"/>
      </w:pPr>
    </w:p>
    <w:p w14:paraId="11F3CDBC" w14:textId="77777777" w:rsidR="00777E11" w:rsidRDefault="00000000">
      <w:pPr>
        <w:pStyle w:val="Heading2"/>
      </w:pPr>
      <w:bookmarkStart w:id="11" w:name="_Toc223190827"/>
      <w:proofErr w:type="gramStart"/>
      <w:r>
        <w:t>4.1  What</w:t>
      </w:r>
      <w:proofErr w:type="gramEnd"/>
      <w:r>
        <w:t xml:space="preserve"> Each Test Is Probing</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1600"/>
        <w:gridCol w:w="3000"/>
        <w:gridCol w:w="4040"/>
      </w:tblGrid>
      <w:tr w:rsidR="00777E11" w14:paraId="3F622610" w14:textId="77777777">
        <w:trPr>
          <w:tblHeader/>
        </w:trPr>
        <w:tc>
          <w:tcPr>
            <w:tcW w:w="7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1286A61" w14:textId="77777777" w:rsidR="00777E11" w:rsidRDefault="00000000">
            <w:r>
              <w:rPr>
                <w:b/>
                <w:bCs/>
                <w:sz w:val="20"/>
                <w:szCs w:val="20"/>
              </w:rPr>
              <w:t>Test</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685F736" w14:textId="77777777" w:rsidR="00777E11" w:rsidRDefault="00000000">
            <w:r>
              <w:rPr>
                <w:b/>
                <w:bCs/>
                <w:sz w:val="20"/>
                <w:szCs w:val="20"/>
              </w:rPr>
              <w:t>Name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69A2A4" w14:textId="77777777" w:rsidR="00777E11" w:rsidRDefault="00000000">
            <w:r>
              <w:rPr>
                <w:b/>
                <w:bCs/>
                <w:sz w:val="20"/>
                <w:szCs w:val="20"/>
              </w:rPr>
              <w:t>Scenario</w:t>
            </w:r>
          </w:p>
        </w:tc>
        <w:tc>
          <w:tcPr>
            <w:tcW w:w="40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B91471D" w14:textId="77777777" w:rsidR="00777E11" w:rsidRDefault="00000000">
            <w:r>
              <w:rPr>
                <w:b/>
                <w:bCs/>
                <w:sz w:val="20"/>
                <w:szCs w:val="20"/>
              </w:rPr>
              <w:t>What Failure Reveals</w:t>
            </w:r>
          </w:p>
        </w:tc>
      </w:tr>
      <w:tr w:rsidR="00777E11" w14:paraId="368F9FD1"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AF779" w14:textId="77777777" w:rsidR="00777E11" w:rsidRDefault="00000000">
            <w:r>
              <w:rPr>
                <w:sz w:val="20"/>
                <w:szCs w:val="20"/>
              </w:rPr>
              <w:t>A1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D4B79F" w14:textId="77777777" w:rsidR="00777E11" w:rsidRDefault="00000000">
            <w:r>
              <w:rPr>
                <w:sz w:val="20"/>
                <w:szCs w:val="20"/>
              </w:rPr>
              <w:t>Base Case</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95205C" w14:textId="77777777" w:rsidR="00777E11" w:rsidRDefault="00000000">
            <w:r>
              <w:rPr>
                <w:sz w:val="20"/>
                <w:szCs w:val="20"/>
              </w:rPr>
              <w:t>5% return, 2.5% inflation — a moderate, steady environment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73BD8" w14:textId="77777777" w:rsidR="00777E11" w:rsidRDefault="00000000">
            <w:r>
              <w:rPr>
                <w:sz w:val="20"/>
                <w:szCs w:val="20"/>
              </w:rPr>
              <w:t>If A1 fails, your base spending is simply too high for your super balance. Start here.</w:t>
            </w:r>
          </w:p>
        </w:tc>
      </w:tr>
      <w:tr w:rsidR="00777E11" w14:paraId="5DF7BA92"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F2E04E" w14:textId="77777777" w:rsidR="00777E11" w:rsidRDefault="00000000">
            <w:r>
              <w:rPr>
                <w:sz w:val="20"/>
                <w:szCs w:val="20"/>
              </w:rPr>
              <w:t>A2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93DFD7" w14:textId="77777777" w:rsidR="00777E11" w:rsidRDefault="00000000">
            <w:r>
              <w:rPr>
                <w:sz w:val="20"/>
                <w:szCs w:val="20"/>
              </w:rPr>
              <w:t>Low Returns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EE3DD" w14:textId="77777777" w:rsidR="00777E11" w:rsidRDefault="00000000">
            <w:r>
              <w:rPr>
                <w:sz w:val="20"/>
                <w:szCs w:val="20"/>
              </w:rPr>
              <w:t>3.5% return — a world of structurally lower investment returns</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788E4B" w14:textId="77777777" w:rsidR="00777E11" w:rsidRDefault="00000000">
            <w:r>
              <w:rPr>
                <w:sz w:val="20"/>
                <w:szCs w:val="20"/>
              </w:rPr>
              <w:t>Sensitivity to a prolonged low-growth environment (e.g., Japan post-1990). More likely than people assume.</w:t>
            </w:r>
          </w:p>
        </w:tc>
      </w:tr>
      <w:tr w:rsidR="00777E11" w14:paraId="619E6588"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BD5F64" w14:textId="77777777" w:rsidR="00777E11" w:rsidRDefault="00000000">
            <w:r>
              <w:rPr>
                <w:sz w:val="20"/>
                <w:szCs w:val="20"/>
              </w:rPr>
              <w:t>B1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012578" w14:textId="77777777" w:rsidR="00777E11" w:rsidRDefault="00000000">
            <w:r>
              <w:rPr>
                <w:sz w:val="20"/>
                <w:szCs w:val="20"/>
              </w:rPr>
              <w:t>Crash</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073187" w14:textId="77777777" w:rsidR="00777E11" w:rsidRDefault="00000000">
            <w:r>
              <w:rPr>
                <w:sz w:val="20"/>
                <w:szCs w:val="20"/>
              </w:rPr>
              <w:t>Immediate -25% crash, then 5% recovery</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03E613" w14:textId="77777777" w:rsidR="00777E11" w:rsidRDefault="00000000">
            <w:r>
              <w:rPr>
                <w:sz w:val="20"/>
                <w:szCs w:val="20"/>
              </w:rPr>
              <w:t>Sequence-of-returns risk in the first year. Most dangerous event is a major crash just after retirement.</w:t>
            </w:r>
          </w:p>
        </w:tc>
      </w:tr>
      <w:tr w:rsidR="00777E11" w14:paraId="0FAFC01E"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9EB33" w14:textId="77777777" w:rsidR="00777E11" w:rsidRDefault="00000000">
            <w:r>
              <w:rPr>
                <w:sz w:val="20"/>
                <w:szCs w:val="20"/>
              </w:rPr>
              <w:t>B2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B0C05E" w14:textId="77777777" w:rsidR="00777E11" w:rsidRDefault="00000000">
            <w:r>
              <w:rPr>
                <w:sz w:val="20"/>
                <w:szCs w:val="20"/>
              </w:rPr>
              <w:t>Bear Market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D0C2DE" w14:textId="77777777" w:rsidR="00777E11" w:rsidRDefault="00000000">
            <w:r>
              <w:rPr>
                <w:sz w:val="20"/>
                <w:szCs w:val="20"/>
              </w:rPr>
              <w:t>10 years of zero real returns, then 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D0ADFD" w14:textId="77777777" w:rsidR="00777E11" w:rsidRDefault="00000000">
            <w:r>
              <w:rPr>
                <w:sz w:val="20"/>
                <w:szCs w:val="20"/>
              </w:rPr>
              <w:t>Sustained mediocrity — the slow grind that slowly depletes super without the drama of a crash.</w:t>
            </w:r>
          </w:p>
        </w:tc>
      </w:tr>
      <w:tr w:rsidR="00777E11" w14:paraId="27B945F7"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6A0674" w14:textId="77777777" w:rsidR="00777E11" w:rsidRDefault="00000000">
            <w:r>
              <w:rPr>
                <w:sz w:val="20"/>
                <w:szCs w:val="20"/>
              </w:rPr>
              <w:t>B3</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867BE3" w14:textId="77777777" w:rsidR="00777E11" w:rsidRDefault="00000000">
            <w:r>
              <w:rPr>
                <w:sz w:val="20"/>
                <w:szCs w:val="20"/>
              </w:rPr>
              <w:t>High Volatility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4B94F3" w14:textId="77777777" w:rsidR="00777E11" w:rsidRDefault="00000000">
            <w:r>
              <w:rPr>
                <w:sz w:val="20"/>
                <w:szCs w:val="20"/>
              </w:rPr>
              <w:t>Wild swings averaging 5%</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9DEDD1" w14:textId="77777777" w:rsidR="00777E11" w:rsidRDefault="00000000">
            <w:r>
              <w:rPr>
                <w:sz w:val="20"/>
                <w:szCs w:val="20"/>
              </w:rPr>
              <w:t>Whether the average return matters less than its distribution. Tests guardrail effectiveness.</w:t>
            </w:r>
          </w:p>
        </w:tc>
      </w:tr>
      <w:tr w:rsidR="00777E11" w14:paraId="39FCBD09"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BDE2CF" w14:textId="77777777" w:rsidR="00777E11" w:rsidRDefault="00000000">
            <w:r>
              <w:rPr>
                <w:sz w:val="20"/>
                <w:szCs w:val="20"/>
              </w:rPr>
              <w:t>C1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2DD04" w14:textId="77777777" w:rsidR="00777E11" w:rsidRDefault="00000000">
            <w:r>
              <w:rPr>
                <w:sz w:val="20"/>
                <w:szCs w:val="20"/>
              </w:rPr>
              <w:t>High Inflation</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5B6AC" w14:textId="77777777" w:rsidR="00777E11" w:rsidRDefault="00000000">
            <w:r>
              <w:rPr>
                <w:sz w:val="20"/>
                <w:szCs w:val="20"/>
              </w:rPr>
              <w:t>5% inflation across the full period</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DC49E" w14:textId="77777777" w:rsidR="00777E11" w:rsidRDefault="00000000">
            <w:r>
              <w:rPr>
                <w:sz w:val="20"/>
                <w:szCs w:val="20"/>
              </w:rPr>
              <w:t>Purchasing power erosion. Particularly damages fixed-income assets and spending that can't scale down.</w:t>
            </w:r>
          </w:p>
        </w:tc>
      </w:tr>
      <w:tr w:rsidR="00777E11" w14:paraId="2FE25E3C"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CE1BB" w14:textId="77777777" w:rsidR="00777E11" w:rsidRDefault="00000000">
            <w:r>
              <w:rPr>
                <w:sz w:val="20"/>
                <w:szCs w:val="20"/>
              </w:rPr>
              <w:t>D1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9C8625" w14:textId="77777777" w:rsidR="00777E11" w:rsidRDefault="00000000">
            <w:r>
              <w:rPr>
                <w:sz w:val="20"/>
                <w:szCs w:val="20"/>
              </w:rPr>
              <w:t>Extreme Longevity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D310A8" w14:textId="77777777" w:rsidR="00777E11" w:rsidRDefault="00000000">
            <w:r>
              <w:rPr>
                <w:sz w:val="20"/>
                <w:szCs w:val="20"/>
              </w:rPr>
              <w:t>Survival to age 105 — a 45-year retirement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2E75C" w14:textId="77777777" w:rsidR="00777E11" w:rsidRDefault="00000000">
            <w:r>
              <w:rPr>
                <w:sz w:val="20"/>
                <w:szCs w:val="20"/>
              </w:rPr>
              <w:t>Whether you're genuinely planning for longevity or implicitly assuming average life expectancy.</w:t>
            </w:r>
          </w:p>
        </w:tc>
      </w:tr>
      <w:tr w:rsidR="00777E11" w14:paraId="7F0F5600"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45E4EA" w14:textId="77777777" w:rsidR="00777E11" w:rsidRDefault="00000000">
            <w:r>
              <w:rPr>
                <w:sz w:val="20"/>
                <w:szCs w:val="20"/>
              </w:rPr>
              <w:t>G1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6B9291" w14:textId="77777777" w:rsidR="00777E11" w:rsidRDefault="00000000">
            <w:r>
              <w:rPr>
                <w:sz w:val="20"/>
                <w:szCs w:val="20"/>
              </w:rPr>
              <w:t>Health Shock</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E288EF" w14:textId="77777777" w:rsidR="00777E11" w:rsidRDefault="00000000">
            <w:r>
              <w:rPr>
                <w:sz w:val="20"/>
                <w:szCs w:val="20"/>
              </w:rPr>
              <w:t>$30k/year extra medical costs from age 75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C24DE" w14:textId="77777777" w:rsidR="00777E11" w:rsidRDefault="00000000">
            <w:r>
              <w:rPr>
                <w:sz w:val="20"/>
                <w:szCs w:val="20"/>
              </w:rPr>
              <w:t>Late-retirement healthcare costs that many people underestimate, particularly relevant for singles.</w:t>
            </w:r>
          </w:p>
        </w:tc>
      </w:tr>
      <w:tr w:rsidR="00777E11" w14:paraId="4CBC87F4" w14:textId="77777777">
        <w:tc>
          <w:tcPr>
            <w:tcW w:w="7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A6339DC" w14:textId="77777777" w:rsidR="00777E11" w:rsidRDefault="00000000">
            <w:r>
              <w:rPr>
                <w:sz w:val="20"/>
                <w:szCs w:val="20"/>
              </w:rPr>
              <w:t>H1</w:t>
            </w:r>
          </w:p>
        </w:tc>
        <w:tc>
          <w:tcPr>
            <w:tcW w:w="1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BAF6A24" w14:textId="77777777" w:rsidR="00777E11" w:rsidRDefault="00000000">
            <w:r>
              <w:rPr>
                <w:sz w:val="20"/>
                <w:szCs w:val="20"/>
              </w:rPr>
              <w:t>Worst Case</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387A9EA" w14:textId="77777777" w:rsidR="00777E11" w:rsidRDefault="00000000">
            <w:r>
              <w:rPr>
                <w:sz w:val="20"/>
                <w:szCs w:val="20"/>
              </w:rPr>
              <w:t>Crash + high inflation + health costs combined</w:t>
            </w:r>
          </w:p>
        </w:tc>
        <w:tc>
          <w:tcPr>
            <w:tcW w:w="404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68E50BE" w14:textId="77777777" w:rsidR="00777E11" w:rsidRDefault="00000000">
            <w:r>
              <w:rPr>
                <w:sz w:val="20"/>
                <w:szCs w:val="20"/>
              </w:rPr>
              <w:t>The 'perfect storm'. A plan that survives H1 is genuinely robust. Most plans don't need to.</w:t>
            </w:r>
          </w:p>
        </w:tc>
      </w:tr>
    </w:tbl>
    <w:p w14:paraId="77B86A16" w14:textId="77777777" w:rsidR="00777E11" w:rsidRDefault="00777E11">
      <w:pPr>
        <w:spacing w:before="40" w:after="40"/>
      </w:pPr>
    </w:p>
    <w:p w14:paraId="78CAD503" w14:textId="77777777" w:rsidR="00777E11" w:rsidRDefault="00000000">
      <w:pPr>
        <w:pStyle w:val="Heading2"/>
      </w:pPr>
      <w:bookmarkStart w:id="12" w:name="_Toc223190828"/>
      <w:proofErr w:type="gramStart"/>
      <w:r>
        <w:t>4.2  How</w:t>
      </w:r>
      <w:proofErr w:type="gramEnd"/>
      <w:r>
        <w:t xml:space="preserve"> to Read Your Stress Test Results Together</w:t>
      </w:r>
      <w:bookmarkEnd w:id="12"/>
    </w:p>
    <w:p w14:paraId="185ABA38" w14:textId="77777777" w:rsidR="00777E11" w:rsidRDefault="00000000">
      <w:pPr>
        <w:spacing w:before="80" w:after="100"/>
      </w:pPr>
      <w:r>
        <w:t>Work through the following questions after running the formal tests:</w:t>
      </w:r>
    </w:p>
    <w:p w14:paraId="6BA6BFFF" w14:textId="77777777" w:rsidR="00777E11" w:rsidRDefault="00777E11">
      <w:pPr>
        <w:spacing w:before="40" w:after="40"/>
      </w:pPr>
    </w:p>
    <w:p w14:paraId="772088AD" w14:textId="77777777" w:rsidR="00777E11" w:rsidRDefault="00000000">
      <w:pPr>
        <w:pStyle w:val="ListParagraph"/>
        <w:numPr>
          <w:ilvl w:val="0"/>
          <w:numId w:val="2"/>
        </w:numPr>
        <w:spacing w:before="60" w:after="60"/>
      </w:pPr>
      <w:r>
        <w:rPr>
          <w:b/>
          <w:bCs/>
        </w:rPr>
        <w:t xml:space="preserve">Does A1 succeed? </w:t>
      </w:r>
      <w:r>
        <w:t>If not, stop here — this is the most urgent problem. Your base spending exceeds what your super can sustain even with steady, moderate returns. Reduce spending or delay retirement before proceeding.</w:t>
      </w:r>
    </w:p>
    <w:p w14:paraId="36285C8B" w14:textId="77777777" w:rsidR="00777E11" w:rsidRDefault="00777E11">
      <w:pPr>
        <w:spacing w:before="40" w:after="40"/>
      </w:pPr>
    </w:p>
    <w:p w14:paraId="45731889" w14:textId="77777777" w:rsidR="00777E11" w:rsidRDefault="00000000">
      <w:pPr>
        <w:pStyle w:val="ListParagraph"/>
        <w:numPr>
          <w:ilvl w:val="0"/>
          <w:numId w:val="2"/>
        </w:numPr>
        <w:spacing w:before="60" w:after="60"/>
      </w:pPr>
      <w:r>
        <w:rPr>
          <w:b/>
          <w:bCs/>
        </w:rPr>
        <w:t xml:space="preserve">Does A2 succeed? </w:t>
      </w:r>
      <w:r>
        <w:t xml:space="preserve">If A1 succeeds but A2 fails, your plan depends on investment returns remaining at or above the current Australian market average. That's not </w:t>
      </w:r>
      <w:proofErr w:type="gramStart"/>
      <w:r>
        <w:t>unreasonable, but</w:t>
      </w:r>
      <w:proofErr w:type="gramEnd"/>
      <w:r>
        <w:t xml:space="preserve"> be aware of the risk.</w:t>
      </w:r>
    </w:p>
    <w:p w14:paraId="6B812A04" w14:textId="77777777" w:rsidR="00777E11" w:rsidRDefault="00777E11">
      <w:pPr>
        <w:spacing w:before="40" w:after="40"/>
      </w:pPr>
    </w:p>
    <w:p w14:paraId="5535CB05" w14:textId="77777777" w:rsidR="00777E11" w:rsidRDefault="00000000">
      <w:pPr>
        <w:pStyle w:val="ListParagraph"/>
        <w:numPr>
          <w:ilvl w:val="0"/>
          <w:numId w:val="2"/>
        </w:numPr>
        <w:spacing w:before="60" w:after="60"/>
      </w:pPr>
      <w:r>
        <w:rPr>
          <w:b/>
          <w:bCs/>
        </w:rPr>
        <w:t xml:space="preserve">Do B1 and B2 differ significantly? </w:t>
      </w:r>
      <w:r>
        <w:t>If B1 (crash) fails but B2 (bear market) succeeds — or vice versa — that tells you whether your vulnerability is to sharp shocks or grinding underperformance. A sequencing buffer helps with B1; guardrails help more with B2.</w:t>
      </w:r>
    </w:p>
    <w:p w14:paraId="0BBA6A7E" w14:textId="77777777" w:rsidR="00777E11" w:rsidRDefault="00777E11">
      <w:pPr>
        <w:spacing w:before="40" w:after="40"/>
      </w:pPr>
    </w:p>
    <w:p w14:paraId="099417ED" w14:textId="77777777" w:rsidR="00777E11" w:rsidRDefault="00000000">
      <w:pPr>
        <w:pStyle w:val="ListParagraph"/>
        <w:numPr>
          <w:ilvl w:val="0"/>
          <w:numId w:val="2"/>
        </w:numPr>
        <w:spacing w:before="60" w:after="60"/>
      </w:pPr>
      <w:r>
        <w:rPr>
          <w:b/>
          <w:bCs/>
        </w:rPr>
        <w:t xml:space="preserve">Does C1 (high inflation) cause notable deterioration? </w:t>
      </w:r>
      <w:r>
        <w:t xml:space="preserve">If yes, your spending is not adequately </w:t>
      </w:r>
      <w:proofErr w:type="gramStart"/>
      <w:r>
        <w:t>indexed</w:t>
      </w:r>
      <w:proofErr w:type="gramEnd"/>
      <w:r>
        <w:t xml:space="preserve"> and your non-CPI income is significant. Defined benefit pensions with fixed (non-CPI) indexation are particularly exposed here.</w:t>
      </w:r>
    </w:p>
    <w:p w14:paraId="1166A2C3" w14:textId="77777777" w:rsidR="00777E11" w:rsidRDefault="00777E11">
      <w:pPr>
        <w:spacing w:before="40" w:after="40"/>
      </w:pPr>
    </w:p>
    <w:p w14:paraId="297EC724" w14:textId="77777777" w:rsidR="00777E11" w:rsidRDefault="00000000">
      <w:pPr>
        <w:pStyle w:val="ListParagraph"/>
        <w:numPr>
          <w:ilvl w:val="0"/>
          <w:numId w:val="2"/>
        </w:numPr>
        <w:spacing w:before="60" w:after="60"/>
      </w:pPr>
      <w:r>
        <w:rPr>
          <w:b/>
          <w:bCs/>
        </w:rPr>
        <w:t xml:space="preserve">Does D1 (longevity) fail materially earlier than your planned endpoint? </w:t>
      </w:r>
      <w:r>
        <w:t>This is worth examining carefully. A plan that runs to 90 but fails at 97 is not a problem if you're confident your family longevity doesn't extend that far — but worth discussing with a financial planner if you have long-lived parents.</w:t>
      </w:r>
    </w:p>
    <w:p w14:paraId="7FAA81AC" w14:textId="77777777" w:rsidR="00777E11" w:rsidRDefault="00777E11">
      <w:pPr>
        <w:spacing w:before="40" w:after="40"/>
      </w:pPr>
    </w:p>
    <w:p w14:paraId="4B3D9C45" w14:textId="77777777" w:rsidR="00777E11" w:rsidRDefault="00000000">
      <w:pPr>
        <w:pStyle w:val="ListParagraph"/>
        <w:numPr>
          <w:ilvl w:val="0"/>
          <w:numId w:val="2"/>
        </w:numPr>
        <w:spacing w:before="60" w:after="60"/>
      </w:pPr>
      <w:r>
        <w:rPr>
          <w:b/>
          <w:bCs/>
        </w:rPr>
        <w:t xml:space="preserve">Does G1 (health shock) fail? </w:t>
      </w:r>
      <w:r>
        <w:t>If yes, consider whether you have other health-cost buffers — private health insurance, savings earmarked for care, or the ability to scale back spending. Aged care modelling (built into the calculator) is worth enabling separately.</w:t>
      </w:r>
    </w:p>
    <w:p w14:paraId="15A0D56A"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59CFE9F6"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56280EE2" w14:textId="77777777" w:rsidR="00777E11" w:rsidRDefault="00000000">
            <w:proofErr w:type="gramStart"/>
            <w:r>
              <w:t xml:space="preserve">💡  </w:t>
            </w:r>
            <w:r>
              <w:rPr>
                <w:i/>
                <w:iCs/>
              </w:rPr>
              <w:t>A</w:t>
            </w:r>
            <w:proofErr w:type="gramEnd"/>
            <w:r>
              <w:rPr>
                <w:i/>
                <w:iCs/>
              </w:rPr>
              <w:t xml:space="preserve"> robust plan should survive A1, A2, B1, B2, and C1 under most circumstances. B3, D1, and G1 are secondary — their failure indicates specific vulnerabilities worth noting but not necessarily fixing at the cost of current quality of life. H1 is a worst-case scenario: surviving it is a bonus, not a requirement.</w:t>
            </w:r>
          </w:p>
        </w:tc>
      </w:tr>
    </w:tbl>
    <w:p w14:paraId="3BB5DF35" w14:textId="0B5C907D" w:rsidR="00777E11" w:rsidRDefault="00777E11"/>
    <w:p w14:paraId="4B40B524" w14:textId="77777777" w:rsidR="00777E11" w:rsidRDefault="00000000">
      <w:pPr>
        <w:pStyle w:val="Heading1"/>
        <w:pBdr>
          <w:bottom w:val="single" w:sz="6" w:space="4" w:color="2E75B6"/>
        </w:pBdr>
      </w:pPr>
      <w:bookmarkStart w:id="13" w:name="_Toc223190829"/>
      <w:r>
        <w:t xml:space="preserve">5.  Age Pension: When It Kicks </w:t>
      </w:r>
      <w:proofErr w:type="gramStart"/>
      <w:r>
        <w:t>In</w:t>
      </w:r>
      <w:proofErr w:type="gramEnd"/>
      <w:r>
        <w:t xml:space="preserve"> and What It Means</w:t>
      </w:r>
      <w:bookmarkEnd w:id="13"/>
    </w:p>
    <w:p w14:paraId="0C720B76" w14:textId="77777777" w:rsidR="00777E11" w:rsidRDefault="00000000">
      <w:pPr>
        <w:spacing w:before="80" w:after="100"/>
      </w:pPr>
      <w:r>
        <w:t>The Age Pension is Australia's most under-appreciated retirement asset. Many people approaching retirement underestimate how significant it will become — particularly in late retirement when super balances have declined.</w:t>
      </w:r>
    </w:p>
    <w:p w14:paraId="0E2E5821" w14:textId="77777777" w:rsidR="00777E11" w:rsidRDefault="00777E11">
      <w:pPr>
        <w:spacing w:before="40" w:after="40"/>
      </w:pPr>
    </w:p>
    <w:p w14:paraId="22F7AE8D" w14:textId="77777777" w:rsidR="00777E11" w:rsidRDefault="00000000">
      <w:pPr>
        <w:pStyle w:val="Heading2"/>
      </w:pPr>
      <w:bookmarkStart w:id="14" w:name="_Toc223190830"/>
      <w:proofErr w:type="gramStart"/>
      <w:r>
        <w:t>5.1  How</w:t>
      </w:r>
      <w:proofErr w:type="gramEnd"/>
      <w:r>
        <w:t xml:space="preserve"> Eligibility Works</w:t>
      </w:r>
      <w:bookmarkEnd w:id="14"/>
    </w:p>
    <w:p w14:paraId="12F0126B" w14:textId="77777777" w:rsidR="00777E11" w:rsidRDefault="00000000">
      <w:pPr>
        <w:spacing w:before="80" w:after="100"/>
      </w:pPr>
      <w:r>
        <w:t>The Age Pension becomes available at age 67 (current qualifying age for anyone born after 1 January 1957). Eligibility is then determined by two means tests, both applied every fortnight — and whichever test produces the lower payment is the one that applies:</w:t>
      </w:r>
    </w:p>
    <w:p w14:paraId="1EFF5962" w14:textId="77777777" w:rsidR="00777E11" w:rsidRDefault="00777E11">
      <w:pPr>
        <w:spacing w:before="40" w:after="40"/>
      </w:pPr>
    </w:p>
    <w:p w14:paraId="4514B528" w14:textId="77777777" w:rsidR="00777E11" w:rsidRDefault="00000000">
      <w:pPr>
        <w:pStyle w:val="ListParagraph"/>
        <w:numPr>
          <w:ilvl w:val="0"/>
          <w:numId w:val="2"/>
        </w:numPr>
        <w:spacing w:before="60" w:after="60"/>
      </w:pPr>
      <w:r>
        <w:rPr>
          <w:b/>
          <w:bCs/>
        </w:rPr>
        <w:t xml:space="preserve">Assets Test: </w:t>
      </w:r>
      <w:r>
        <w:t>Centrelink assesses your total assets (excluding your principal home if you own one). For every $1,000 of assets above the threshold, your pension reduces by $3/fortnight. As your super draws down over retirement, your assets fall — and your pension typically increases.</w:t>
      </w:r>
    </w:p>
    <w:p w14:paraId="46768DFB" w14:textId="77777777" w:rsidR="00777E11" w:rsidRDefault="00000000">
      <w:pPr>
        <w:pStyle w:val="ListParagraph"/>
        <w:numPr>
          <w:ilvl w:val="0"/>
          <w:numId w:val="2"/>
        </w:numPr>
        <w:spacing w:before="60" w:after="60"/>
      </w:pPr>
      <w:r>
        <w:rPr>
          <w:b/>
          <w:bCs/>
        </w:rPr>
        <w:t xml:space="preserve">Income Test: </w:t>
      </w:r>
      <w:r>
        <w:t xml:space="preserve">Centrelink assesses your income from all sources including deemed income from financial assets (even if you don't </w:t>
      </w:r>
      <w:proofErr w:type="gramStart"/>
      <w:r>
        <w:t>actually earn</w:t>
      </w:r>
      <w:proofErr w:type="gramEnd"/>
      <w:r>
        <w:t xml:space="preserve"> that amount). Deeming rates set a notional income for assets regardless of actual returns.</w:t>
      </w:r>
    </w:p>
    <w:p w14:paraId="4D31B6D7" w14:textId="77777777" w:rsidR="00777E11" w:rsidRDefault="00777E11">
      <w:pPr>
        <w:spacing w:before="40" w:after="40"/>
      </w:pPr>
    </w:p>
    <w:p w14:paraId="07403C16" w14:textId="77777777" w:rsidR="00777E11" w:rsidRDefault="00000000">
      <w:pPr>
        <w:spacing w:before="80" w:after="100"/>
      </w:pPr>
      <w:r>
        <w:t>The calculator models both tests automatically, using the thresholds and rates you've configured (September 2025 parameters by default).</w:t>
      </w:r>
    </w:p>
    <w:p w14:paraId="464DD3A3" w14:textId="77777777" w:rsidR="00777E11" w:rsidRDefault="00777E11">
      <w:pPr>
        <w:spacing w:before="40" w:after="40"/>
      </w:pPr>
    </w:p>
    <w:p w14:paraId="32BCDE2C" w14:textId="77777777" w:rsidR="00777E11" w:rsidRDefault="00000000">
      <w:pPr>
        <w:pStyle w:val="Heading2"/>
      </w:pPr>
      <w:bookmarkStart w:id="15" w:name="_Toc223190831"/>
      <w:proofErr w:type="gramStart"/>
      <w:r>
        <w:lastRenderedPageBreak/>
        <w:t>5.2  The</w:t>
      </w:r>
      <w:proofErr w:type="gramEnd"/>
      <w:r>
        <w:t xml:space="preserve"> Natural Increase Pattern</w:t>
      </w:r>
      <w:bookmarkEnd w:id="15"/>
    </w:p>
    <w:p w14:paraId="12A3FC2E" w14:textId="77777777" w:rsidR="00777E11" w:rsidRDefault="00000000">
      <w:pPr>
        <w:spacing w:before="80" w:after="100"/>
      </w:pPr>
      <w:r>
        <w:t>One of the most important — and often counterintuitive — dynamics in the chart is that Age Pension payments typically grow over time, even before accounting for indexation. This happens because your super balance is declining:</w:t>
      </w:r>
    </w:p>
    <w:p w14:paraId="380E1B0C" w14:textId="77777777" w:rsidR="00777E11" w:rsidRDefault="00777E11">
      <w:pPr>
        <w:spacing w:before="40" w:after="40"/>
      </w:pPr>
    </w:p>
    <w:p w14:paraId="103066E4" w14:textId="77777777" w:rsidR="00777E11" w:rsidRDefault="00000000">
      <w:pPr>
        <w:pStyle w:val="ListParagraph"/>
        <w:numPr>
          <w:ilvl w:val="0"/>
          <w:numId w:val="2"/>
        </w:numPr>
        <w:spacing w:before="60" w:after="60"/>
      </w:pPr>
      <w:r>
        <w:rPr>
          <w:b/>
          <w:bCs/>
        </w:rPr>
        <w:t xml:space="preserve">Years 1–10: </w:t>
      </w:r>
      <w:r>
        <w:t>Super is high, so you're likely above the assets test threshold for a full pension. You may receive a part pension or nothing at all if assets are very high.</w:t>
      </w:r>
    </w:p>
    <w:p w14:paraId="2BE7EFE7" w14:textId="77777777" w:rsidR="00777E11" w:rsidRDefault="00000000">
      <w:pPr>
        <w:pStyle w:val="ListParagraph"/>
        <w:numPr>
          <w:ilvl w:val="0"/>
          <w:numId w:val="2"/>
        </w:numPr>
        <w:spacing w:before="60" w:after="60"/>
      </w:pPr>
      <w:r>
        <w:rPr>
          <w:b/>
          <w:bCs/>
        </w:rPr>
        <w:t xml:space="preserve">Years 10–20: </w:t>
      </w:r>
      <w:r>
        <w:t>As super depletes below the threshold, your entitlement grows — sometimes significantly. Many retirees move from a small part-pension to a substantial payment in this phase.</w:t>
      </w:r>
    </w:p>
    <w:p w14:paraId="7BEB37CC" w14:textId="77777777" w:rsidR="00777E11" w:rsidRDefault="00000000">
      <w:pPr>
        <w:pStyle w:val="ListParagraph"/>
        <w:numPr>
          <w:ilvl w:val="0"/>
          <w:numId w:val="2"/>
        </w:numPr>
        <w:spacing w:before="60" w:after="60"/>
      </w:pPr>
      <w:r>
        <w:rPr>
          <w:b/>
          <w:bCs/>
        </w:rPr>
        <w:t xml:space="preserve">Years 20+: </w:t>
      </w:r>
      <w:r>
        <w:t>With super largely or fully depleted, Age Pension may become your primary income source alongside any defined benefit pension.</w:t>
      </w:r>
    </w:p>
    <w:p w14:paraId="09C886DF" w14:textId="77777777" w:rsidR="00777E11" w:rsidRDefault="00777E11">
      <w:pPr>
        <w:spacing w:before="40" w:after="40"/>
      </w:pPr>
    </w:p>
    <w:p w14:paraId="6CEAD2EE" w14:textId="77777777" w:rsidR="00777E11" w:rsidRDefault="00000000">
      <w:pPr>
        <w:spacing w:before="80" w:after="100"/>
      </w:pPr>
      <w:r>
        <w:t>This pattern means the Age Pension acts as a natural floor that rises as your investment portfolio falls — a form of built-in insurance against longevity that many people don't fully appreciate when they're planning at age 55 or 60.</w:t>
      </w:r>
    </w:p>
    <w:p w14:paraId="07AADDF7" w14:textId="77777777" w:rsidR="00777E11" w:rsidRDefault="00777E11">
      <w:pPr>
        <w:spacing w:before="40" w:after="40"/>
      </w:pPr>
    </w:p>
    <w:p w14:paraId="4111F69E" w14:textId="77777777" w:rsidR="00777E11" w:rsidRDefault="00000000">
      <w:pPr>
        <w:pStyle w:val="Heading2"/>
      </w:pPr>
      <w:bookmarkStart w:id="16" w:name="_Toc223190832"/>
      <w:proofErr w:type="gramStart"/>
      <w:r>
        <w:t>5.3  Couples</w:t>
      </w:r>
      <w:proofErr w:type="gramEnd"/>
      <w:r>
        <w:t xml:space="preserve"> vs Singles</w:t>
      </w:r>
      <w:bookmarkEnd w:id="16"/>
    </w:p>
    <w:p w14:paraId="692ED37A" w14:textId="77777777" w:rsidR="00777E11" w:rsidRDefault="00000000">
      <w:pPr>
        <w:spacing w:before="80" w:after="100"/>
      </w:pPr>
      <w:r>
        <w:t>Age Pension rates for couples are not simply double the single rate — they are approximately 1.5x the single rate. This means:</w:t>
      </w:r>
    </w:p>
    <w:p w14:paraId="4473E57B" w14:textId="77777777" w:rsidR="00777E11" w:rsidRDefault="00777E11">
      <w:pPr>
        <w:spacing w:before="40" w:after="40"/>
      </w:pPr>
    </w:p>
    <w:p w14:paraId="2D378AAF" w14:textId="77777777" w:rsidR="00777E11" w:rsidRDefault="00000000">
      <w:pPr>
        <w:pStyle w:val="ListParagraph"/>
        <w:numPr>
          <w:ilvl w:val="0"/>
          <w:numId w:val="2"/>
        </w:numPr>
        <w:spacing w:before="60" w:after="60"/>
      </w:pPr>
      <w:r>
        <w:rPr>
          <w:b/>
          <w:bCs/>
        </w:rPr>
        <w:t xml:space="preserve">When modelling as a couple, </w:t>
      </w:r>
      <w:r>
        <w:t>your combined maximum Age Pension is roughly 75% of two single pensions, not 100%. The assets test thresholds are higher for couples, but not proportionally so.</w:t>
      </w:r>
    </w:p>
    <w:p w14:paraId="46D01DBC" w14:textId="77777777" w:rsidR="00777E11" w:rsidRDefault="00000000">
      <w:pPr>
        <w:pStyle w:val="ListParagraph"/>
        <w:numPr>
          <w:ilvl w:val="0"/>
          <w:numId w:val="2"/>
        </w:numPr>
        <w:spacing w:before="60" w:after="60"/>
      </w:pPr>
      <w:r>
        <w:rPr>
          <w:b/>
          <w:bCs/>
        </w:rPr>
        <w:t xml:space="preserve">Death scenarios matter here. </w:t>
      </w:r>
      <w:r>
        <w:t>When a partner dies, the survivor reverts to single-rate Age Pension. This can be a significant income reduction at a time of heightened expenses and emotional difficulty. Use the death scenario modelling to check the surviving partner's position.</w:t>
      </w:r>
    </w:p>
    <w:p w14:paraId="39119E0C" w14:textId="77777777" w:rsidR="00777E11" w:rsidRDefault="00777E11">
      <w:pPr>
        <w:spacing w:before="40" w:after="40"/>
      </w:pPr>
    </w:p>
    <w:p w14:paraId="73E909A6" w14:textId="77777777" w:rsidR="00777E11" w:rsidRDefault="00000000">
      <w:pPr>
        <w:pStyle w:val="Heading2"/>
      </w:pPr>
      <w:bookmarkStart w:id="17" w:name="_Toc223190833"/>
      <w:proofErr w:type="gramStart"/>
      <w:r>
        <w:t>5.4  What</w:t>
      </w:r>
      <w:proofErr w:type="gramEnd"/>
      <w:r>
        <w:t xml:space="preserve"> the Work Bonus Does</w:t>
      </w:r>
      <w:bookmarkEnd w:id="17"/>
    </w:p>
    <w:p w14:paraId="4E241699" w14:textId="77777777" w:rsidR="00777E11" w:rsidRDefault="00000000">
      <w:pPr>
        <w:spacing w:before="80" w:after="100"/>
      </w:pPr>
      <w:r>
        <w:t xml:space="preserve">If you or your partner </w:t>
      </w:r>
      <w:proofErr w:type="gramStart"/>
      <w:r>
        <w:t>continue</w:t>
      </w:r>
      <w:proofErr w:type="gramEnd"/>
      <w:r>
        <w:t xml:space="preserve"> to earn employment or self-employment income in retirement (part-time work, consulting), the Work Bonus allows up to $11,800 per year (indexed) of employment income to be excluded from the income test. This can meaningfully increase Age Pension entitlement for those who do some paid work in early retirement.</w:t>
      </w:r>
    </w:p>
    <w:p w14:paraId="5983B7A2" w14:textId="77777777" w:rsidR="00777E11" w:rsidRDefault="00777E11">
      <w:pPr>
        <w:spacing w:before="40" w:after="40"/>
      </w:pPr>
    </w:p>
    <w:p w14:paraId="2D28A9B4" w14:textId="77777777" w:rsidR="00777E11" w:rsidRDefault="00000000">
      <w:pPr>
        <w:spacing w:before="80" w:after="100"/>
      </w:pPr>
      <w:r>
        <w:t>If you plan to do some part-time work in early retirement, enter it under Other Net Income and tick the "Employment income — Work Bonus eligible" checkbox. This tells the calculator to apply the Work Bonus concession, which partially shields employment income from the Age Pension income test. The interaction is often more favourable than people expect — enter the income and observe the effect on your Age Pension entitlement in the results.</w:t>
      </w:r>
    </w:p>
    <w:p w14:paraId="0C032E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93C23F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7126D166" w14:textId="77777777" w:rsidR="00777E11" w:rsidRDefault="00000000">
            <w:proofErr w:type="gramStart"/>
            <w:r>
              <w:t xml:space="preserve">💡  </w:t>
            </w:r>
            <w:r>
              <w:rPr>
                <w:i/>
                <w:iCs/>
              </w:rPr>
              <w:t>If</w:t>
            </w:r>
            <w:proofErr w:type="gramEnd"/>
            <w:r>
              <w:rPr>
                <w:i/>
                <w:iCs/>
              </w:rPr>
              <w:t xml:space="preserve"> you're planning to do some part-time work for the first 5 years of retirement, enter it in the Other Net Income section and observe the impact on Age Pension. The interaction is </w:t>
            </w:r>
            <w:r>
              <w:rPr>
                <w:i/>
                <w:iCs/>
              </w:rPr>
              <w:lastRenderedPageBreak/>
              <w:t>often more favourable than people expect, because the Work Bonus partially shields employment income from the income test.</w:t>
            </w:r>
          </w:p>
        </w:tc>
      </w:tr>
    </w:tbl>
    <w:p w14:paraId="244DD352" w14:textId="791FCEFE" w:rsidR="00777E11" w:rsidRDefault="00777E11"/>
    <w:p w14:paraId="58B0B32D" w14:textId="77777777" w:rsidR="00777E11" w:rsidRDefault="00000000">
      <w:pPr>
        <w:pStyle w:val="Heading1"/>
        <w:pBdr>
          <w:bottom w:val="single" w:sz="6" w:space="4" w:color="2E75B6"/>
        </w:pBdr>
      </w:pPr>
      <w:bookmarkStart w:id="18" w:name="_Toc223190834"/>
      <w:r>
        <w:t>6.  The Ending Balance: How Much Is Enough?</w:t>
      </w:r>
      <w:bookmarkEnd w:id="18"/>
    </w:p>
    <w:p w14:paraId="0DD69CA4" w14:textId="77777777" w:rsidR="00777E11" w:rsidRDefault="00000000">
      <w:pPr>
        <w:spacing w:before="80" w:after="100"/>
      </w:pPr>
      <w:r>
        <w:t>The ending balance — what remains when the simulation reaches your target age — is one of the most misunderstood metrics in retirement planning. More is not always better. The goal is not to maximise the ending balance; it is to maintain your desired lifestyle for your full retirement with an acceptable margin of safety.</w:t>
      </w:r>
    </w:p>
    <w:p w14:paraId="7D440A81" w14:textId="77777777" w:rsidR="00777E11" w:rsidRDefault="00777E11">
      <w:pPr>
        <w:spacing w:before="40" w:after="40"/>
      </w:pPr>
    </w:p>
    <w:p w14:paraId="3653E948" w14:textId="77777777" w:rsidR="00777E11" w:rsidRDefault="00000000">
      <w:pPr>
        <w:pStyle w:val="Heading2"/>
      </w:pPr>
      <w:bookmarkStart w:id="19" w:name="_Toc223190835"/>
      <w:proofErr w:type="gramStart"/>
      <w:r>
        <w:t>6.1  What</w:t>
      </w:r>
      <w:proofErr w:type="gramEnd"/>
      <w:r>
        <w:t xml:space="preserve"> a Large Ending Balance Actually Means</w:t>
      </w:r>
      <w:bookmarkEnd w:id="19"/>
    </w:p>
    <w:p w14:paraId="4C2930B8" w14:textId="77777777" w:rsidR="00777E11" w:rsidRDefault="00000000">
      <w:pPr>
        <w:spacing w:before="80" w:after="100"/>
      </w:pPr>
      <w:r>
        <w:t>If your P50 (median) simulation ends with a very large positive balance — say, 150% or more of your starting super — that suggests one or more of the following:</w:t>
      </w:r>
    </w:p>
    <w:p w14:paraId="633EDA35" w14:textId="77777777" w:rsidR="00777E11" w:rsidRDefault="00777E11">
      <w:pPr>
        <w:spacing w:before="40" w:after="40"/>
      </w:pPr>
    </w:p>
    <w:p w14:paraId="7D461B83" w14:textId="77777777" w:rsidR="00777E11" w:rsidRDefault="00000000">
      <w:pPr>
        <w:pStyle w:val="ListParagraph"/>
        <w:numPr>
          <w:ilvl w:val="0"/>
          <w:numId w:val="2"/>
        </w:numPr>
        <w:spacing w:before="60" w:after="60"/>
      </w:pPr>
      <w:r>
        <w:rPr>
          <w:b/>
          <w:bCs/>
        </w:rPr>
        <w:t xml:space="preserve">You're spending too little. </w:t>
      </w:r>
      <w:r>
        <w:t>Your quality of life in retirement is lower than it needs to be. You could afford to increase spending, retire earlier, take more holidays, or give more to family now while you can enjoy seeing the benefit.</w:t>
      </w:r>
    </w:p>
    <w:p w14:paraId="059A5EE3" w14:textId="77777777" w:rsidR="00777E11" w:rsidRDefault="00000000">
      <w:pPr>
        <w:pStyle w:val="ListParagraph"/>
        <w:numPr>
          <w:ilvl w:val="0"/>
          <w:numId w:val="2"/>
        </w:numPr>
        <w:spacing w:before="60" w:after="60"/>
      </w:pPr>
      <w:r>
        <w:rPr>
          <w:b/>
          <w:bCs/>
        </w:rPr>
        <w:t xml:space="preserve">Your return assumptions are optimistic. </w:t>
      </w:r>
      <w:r>
        <w:t>If you've set an 8% return assumption with 15% volatility, the median outcome will look very comfortable — but the downside scenarios (P10) may be much less rosy. Check whether P10 also shows a large positive balance before concluding you're over-saving.</w:t>
      </w:r>
    </w:p>
    <w:p w14:paraId="0E36EC55" w14:textId="77777777" w:rsidR="00777E11" w:rsidRDefault="00000000">
      <w:pPr>
        <w:pStyle w:val="ListParagraph"/>
        <w:numPr>
          <w:ilvl w:val="0"/>
          <w:numId w:val="2"/>
        </w:numPr>
        <w:spacing w:before="60" w:after="60"/>
      </w:pPr>
      <w:r>
        <w:rPr>
          <w:b/>
          <w:bCs/>
        </w:rPr>
        <w:t xml:space="preserve">You have a legacy goal. </w:t>
      </w:r>
      <w:r>
        <w:t>If you intend to leave an estate, a large ending balance is intentional. The calculator doesn't make this explicit — it's worth entering it as a target ending balance in your mental model.</w:t>
      </w:r>
    </w:p>
    <w:p w14:paraId="6C151F64" w14:textId="77777777" w:rsidR="00777E11" w:rsidRDefault="00777E11">
      <w:pPr>
        <w:spacing w:before="40" w:after="40"/>
      </w:pPr>
    </w:p>
    <w:p w14:paraId="0162271C" w14:textId="77777777" w:rsidR="00777E11" w:rsidRDefault="00000000">
      <w:pPr>
        <w:pStyle w:val="Heading2"/>
      </w:pPr>
      <w:bookmarkStart w:id="20" w:name="_Toc223190836"/>
      <w:proofErr w:type="gramStart"/>
      <w:r>
        <w:t>6.2  Interpreting</w:t>
      </w:r>
      <w:proofErr w:type="gramEnd"/>
      <w:r>
        <w:t xml:space="preserve"> Zero or Near-Zero Endings</w:t>
      </w:r>
      <w:bookmarkEnd w:id="20"/>
    </w:p>
    <w:p w14:paraId="2D830051" w14:textId="77777777" w:rsidR="00777E11" w:rsidRDefault="00000000">
      <w:pPr>
        <w:spacing w:before="80" w:after="100"/>
      </w:pPr>
      <w:r>
        <w:t>A plan that ends at exactly $0 is, mathematically, a perfect use of resources. In practice:</w:t>
      </w:r>
    </w:p>
    <w:p w14:paraId="15AFDE2C" w14:textId="77777777" w:rsidR="00777E11" w:rsidRDefault="00777E11">
      <w:pPr>
        <w:spacing w:before="40" w:after="40"/>
      </w:pPr>
    </w:p>
    <w:p w14:paraId="16EB0C8D" w14:textId="77777777" w:rsidR="00777E11" w:rsidRDefault="00000000">
      <w:pPr>
        <w:pStyle w:val="ListParagraph"/>
        <w:numPr>
          <w:ilvl w:val="0"/>
          <w:numId w:val="2"/>
        </w:numPr>
        <w:spacing w:before="60" w:after="60"/>
      </w:pPr>
      <w:r>
        <w:rPr>
          <w:b/>
          <w:bCs/>
        </w:rPr>
        <w:t xml:space="preserve">In the P50 scenario, </w:t>
      </w:r>
      <w:r>
        <w:t>a near-zero ending is acceptable — it means the median outcome is efficient. But check P10: a P10 line that hits zero at age 78 is a serious problem even if P50 looks fine.</w:t>
      </w:r>
    </w:p>
    <w:p w14:paraId="524D2EC9" w14:textId="77777777" w:rsidR="00777E11" w:rsidRDefault="00000000">
      <w:pPr>
        <w:pStyle w:val="ListParagraph"/>
        <w:numPr>
          <w:ilvl w:val="0"/>
          <w:numId w:val="2"/>
        </w:numPr>
        <w:spacing w:before="60" w:after="60"/>
      </w:pPr>
      <w:r>
        <w:rPr>
          <w:b/>
          <w:bCs/>
        </w:rPr>
        <w:t xml:space="preserve">In the P10 scenario, </w:t>
      </w:r>
      <w:r>
        <w:t>running out before age 85 is a genuine risk. Running out after 90 is more acceptable, as the probability of reaching that age and still needing to fund a full lifestyle is relatively low.</w:t>
      </w:r>
    </w:p>
    <w:p w14:paraId="7608C7FE" w14:textId="77777777" w:rsidR="00777E11" w:rsidRDefault="00777E11">
      <w:pPr>
        <w:spacing w:before="40" w:after="40"/>
      </w:pPr>
    </w:p>
    <w:p w14:paraId="49ED643E" w14:textId="77777777" w:rsidR="00777E11" w:rsidRDefault="00000000">
      <w:pPr>
        <w:pStyle w:val="Heading2"/>
      </w:pPr>
      <w:bookmarkStart w:id="21" w:name="_Toc223190837"/>
      <w:proofErr w:type="gramStart"/>
      <w:r>
        <w:t>6.3  A</w:t>
      </w:r>
      <w:proofErr w:type="gramEnd"/>
      <w:r>
        <w:t xml:space="preserve"> Practical Framework for Evaluating Your Ending Balance</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777E11" w14:paraId="1EAC817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32B79DD" w14:textId="77777777" w:rsidR="00777E11" w:rsidRDefault="00000000">
            <w:r>
              <w:rPr>
                <w:b/>
                <w:bCs/>
                <w:sz w:val="20"/>
                <w:szCs w:val="20"/>
              </w:rPr>
              <w:t>P50 Ending Balance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EED6DF" w14:textId="77777777" w:rsidR="00777E11" w:rsidRDefault="00000000">
            <w:r>
              <w:rPr>
                <w:b/>
                <w:bCs/>
                <w:sz w:val="20"/>
                <w:szCs w:val="20"/>
              </w:rPr>
              <w:t>P10 Ending Balance</w:t>
            </w:r>
          </w:p>
        </w:tc>
        <w:tc>
          <w:tcPr>
            <w:tcW w:w="47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B5FCB5" w14:textId="77777777" w:rsidR="00777E11" w:rsidRDefault="00000000">
            <w:r>
              <w:rPr>
                <w:b/>
                <w:bCs/>
                <w:sz w:val="20"/>
                <w:szCs w:val="20"/>
              </w:rPr>
              <w:t>Interpretation</w:t>
            </w:r>
          </w:p>
        </w:tc>
      </w:tr>
      <w:tr w:rsidR="00777E11" w14:paraId="675F427F"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AEFD101" w14:textId="77777777" w:rsidR="00777E11" w:rsidRDefault="00000000">
            <w:r>
              <w:rPr>
                <w:sz w:val="20"/>
                <w:szCs w:val="20"/>
              </w:rPr>
              <w:t>Large positive (&gt;80%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D31E93B" w14:textId="77777777" w:rsidR="00777E11" w:rsidRDefault="00000000">
            <w:r>
              <w:rPr>
                <w:sz w:val="20"/>
                <w:szCs w:val="20"/>
              </w:rPr>
              <w:t>Positive</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ECD5C6B" w14:textId="77777777" w:rsidR="00777E11" w:rsidRDefault="00000000">
            <w:r>
              <w:rPr>
                <w:sz w:val="20"/>
                <w:szCs w:val="20"/>
              </w:rPr>
              <w:t>Consider whether you're under-spending. You may be sacrificing quality of life unnecessarily.</w:t>
            </w:r>
          </w:p>
        </w:tc>
      </w:tr>
      <w:tr w:rsidR="00777E11" w14:paraId="6725AA36"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C86E2DE" w14:textId="77777777" w:rsidR="00777E11" w:rsidRDefault="00000000">
            <w:r>
              <w:rPr>
                <w:sz w:val="20"/>
                <w:szCs w:val="20"/>
              </w:rPr>
              <w:t>Moderate positive (20–80%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DBA4B97" w14:textId="77777777" w:rsidR="00777E11" w:rsidRDefault="00000000">
            <w:r>
              <w:rPr>
                <w:sz w:val="20"/>
                <w:szCs w:val="20"/>
              </w:rPr>
              <w:t>Positive or near zero</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EF2E41B" w14:textId="77777777" w:rsidR="00777E11" w:rsidRDefault="00000000">
            <w:r>
              <w:rPr>
                <w:sz w:val="20"/>
                <w:szCs w:val="20"/>
              </w:rPr>
              <w:t>Well-calibrated. Good margin without excessive over-saving.</w:t>
            </w:r>
          </w:p>
        </w:tc>
      </w:tr>
      <w:tr w:rsidR="00777E11" w14:paraId="46255B3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AFFC19F" w14:textId="77777777" w:rsidR="00777E11" w:rsidRDefault="00000000">
            <w:r>
              <w:rPr>
                <w:sz w:val="20"/>
                <w:szCs w:val="20"/>
              </w:rPr>
              <w:lastRenderedPageBreak/>
              <w:t>Small positive or near zero</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0B3A8BC" w14:textId="77777777" w:rsidR="00777E11" w:rsidRDefault="00000000">
            <w:r>
              <w:rPr>
                <w:sz w:val="20"/>
                <w:szCs w:val="20"/>
              </w:rPr>
              <w:t>Near zero or runs out after 85</w:t>
            </w:r>
          </w:p>
        </w:tc>
        <w:tc>
          <w:tcPr>
            <w:tcW w:w="47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75D0212" w14:textId="77777777" w:rsidR="00777E11" w:rsidRDefault="00000000">
            <w:r>
              <w:rPr>
                <w:sz w:val="20"/>
                <w:szCs w:val="20"/>
              </w:rPr>
              <w:t>Efficient but tight. Guardrails recommended. Keep reviewing annually.</w:t>
            </w:r>
          </w:p>
        </w:tc>
      </w:tr>
      <w:tr w:rsidR="00777E11" w14:paraId="2EA9FBAD" w14:textId="77777777">
        <w:tc>
          <w:tcPr>
            <w:tcW w:w="2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228E509" w14:textId="77777777" w:rsidR="00777E11" w:rsidRDefault="00000000">
            <w:r>
              <w:rPr>
                <w:sz w:val="20"/>
                <w:szCs w:val="20"/>
              </w:rPr>
              <w:t>Runs out before target age</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5E74983" w14:textId="77777777" w:rsidR="00777E11" w:rsidRDefault="00000000">
            <w:r>
              <w:rPr>
                <w:sz w:val="20"/>
                <w:szCs w:val="20"/>
              </w:rPr>
              <w:t>Runs out significantly early</w:t>
            </w:r>
          </w:p>
        </w:tc>
        <w:tc>
          <w:tcPr>
            <w:tcW w:w="47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4FBE5C1" w14:textId="77777777" w:rsidR="00777E11" w:rsidRDefault="00000000">
            <w:r>
              <w:rPr>
                <w:sz w:val="20"/>
                <w:szCs w:val="20"/>
              </w:rPr>
              <w:t>Under-resourced. Needs adjustment to spending, retirement age, or income.</w:t>
            </w:r>
          </w:p>
        </w:tc>
      </w:tr>
    </w:tbl>
    <w:p w14:paraId="4A28D82A" w14:textId="77777777" w:rsidR="00777E11" w:rsidRDefault="00777E11">
      <w:pPr>
        <w:spacing w:before="40" w:after="40"/>
      </w:pPr>
    </w:p>
    <w:p w14:paraId="1BF9A591" w14:textId="77777777" w:rsidR="00777E11" w:rsidRDefault="00000000">
      <w:pPr>
        <w:pStyle w:val="Heading2"/>
      </w:pPr>
      <w:bookmarkStart w:id="22" w:name="_Toc223190838"/>
      <w:proofErr w:type="gramStart"/>
      <w:r>
        <w:t>6.4  The</w:t>
      </w:r>
      <w:proofErr w:type="gramEnd"/>
      <w:r>
        <w:t xml:space="preserve"> Legacy Question</w:t>
      </w:r>
      <w:bookmarkEnd w:id="22"/>
    </w:p>
    <w:p w14:paraId="53516B24" w14:textId="77777777" w:rsidR="00777E11" w:rsidRDefault="00000000">
      <w:pPr>
        <w:spacing w:before="80" w:after="100"/>
      </w:pPr>
      <w:r>
        <w:t>If leaving money to children, grandchildren, or charity is a goal, the ending balance matters in a different way. The calculator doesn't have an explicit bequest input, but you can model it by:</w:t>
      </w:r>
    </w:p>
    <w:p w14:paraId="75881825" w14:textId="77777777" w:rsidR="00777E11" w:rsidRDefault="00777E11">
      <w:pPr>
        <w:spacing w:before="40" w:after="40"/>
      </w:pPr>
    </w:p>
    <w:p w14:paraId="01133C01" w14:textId="77777777" w:rsidR="00777E11" w:rsidRDefault="00000000">
      <w:pPr>
        <w:pStyle w:val="ListParagraph"/>
        <w:numPr>
          <w:ilvl w:val="0"/>
          <w:numId w:val="2"/>
        </w:numPr>
        <w:spacing w:before="60" w:after="60"/>
      </w:pPr>
      <w:r>
        <w:rPr>
          <w:b/>
          <w:bCs/>
        </w:rPr>
        <w:t xml:space="preserve">Setting a higher target age </w:t>
      </w:r>
      <w:r>
        <w:t>(e.g., 100 rather than 90) to ensure money lasts well beyond expected life expectancy, leaving a de facto estate.</w:t>
      </w:r>
    </w:p>
    <w:p w14:paraId="59F1AFE1" w14:textId="77777777" w:rsidR="00777E11" w:rsidRDefault="00000000">
      <w:pPr>
        <w:pStyle w:val="ListParagraph"/>
        <w:numPr>
          <w:ilvl w:val="0"/>
          <w:numId w:val="2"/>
        </w:numPr>
        <w:spacing w:before="60" w:after="60"/>
      </w:pPr>
      <w:r>
        <w:rPr>
          <w:b/>
          <w:bCs/>
        </w:rPr>
        <w:t xml:space="preserve">Checking the P10 ending balance </w:t>
      </w:r>
      <w:r>
        <w:t>— if P10 is still positive at your target age, you have a high probability of leaving something regardless of market conditions.</w:t>
      </w:r>
    </w:p>
    <w:p w14:paraId="27F52973" w14:textId="77777777" w:rsidR="00777E11" w:rsidRDefault="00000000">
      <w:pPr>
        <w:pStyle w:val="ListParagraph"/>
        <w:numPr>
          <w:ilvl w:val="0"/>
          <w:numId w:val="2"/>
        </w:numPr>
        <w:spacing w:before="60" w:after="60"/>
      </w:pPr>
      <w:r>
        <w:rPr>
          <w:b/>
          <w:bCs/>
        </w:rPr>
        <w:t xml:space="preserve">Noting that Age Pension assets test thresholds </w:t>
      </w:r>
      <w:r>
        <w:t xml:space="preserve">mean you can often hold more in the family home (which is exempt) and deplete super more aggressively, while maintaining Age Pension eligibility. This can </w:t>
      </w:r>
      <w:proofErr w:type="gramStart"/>
      <w:r>
        <w:t>actually increase</w:t>
      </w:r>
      <w:proofErr w:type="gramEnd"/>
      <w:r>
        <w:t xml:space="preserve"> wealth transfer compared to holding excess super.</w:t>
      </w:r>
    </w:p>
    <w:p w14:paraId="0343F680"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6FC38F1"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154382E" w14:textId="77777777" w:rsidR="00777E11" w:rsidRDefault="00000000">
            <w:proofErr w:type="gramStart"/>
            <w:r>
              <w:t xml:space="preserve">💡  </w:t>
            </w:r>
            <w:r>
              <w:rPr>
                <w:i/>
                <w:iCs/>
              </w:rPr>
              <w:t>The</w:t>
            </w:r>
            <w:proofErr w:type="gramEnd"/>
            <w:r>
              <w:rPr>
                <w:i/>
                <w:iCs/>
              </w:rPr>
              <w:t xml:space="preserve"> principal home is exempt from the Age Pension assets test. If you own a valuable property and have moderate super, you may qualify for a higher Age Pension than you expect — and your estate can still include the property value.</w:t>
            </w:r>
          </w:p>
        </w:tc>
      </w:tr>
    </w:tbl>
    <w:p w14:paraId="2E4DAEB2" w14:textId="5454E055" w:rsidR="00777E11" w:rsidRDefault="00777E11"/>
    <w:p w14:paraId="75339DDB" w14:textId="77777777" w:rsidR="00777E11" w:rsidRDefault="00000000">
      <w:pPr>
        <w:pStyle w:val="Heading1"/>
        <w:pBdr>
          <w:bottom w:val="single" w:sz="6" w:space="4" w:color="2E75B6"/>
        </w:pBdr>
      </w:pPr>
      <w:bookmarkStart w:id="23" w:name="_Toc223190839"/>
      <w:r>
        <w:t>7.  Common Result Patterns and What They Diagnose</w:t>
      </w:r>
      <w:bookmarkEnd w:id="23"/>
    </w:p>
    <w:p w14:paraId="583BC76E" w14:textId="77777777" w:rsidR="00777E11" w:rsidRDefault="00000000">
      <w:pPr>
        <w:spacing w:before="80" w:after="100"/>
      </w:pPr>
      <w:r>
        <w:t>Experience with this type of modelling reveals that certain result patterns appear repeatedly. Recognising them helps you move quickly from 'what do I see?' to 'what should I do?'</w:t>
      </w:r>
    </w:p>
    <w:p w14:paraId="085E9DF5" w14:textId="77777777" w:rsidR="00777E11" w:rsidRDefault="00777E11">
      <w:pPr>
        <w:spacing w:before="40" w:after="40"/>
      </w:pPr>
    </w:p>
    <w:p w14:paraId="30DE6F0F" w14:textId="77777777" w:rsidR="00777E11" w:rsidRDefault="00000000">
      <w:pPr>
        <w:pStyle w:val="Heading2"/>
      </w:pPr>
      <w:bookmarkStart w:id="24" w:name="_Toc223190840"/>
      <w:r>
        <w:t>Pattern A: "Cliff Edge" — Good Until It Isn't</w:t>
      </w:r>
      <w:bookmarkEnd w:id="24"/>
    </w:p>
    <w:p w14:paraId="60576EFC" w14:textId="77777777" w:rsidR="00777E11" w:rsidRDefault="00000000">
      <w:pPr>
        <w:spacing w:before="80" w:after="100"/>
      </w:pPr>
      <w:r>
        <w:t>The portfolio holds steady for 15–20 years, then drops sharply to zero. This is the most common failure pattern and has a specific cause: you're drawing down super at a rate that is sustainable in the short term but erodes capital faster than returns replenish it. The "cliff" is the point where the compound depletion becomes too fast to arrest.</w:t>
      </w:r>
    </w:p>
    <w:p w14:paraId="15499FE7" w14:textId="77777777" w:rsidR="00777E11" w:rsidRDefault="00777E11">
      <w:pPr>
        <w:spacing w:before="40" w:after="40"/>
      </w:pPr>
    </w:p>
    <w:p w14:paraId="4488190A" w14:textId="77777777" w:rsidR="00777E11" w:rsidRDefault="00000000">
      <w:pPr>
        <w:spacing w:before="80" w:after="100"/>
      </w:pPr>
      <w:r>
        <w:t>Diagnosis: Spending is slightly too high relative to super, OR Age Pension is not being modelled (or is delayed beyond when it would realistically kick in). Check that "Include Age Pension" is enabled and that assessable assets are correctly entered.</w:t>
      </w:r>
    </w:p>
    <w:p w14:paraId="34357059" w14:textId="77777777" w:rsidR="00777E11" w:rsidRDefault="00777E11">
      <w:pPr>
        <w:spacing w:before="40" w:after="40"/>
      </w:pPr>
    </w:p>
    <w:p w14:paraId="0123C666" w14:textId="77777777" w:rsidR="00777E11" w:rsidRDefault="00000000">
      <w:pPr>
        <w:pStyle w:val="Heading2"/>
      </w:pPr>
      <w:bookmarkStart w:id="25" w:name="_Toc223190841"/>
      <w:r>
        <w:t>Pattern B: "Good Middle, Rough Ends" — The Monte Carlo Fan</w:t>
      </w:r>
      <w:bookmarkEnd w:id="25"/>
    </w:p>
    <w:p w14:paraId="547EF625" w14:textId="77777777" w:rsidR="00777E11" w:rsidRDefault="00000000">
      <w:pPr>
        <w:spacing w:before="80" w:after="100"/>
      </w:pPr>
      <w:r>
        <w:t>The P50 line is fine, the P90 line is very comfortable, but the P10 line runs out 10–12 years early. This is a healthy plan with sequence-of-returns vulnerability.</w:t>
      </w:r>
    </w:p>
    <w:p w14:paraId="25B5C109" w14:textId="77777777" w:rsidR="00777E11" w:rsidRDefault="00777E11">
      <w:pPr>
        <w:spacing w:before="40" w:after="40"/>
      </w:pPr>
    </w:p>
    <w:p w14:paraId="48BB422C" w14:textId="77777777" w:rsidR="00777E11" w:rsidRDefault="00000000">
      <w:pPr>
        <w:spacing w:before="80" w:after="100"/>
      </w:pPr>
      <w:r>
        <w:t>Diagnosis: The plan is sound in average and good conditions, but a run of bad luck early in retirement could be damaging. Solutions: add a sequencing buffer ($50–150k in a defensive cash/bond account), enable guardrails, or hold 1–2 years of spending in cash at retirement.</w:t>
      </w:r>
    </w:p>
    <w:p w14:paraId="52E66BE6" w14:textId="77777777" w:rsidR="00777E11" w:rsidRDefault="00777E11">
      <w:pPr>
        <w:spacing w:before="40" w:after="40"/>
      </w:pPr>
    </w:p>
    <w:p w14:paraId="6CC62F31" w14:textId="77777777" w:rsidR="00777E11" w:rsidRDefault="00000000">
      <w:pPr>
        <w:pStyle w:val="Heading2"/>
      </w:pPr>
      <w:bookmarkStart w:id="26" w:name="_Toc223190842"/>
      <w:r>
        <w:t>Pattern C: "Survivor" — Large Surplus Despite Stress Tests</w:t>
      </w:r>
      <w:bookmarkEnd w:id="26"/>
    </w:p>
    <w:p w14:paraId="0A0D6670" w14:textId="77777777" w:rsidR="00777E11" w:rsidRDefault="00000000">
      <w:pPr>
        <w:spacing w:before="80" w:after="100"/>
      </w:pPr>
      <w:r>
        <w:t>All formal tests succeed, the Monte Carlo P10 is positive, and the ending balance is very large. This is genuinely a comfortable position — but check whether you're leaving quality of life on the table.</w:t>
      </w:r>
    </w:p>
    <w:p w14:paraId="3F1F7F13" w14:textId="77777777" w:rsidR="00777E11" w:rsidRDefault="00777E11">
      <w:pPr>
        <w:spacing w:before="40" w:after="40"/>
      </w:pPr>
    </w:p>
    <w:p w14:paraId="365AD212" w14:textId="77777777" w:rsidR="00777E11" w:rsidRDefault="00000000">
      <w:pPr>
        <w:spacing w:before="80" w:after="100"/>
      </w:pPr>
      <w:r>
        <w:t>Diagnosis: Either your super is generous relative to your spending, or you have a strong income floor (defined benefit, rental income). Ask the question: if I increased annual spending by $15–20k, does the plan still pass the tests that matter (A1, A2, B1, B2)? If yes, consider spending more.</w:t>
      </w:r>
    </w:p>
    <w:p w14:paraId="5539D208" w14:textId="77777777" w:rsidR="00777E11" w:rsidRDefault="00777E11">
      <w:pPr>
        <w:spacing w:before="40" w:after="40"/>
      </w:pPr>
    </w:p>
    <w:p w14:paraId="263B606A" w14:textId="77777777" w:rsidR="00777E11" w:rsidRDefault="00000000">
      <w:pPr>
        <w:pStyle w:val="Heading2"/>
      </w:pPr>
      <w:bookmarkStart w:id="27" w:name="_Toc223190843"/>
      <w:r>
        <w:t>Pattern D: "Works on Paper, Fails Under Stress" — The Brittle Plan</w:t>
      </w:r>
      <w:bookmarkEnd w:id="27"/>
    </w:p>
    <w:p w14:paraId="4EEE7E60" w14:textId="77777777" w:rsidR="00777E11" w:rsidRDefault="00000000">
      <w:pPr>
        <w:spacing w:before="80" w:after="100"/>
      </w:pPr>
      <w:r>
        <w:t>A1 (base case) succeeds comfortably, but B1 (crash) and B2 (bear market) both fail, and the Monte Carlo success rate is below 80%.</w:t>
      </w:r>
    </w:p>
    <w:p w14:paraId="2E7307BC" w14:textId="77777777" w:rsidR="00777E11" w:rsidRDefault="00777E11">
      <w:pPr>
        <w:spacing w:before="40" w:after="40"/>
      </w:pPr>
    </w:p>
    <w:p w14:paraId="0DFC8F7E" w14:textId="77777777" w:rsidR="00777E11" w:rsidRDefault="00000000">
      <w:pPr>
        <w:spacing w:before="80" w:after="100"/>
      </w:pPr>
      <w:r>
        <w:t>Diagnosis: The plan only works if returns are steady. This is the most dangerous profile because it feels fine in optimistic scenarios but has material failure risk in realistic ones. Solutions: reduce spending, add a sequencing buffer, or delay retirement by 1–2 years to build more super.</w:t>
      </w:r>
    </w:p>
    <w:p w14:paraId="46593EC2" w14:textId="572EF2AC" w:rsidR="00777E11" w:rsidRDefault="00777E11"/>
    <w:p w14:paraId="68C984D2" w14:textId="77777777" w:rsidR="00777E11" w:rsidRDefault="00000000">
      <w:pPr>
        <w:pStyle w:val="Heading1"/>
        <w:pBdr>
          <w:bottom w:val="single" w:sz="6" w:space="4" w:color="2E75B6"/>
        </w:pBdr>
      </w:pPr>
      <w:bookmarkStart w:id="28" w:name="_Toc223190844"/>
      <w:r>
        <w:t>8.  Sensitivity Analysis: Testing Return and Spending Assumptions</w:t>
      </w:r>
      <w:bookmarkEnd w:id="28"/>
    </w:p>
    <w:p w14:paraId="15F95F28" w14:textId="77777777" w:rsidR="00777E11" w:rsidRDefault="00000000">
      <w:pPr>
        <w:spacing w:before="80" w:after="100"/>
      </w:pPr>
      <w:r>
        <w:t>The Sensitivity Analysis panel appears automatically in the results column once you have run a simulation — no separate button is required. Click the “Sensitivity Analysis — Return vs Spending” header to expand it.</w:t>
      </w:r>
    </w:p>
    <w:p w14:paraId="1AC44678" w14:textId="77777777" w:rsidR="00777E11" w:rsidRDefault="00000000">
      <w:pPr>
        <w:spacing w:before="80" w:after="100"/>
      </w:pPr>
      <w:r>
        <w:t>It answers a different question from Monte Carlo: not “what is the range of probable outcomes given market volatility?” but “how sensitive is my plan to my assumptions about investment returns and spending?” These are two distinct risks, and both matter.</w:t>
      </w:r>
    </w:p>
    <w:p w14:paraId="76D02143" w14:textId="77777777" w:rsidR="00777E11" w:rsidRDefault="00000000">
      <w:pPr>
        <w:pStyle w:val="Heading2"/>
      </w:pPr>
      <w:bookmarkStart w:id="29" w:name="_Toc223190845"/>
      <w:proofErr w:type="gramStart"/>
      <w:r>
        <w:t>8.1  What</w:t>
      </w:r>
      <w:proofErr w:type="gramEnd"/>
      <w:r>
        <w:t xml:space="preserve"> the Grid Shows</w:t>
      </w:r>
      <w:bookmarkEnd w:id="29"/>
    </w:p>
    <w:p w14:paraId="299905F8" w14:textId="77777777" w:rsidR="00777E11" w:rsidRDefault="00000000">
      <w:pPr>
        <w:spacing w:before="80" w:after="100"/>
      </w:pPr>
      <w:r>
        <w:t>The table is a 7×5 grid. Rows represent investment return rates — your current return setting plus and minus up to three percentage points in one-point steps. Columns represent spending levels at 80%, 90%, 100%, 110%, and 120% of your base spending, with the actual dollar amount shown beneath each percentage. Your current settings are highlighted with a blue border so you can instantly locate where you sit in the grid.</w:t>
      </w:r>
    </w:p>
    <w:p w14:paraId="6E86D408" w14:textId="77777777" w:rsidR="00777E11" w:rsidRDefault="00000000">
      <w:pPr>
        <w:spacing w:before="80" w:after="100"/>
      </w:pPr>
      <w:r>
        <w:t>Each cell shows the portfolio balance at year 35. If the portfolio survived, it shows the ending balance. If it ran out, it shows “Depleted yr X” — the year the money was exhausted. All your other settings (Age Pension, income streams, defined benefit pension, aged care, couple tracking, debt, splurge spending, and inflation) are included in every cell. Only return rate and base spending vary across the grid.</w:t>
      </w:r>
    </w:p>
    <w:p w14:paraId="4581280C" w14:textId="77777777" w:rsidR="00777E11" w:rsidRDefault="00000000">
      <w:pPr>
        <w:pStyle w:val="Heading2"/>
      </w:pPr>
      <w:bookmarkStart w:id="30" w:name="_Toc223190846"/>
      <w:proofErr w:type="gramStart"/>
      <w:r>
        <w:t>8.2  Reading</w:t>
      </w:r>
      <w:proofErr w:type="gramEnd"/>
      <w:r>
        <w:t xml:space="preserve"> the Colour Coding</w:t>
      </w:r>
      <w:bookmarkEnd w:id="30"/>
    </w:p>
    <w:tbl>
      <w:tblPr>
        <w:tblW w:w="9360" w:type="dxa"/>
        <w:tblCellMar>
          <w:left w:w="10" w:type="dxa"/>
          <w:right w:w="10" w:type="dxa"/>
        </w:tblCellMar>
        <w:tblLook w:val="0000" w:firstRow="0" w:lastRow="0" w:firstColumn="0" w:lastColumn="0" w:noHBand="0" w:noVBand="0"/>
      </w:tblPr>
      <w:tblGrid>
        <w:gridCol w:w="1800"/>
        <w:gridCol w:w="7560"/>
      </w:tblGrid>
      <w:tr w:rsidR="00777E11" w14:paraId="26770A2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Pr>
          <w:p w14:paraId="06EA38FE" w14:textId="77777777" w:rsidR="00777E11" w:rsidRDefault="00000000">
            <w:r>
              <w:rPr>
                <w:b/>
                <w:sz w:val="20"/>
                <w:szCs w:val="20"/>
              </w:rPr>
              <w:lastRenderedPageBreak/>
              <w:t>Colour</w:t>
            </w:r>
          </w:p>
        </w:tc>
        <w:tc>
          <w:tcPr>
            <w:tcW w:w="7560" w:type="dxa"/>
            <w:tcBorders>
              <w:top w:val="single" w:sz="1" w:space="0" w:color="AAAAAA"/>
              <w:left w:val="single" w:sz="1" w:space="0" w:color="AAAAAA"/>
              <w:bottom w:val="single" w:sz="1" w:space="0" w:color="AAAAAA"/>
              <w:right w:val="single" w:sz="1" w:space="0" w:color="AAAAAA"/>
            </w:tcBorders>
            <w:shd w:val="clear" w:color="auto" w:fill="D5E8F0"/>
          </w:tcPr>
          <w:p w14:paraId="62991993" w14:textId="77777777" w:rsidR="00777E11" w:rsidRDefault="00000000">
            <w:r>
              <w:rPr>
                <w:b/>
                <w:sz w:val="20"/>
                <w:szCs w:val="20"/>
              </w:rPr>
              <w:t>What It Means</w:t>
            </w:r>
          </w:p>
        </w:tc>
      </w:tr>
      <w:tr w:rsidR="00777E11" w14:paraId="5145D0BF"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Pr>
          <w:p w14:paraId="3FCE17CC" w14:textId="77777777" w:rsidR="00777E11" w:rsidRDefault="00000000">
            <w:r>
              <w:rPr>
                <w:b/>
                <w:sz w:val="20"/>
                <w:szCs w:val="20"/>
              </w:rPr>
              <w:t>Dark green</w:t>
            </w:r>
          </w:p>
        </w:tc>
        <w:tc>
          <w:tcPr>
            <w:tcW w:w="7560" w:type="dxa"/>
            <w:tcBorders>
              <w:top w:val="single" w:sz="1" w:space="0" w:color="AAAAAA"/>
              <w:left w:val="single" w:sz="1" w:space="0" w:color="AAAAAA"/>
              <w:bottom w:val="single" w:sz="1" w:space="0" w:color="AAAAAA"/>
              <w:right w:val="single" w:sz="1" w:space="0" w:color="AAAAAA"/>
            </w:tcBorders>
            <w:shd w:val="clear" w:color="auto" w:fill="E2EFDA"/>
          </w:tcPr>
          <w:p w14:paraId="6073B078" w14:textId="77777777" w:rsidR="00777E11" w:rsidRDefault="00000000">
            <w:r>
              <w:rPr>
                <w:sz w:val="20"/>
                <w:szCs w:val="20"/>
              </w:rPr>
              <w:t>Survived to year 35 with more than $1M remaining. Comfortable outcome under this combination of return and spending.</w:t>
            </w:r>
          </w:p>
        </w:tc>
      </w:tr>
      <w:tr w:rsidR="00777E11" w14:paraId="4F491D6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Pr>
          <w:p w14:paraId="7E661177" w14:textId="77777777" w:rsidR="00777E11" w:rsidRDefault="00000000">
            <w:r>
              <w:rPr>
                <w:b/>
                <w:sz w:val="20"/>
                <w:szCs w:val="20"/>
              </w:rPr>
              <w:t>Light green</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Pr>
          <w:p w14:paraId="2CB8F985" w14:textId="77777777" w:rsidR="00777E11" w:rsidRDefault="00000000">
            <w:r>
              <w:rPr>
                <w:sz w:val="20"/>
                <w:szCs w:val="20"/>
              </w:rPr>
              <w:t>Survived to year 35 with $500k–$1M remaining. Solid outcome — plan held up under this scenario.</w:t>
            </w:r>
          </w:p>
        </w:tc>
      </w:tr>
      <w:tr w:rsidR="00777E11" w14:paraId="6BF5D7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Pr>
          <w:p w14:paraId="42F9300A" w14:textId="77777777" w:rsidR="00777E11" w:rsidRDefault="00000000">
            <w:r>
              <w:rPr>
                <w:b/>
                <w:sz w:val="20"/>
                <w:szCs w:val="20"/>
              </w:rPr>
              <w:t>Yellow</w:t>
            </w:r>
          </w:p>
        </w:tc>
        <w:tc>
          <w:tcPr>
            <w:tcW w:w="7560" w:type="dxa"/>
            <w:tcBorders>
              <w:top w:val="single" w:sz="1" w:space="0" w:color="AAAAAA"/>
              <w:left w:val="single" w:sz="1" w:space="0" w:color="AAAAAA"/>
              <w:bottom w:val="single" w:sz="1" w:space="0" w:color="AAAAAA"/>
              <w:right w:val="single" w:sz="1" w:space="0" w:color="AAAAAA"/>
            </w:tcBorders>
            <w:shd w:val="clear" w:color="auto" w:fill="FFF2CC"/>
          </w:tcPr>
          <w:p w14:paraId="6CB4B7A3" w14:textId="77777777" w:rsidR="00777E11" w:rsidRDefault="00000000">
            <w:r>
              <w:rPr>
                <w:sz w:val="20"/>
                <w:szCs w:val="20"/>
              </w:rPr>
              <w:t>Survived to year 35 but less than $500k remaining. Plan worked, but with limited margin.</w:t>
            </w:r>
          </w:p>
        </w:tc>
      </w:tr>
      <w:tr w:rsidR="00777E11" w14:paraId="37171F89"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51559FE6" w14:textId="77777777" w:rsidR="00777E11" w:rsidRDefault="00000000">
            <w:r>
              <w:rPr>
                <w:b/>
                <w:sz w:val="20"/>
                <w:szCs w:val="20"/>
              </w:rPr>
              <w:t>Orange</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CE422C7" w14:textId="77777777" w:rsidR="00777E11" w:rsidRDefault="00000000">
            <w:r>
              <w:rPr>
                <w:sz w:val="20"/>
                <w:szCs w:val="20"/>
              </w:rPr>
              <w:t xml:space="preserve">Portfolio </w:t>
            </w:r>
            <w:proofErr w:type="gramStart"/>
            <w:r>
              <w:rPr>
                <w:sz w:val="20"/>
                <w:szCs w:val="20"/>
              </w:rPr>
              <w:t>depleted, but</w:t>
            </w:r>
            <w:proofErr w:type="gramEnd"/>
            <w:r>
              <w:rPr>
                <w:sz w:val="20"/>
                <w:szCs w:val="20"/>
              </w:rPr>
              <w:t xml:space="preserve"> lasted beyond year 25. A late-retirement shortfall — less severe than early depletion, but still a concern for longevity planning.</w:t>
            </w:r>
          </w:p>
        </w:tc>
      </w:tr>
      <w:tr w:rsidR="00777E11" w14:paraId="6A7F1F00"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0D218C2F" w14:textId="77777777" w:rsidR="00777E11" w:rsidRDefault="00000000">
            <w:r>
              <w:rPr>
                <w:b/>
                <w:sz w:val="20"/>
                <w:szCs w:val="20"/>
              </w:rPr>
              <w:t>Red</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B0BB081" w14:textId="77777777" w:rsidR="00777E11" w:rsidRDefault="00000000">
            <w:r>
              <w:rPr>
                <w:sz w:val="20"/>
                <w:szCs w:val="20"/>
              </w:rPr>
              <w:t>Portfolio depleted before year 25. A significant early shortfall requiring material plan changes.</w:t>
            </w:r>
          </w:p>
        </w:tc>
      </w:tr>
    </w:tbl>
    <w:p w14:paraId="29D5308C" w14:textId="77777777" w:rsidR="00777E11" w:rsidRDefault="00777E11">
      <w:pPr>
        <w:spacing w:before="30" w:after="30"/>
      </w:pPr>
    </w:p>
    <w:tbl>
      <w:tblPr>
        <w:tblW w:w="9360" w:type="dxa"/>
        <w:tblCellMar>
          <w:left w:w="10" w:type="dxa"/>
          <w:right w:w="10" w:type="dxa"/>
        </w:tblCellMar>
        <w:tblLook w:val="0000" w:firstRow="0" w:lastRow="0" w:firstColumn="0" w:lastColumn="0" w:noHBand="0" w:noVBand="0"/>
      </w:tblPr>
      <w:tblGrid>
        <w:gridCol w:w="9360"/>
      </w:tblGrid>
      <w:tr w:rsidR="00777E11" w14:paraId="0632B5EE" w14:textId="77777777">
        <w:tc>
          <w:tcPr>
            <w:tcW w:w="9360" w:type="dxa"/>
            <w:tcBorders>
              <w:top w:val="single" w:sz="4" w:space="0" w:color="2E75B6"/>
              <w:left w:val="single" w:sz="14" w:space="0" w:color="2E75B6"/>
              <w:bottom w:val="single" w:sz="4" w:space="0" w:color="2E75B6"/>
              <w:right w:val="single" w:sz="4" w:space="0" w:color="2E75B6"/>
            </w:tcBorders>
            <w:shd w:val="clear" w:color="auto" w:fill="EBF3FB"/>
          </w:tcPr>
          <w:p w14:paraId="72B433C3" w14:textId="77777777" w:rsidR="00777E11" w:rsidRDefault="00000000">
            <w:proofErr w:type="gramStart"/>
            <w:r>
              <w:rPr>
                <w:i/>
                <w:iCs/>
              </w:rPr>
              <w:t>💡  Look</w:t>
            </w:r>
            <w:proofErr w:type="gramEnd"/>
            <w:r>
              <w:rPr>
                <w:i/>
                <w:iCs/>
              </w:rPr>
              <w:t xml:space="preserve"> at how far the green zone extends from your blue cell. If green fills most of the rows above and below your current return, your plan is robust to return assumptions. If you’re sitting at the boundary of orange or red, your plan is sensitive to getting your return assumption right — worth running Monte Carlo to understand the full distribution of risk.</w:t>
            </w:r>
          </w:p>
        </w:tc>
      </w:tr>
    </w:tbl>
    <w:p w14:paraId="627A2920" w14:textId="77777777" w:rsidR="00777E11" w:rsidRDefault="00777E11">
      <w:pPr>
        <w:spacing w:before="30" w:after="30"/>
      </w:pPr>
    </w:p>
    <w:p w14:paraId="03889D46" w14:textId="77777777" w:rsidR="00777E11" w:rsidRDefault="00000000">
      <w:pPr>
        <w:pStyle w:val="Heading2"/>
      </w:pPr>
      <w:bookmarkStart w:id="31" w:name="_Toc223190847"/>
      <w:proofErr w:type="gramStart"/>
      <w:r>
        <w:t>8.3  Why</w:t>
      </w:r>
      <w:proofErr w:type="gramEnd"/>
      <w:r>
        <w:t xml:space="preserve"> the Blue Cell May Differ from the Executive Summary</w:t>
      </w:r>
      <w:bookmarkEnd w:id="31"/>
    </w:p>
    <w:p w14:paraId="2B064871" w14:textId="77777777" w:rsidR="00777E11" w:rsidRDefault="00000000">
      <w:pPr>
        <w:spacing w:before="80" w:after="100"/>
      </w:pPr>
      <w:r>
        <w:t>If you have run a Monte Carlo or Historical simulation, you may notice the result in the blue cell does not match the figures in the Executive Summary. This is expected and not an error. The Executive Summary reflects the median of many simulations incorporating market volatility. The blue cell always shows a single deterministic run at your current return rate — no volatility, no randomness — which is the closest equivalent to the Constant Return view. The two tools are answering different questions and should be read alongside each other, not compared as if they should agree.</w:t>
      </w:r>
    </w:p>
    <w:p w14:paraId="2B15F1DE" w14:textId="77777777" w:rsidR="00777E11" w:rsidRDefault="00000000">
      <w:pPr>
        <w:pStyle w:val="Heading2"/>
      </w:pPr>
      <w:bookmarkStart w:id="32" w:name="_Toc223190848"/>
      <w:proofErr w:type="gramStart"/>
      <w:r>
        <w:t>8.4  What</w:t>
      </w:r>
      <w:proofErr w:type="gramEnd"/>
      <w:r>
        <w:t xml:space="preserve"> the Sensitivity Analysis Does Not Show</w:t>
      </w:r>
      <w:bookmarkEnd w:id="32"/>
    </w:p>
    <w:p w14:paraId="03EC8AD3" w14:textId="77777777" w:rsidR="00777E11" w:rsidRDefault="00000000">
      <w:pPr>
        <w:spacing w:before="80" w:after="100"/>
      </w:pPr>
      <w:r>
        <w:t>Two important limitations to be aware of:</w:t>
      </w:r>
    </w:p>
    <w:p w14:paraId="24966478" w14:textId="77777777" w:rsidR="00777E11" w:rsidRDefault="00000000">
      <w:pPr>
        <w:numPr>
          <w:ilvl w:val="0"/>
          <w:numId w:val="1"/>
        </w:numPr>
        <w:spacing w:before="60" w:after="60"/>
      </w:pPr>
      <w:r>
        <w:rPr>
          <w:b/>
        </w:rPr>
        <w:t xml:space="preserve">No market volatility. </w:t>
      </w:r>
      <w:r>
        <w:t>Each cell uses a constant return every year. A 7% row does not mean 7% average with good and bad years around it — it means exactly 7% every single year. This eliminates sequence-of-returns risk entirely. A plan that looks green in the sensitivity grid can still fail in Monte Carlo due to a bad run of early returns. Use both tools together.</w:t>
      </w:r>
    </w:p>
    <w:p w14:paraId="389922B1" w14:textId="77777777" w:rsidR="00777E11" w:rsidRDefault="00000000">
      <w:pPr>
        <w:numPr>
          <w:ilvl w:val="0"/>
          <w:numId w:val="1"/>
        </w:numPr>
        <w:spacing w:before="60" w:after="60"/>
      </w:pPr>
      <w:r>
        <w:rPr>
          <w:b/>
        </w:rPr>
        <w:t xml:space="preserve">No stochastic irregular expenses. </w:t>
      </w:r>
      <w:r>
        <w:t>If you have stochastic irregular expenses enabled, the sensitivity grid does not vary them across cells. Each cell uses a fixed deterministic path for those costs. The grid is most accurate as a tool for understanding return and spending sensitivity, not for modelling the full range of irregular expense outcomes.</w:t>
      </w:r>
    </w:p>
    <w:p w14:paraId="65D4A4A2" w14:textId="77777777" w:rsidR="00777E11" w:rsidRDefault="00777E11">
      <w:pPr>
        <w:spacing w:before="30" w:after="30"/>
      </w:pPr>
    </w:p>
    <w:p w14:paraId="29BCCDDE" w14:textId="77777777" w:rsidR="00777E11" w:rsidRDefault="00000000">
      <w:r>
        <w:br/>
      </w:r>
    </w:p>
    <w:p w14:paraId="4B329085" w14:textId="77777777" w:rsidR="00777E11" w:rsidRDefault="00000000">
      <w:pPr>
        <w:pStyle w:val="Heading1"/>
        <w:pBdr>
          <w:bottom w:val="single" w:sz="6" w:space="4" w:color="2E75B6"/>
        </w:pBdr>
      </w:pPr>
      <w:bookmarkStart w:id="33" w:name="_Toc223190849"/>
      <w:r>
        <w:t>9.  Quick Reference: What Am I Looking At?</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77E11" w14:paraId="59D1B62F"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DF141B" w14:textId="77777777" w:rsidR="00777E11" w:rsidRDefault="00000000">
            <w:r>
              <w:rPr>
                <w:b/>
                <w:bCs/>
                <w:sz w:val="20"/>
                <w:szCs w:val="20"/>
              </w:rPr>
              <w:t>I See...</w:t>
            </w:r>
          </w:p>
        </w:tc>
        <w:tc>
          <w:tcPr>
            <w:tcW w:w="6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134F30" w14:textId="77777777" w:rsidR="00777E11" w:rsidRDefault="00000000">
            <w:r>
              <w:rPr>
                <w:b/>
                <w:bCs/>
                <w:sz w:val="20"/>
                <w:szCs w:val="20"/>
              </w:rPr>
              <w:t>What It Means / What to Do</w:t>
            </w:r>
          </w:p>
        </w:tc>
      </w:tr>
      <w:tr w:rsidR="00777E11" w14:paraId="3840951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D47096E" w14:textId="77777777" w:rsidR="00777E11" w:rsidRDefault="00000000">
            <w:r>
              <w:rPr>
                <w:sz w:val="20"/>
                <w:szCs w:val="20"/>
              </w:rPr>
              <w:t>Success rate &lt; 75%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941B16F" w14:textId="77777777" w:rsidR="00777E11" w:rsidRDefault="00000000">
            <w:r>
              <w:rPr>
                <w:sz w:val="20"/>
                <w:szCs w:val="20"/>
              </w:rPr>
              <w:t>Material risk. Adjust spending, retirement age, or income before finalising your plan.</w:t>
            </w:r>
          </w:p>
        </w:tc>
      </w:tr>
      <w:tr w:rsidR="00777E11" w14:paraId="5E0A3C7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0A45BD0" w14:textId="77777777" w:rsidR="00777E11" w:rsidRDefault="00000000">
            <w:r>
              <w:rPr>
                <w:sz w:val="20"/>
                <w:szCs w:val="20"/>
              </w:rPr>
              <w:t>Success rate 75–85%</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C6306D7" w14:textId="77777777" w:rsidR="00777E11" w:rsidRDefault="00000000">
            <w:r>
              <w:rPr>
                <w:sz w:val="20"/>
                <w:szCs w:val="20"/>
              </w:rPr>
              <w:t>Moderate. Small adjustments can move this to the green zone. Try reducing spending by 5–10%.</w:t>
            </w:r>
          </w:p>
        </w:tc>
      </w:tr>
      <w:tr w:rsidR="00777E11" w14:paraId="23152200"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9BFBE89" w14:textId="77777777" w:rsidR="00777E11" w:rsidRDefault="00000000">
            <w:r>
              <w:rPr>
                <w:sz w:val="20"/>
                <w:szCs w:val="20"/>
              </w:rPr>
              <w:lastRenderedPageBreak/>
              <w:t>Success rate &gt; 90%</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BFD64E9" w14:textId="77777777" w:rsidR="00777E11" w:rsidRDefault="00000000">
            <w:r>
              <w:rPr>
                <w:sz w:val="20"/>
                <w:szCs w:val="20"/>
              </w:rPr>
              <w:t>Comfortable. Check whether P10 is also positive — if yes, consider whether you could spend more.</w:t>
            </w:r>
          </w:p>
        </w:tc>
      </w:tr>
      <w:tr w:rsidR="00777E11" w14:paraId="21C75FC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C62E4A" w14:textId="77777777" w:rsidR="00777E11" w:rsidRDefault="00000000">
            <w:r>
              <w:rPr>
                <w:sz w:val="20"/>
                <w:szCs w:val="20"/>
              </w:rPr>
              <w:t>P10 runs out before 85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9EADA59" w14:textId="77777777" w:rsidR="00777E11" w:rsidRDefault="00000000">
            <w:r>
              <w:rPr>
                <w:sz w:val="20"/>
                <w:szCs w:val="20"/>
              </w:rPr>
              <w:t>Sequence-of-returns risk is real. Add a buffer, enable guardrails, or reduce spending.</w:t>
            </w:r>
          </w:p>
        </w:tc>
      </w:tr>
      <w:tr w:rsidR="00777E11" w14:paraId="547E800C"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8B207CB" w14:textId="77777777" w:rsidR="00777E11" w:rsidRDefault="00000000">
            <w:r>
              <w:rPr>
                <w:sz w:val="20"/>
                <w:szCs w:val="20"/>
              </w:rPr>
              <w:t>P10 survives to target age</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0E1E0EB" w14:textId="77777777" w:rsidR="00777E11" w:rsidRDefault="00000000">
            <w:r>
              <w:rPr>
                <w:sz w:val="20"/>
                <w:szCs w:val="20"/>
              </w:rPr>
              <w:t>The uncomfortable 10% of scenarios still end okay. Your plan has real robustness.</w:t>
            </w:r>
          </w:p>
        </w:tc>
      </w:tr>
      <w:tr w:rsidR="00777E11" w14:paraId="299FA9CE"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4031CAF" w14:textId="77777777" w:rsidR="00777E11" w:rsidRDefault="00000000">
            <w:r>
              <w:rPr>
                <w:sz w:val="20"/>
                <w:szCs w:val="20"/>
              </w:rPr>
              <w:t>A1 fails</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670349F" w14:textId="77777777" w:rsidR="00777E11" w:rsidRDefault="00000000">
            <w:r>
              <w:rPr>
                <w:sz w:val="20"/>
                <w:szCs w:val="20"/>
              </w:rPr>
              <w:t>Base spending too high. This is the highest-priority problem to fix.</w:t>
            </w:r>
          </w:p>
        </w:tc>
      </w:tr>
      <w:tr w:rsidR="00777E11" w14:paraId="3342951A"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D4208D8" w14:textId="77777777" w:rsidR="00777E11" w:rsidRDefault="00000000">
            <w:r>
              <w:rPr>
                <w:sz w:val="20"/>
                <w:szCs w:val="20"/>
              </w:rPr>
              <w:t>A1 passes but B1/B2 fail</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95A2B7A" w14:textId="77777777" w:rsidR="00777E11" w:rsidRDefault="00000000">
            <w:r>
              <w:rPr>
                <w:sz w:val="20"/>
                <w:szCs w:val="20"/>
              </w:rPr>
              <w:t>Sequence-of-returns and/or sustained low-return vulnerability. Add buffer or guardrails.</w:t>
            </w:r>
          </w:p>
        </w:tc>
      </w:tr>
      <w:tr w:rsidR="00777E11" w14:paraId="0AE5D22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C5EDF9D" w14:textId="77777777" w:rsidR="00777E11" w:rsidRDefault="00000000">
            <w:r>
              <w:rPr>
                <w:sz w:val="20"/>
                <w:szCs w:val="20"/>
              </w:rPr>
              <w:t>Large blue bars throughout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EB5435A" w14:textId="77777777" w:rsidR="00777E11" w:rsidRDefault="00000000">
            <w:r>
              <w:rPr>
                <w:sz w:val="20"/>
                <w:szCs w:val="20"/>
              </w:rPr>
              <w:t>Heavily reliant on super drawdown. Check what happens if super runs out earlier than expected.</w:t>
            </w:r>
          </w:p>
        </w:tc>
      </w:tr>
      <w:tr w:rsidR="00777E11" w14:paraId="3CECDA6E"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DBCD334" w14:textId="77777777" w:rsidR="00777E11" w:rsidRDefault="00000000">
            <w:r>
              <w:rPr>
                <w:sz w:val="20"/>
                <w:szCs w:val="20"/>
              </w:rPr>
              <w:t>Age Pension grows strongly mid-retirement</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FFF36FA" w14:textId="77777777" w:rsidR="00777E11" w:rsidRDefault="00000000">
            <w:r>
              <w:rPr>
                <w:sz w:val="20"/>
                <w:szCs w:val="20"/>
              </w:rPr>
              <w:t>Working as designed — the natural income floor rising as super depletes. Healthy pattern.</w:t>
            </w:r>
          </w:p>
        </w:tc>
      </w:tr>
      <w:tr w:rsidR="00777E11" w14:paraId="48105627"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847DFB" w14:textId="77777777" w:rsidR="00777E11" w:rsidRDefault="00000000">
            <w:r>
              <w:rPr>
                <w:sz w:val="20"/>
                <w:szCs w:val="20"/>
              </w:rPr>
              <w:t>Very large ending balance</w:t>
            </w:r>
          </w:p>
        </w:tc>
        <w:tc>
          <w:tcPr>
            <w:tcW w:w="6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E20617" w14:textId="77777777" w:rsidR="00777E11" w:rsidRDefault="00000000">
            <w:r>
              <w:rPr>
                <w:sz w:val="20"/>
                <w:szCs w:val="20"/>
              </w:rPr>
              <w:t>You may be under-spending. Run a scenario with 10–15% higher spending and check the results.</w:t>
            </w:r>
          </w:p>
        </w:tc>
      </w:tr>
      <w:tr w:rsidR="00777E11" w14:paraId="7AC9FD0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5C6000B" w14:textId="77777777" w:rsidR="00777E11" w:rsidRDefault="00000000">
            <w:r>
              <w:rPr>
                <w:sz w:val="20"/>
                <w:szCs w:val="20"/>
              </w:rPr>
              <w:t>Wide fan (P90 vs P10 very far apart)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07FC72BA" w14:textId="77777777" w:rsidR="00777E11" w:rsidRDefault="00000000">
            <w:r>
              <w:rPr>
                <w:sz w:val="20"/>
                <w:szCs w:val="20"/>
              </w:rPr>
              <w:t>High sensitivity to return sequence. Focus on P10, not P50. Consider defensive strategies.</w:t>
            </w:r>
          </w:p>
        </w:tc>
      </w:tr>
    </w:tbl>
    <w:p w14:paraId="31FD8708" w14:textId="77777777" w:rsidR="00777E11" w:rsidRDefault="00777E11">
      <w:pPr>
        <w:spacing w:before="40" w:after="40"/>
      </w:pPr>
    </w:p>
    <w:p w14:paraId="66321772" w14:textId="77777777" w:rsidR="00777E11" w:rsidRDefault="00777E11">
      <w:pPr>
        <w:spacing w:before="40" w:after="40"/>
      </w:pPr>
    </w:p>
    <w:p w14:paraId="2ABA4C94" w14:textId="77777777" w:rsidR="00777E11" w:rsidRDefault="00000000">
      <w:pPr>
        <w:pBdr>
          <w:top w:val="single" w:sz="6" w:space="6" w:color="AAAAAA"/>
        </w:pBdr>
        <w:spacing w:before="240" w:after="80"/>
      </w:pPr>
      <w:r>
        <w:rPr>
          <w:b/>
          <w:bCs/>
          <w:color w:val="555555"/>
          <w:sz w:val="20"/>
          <w:szCs w:val="20"/>
        </w:rPr>
        <w:t>Disclaimer</w:t>
      </w:r>
    </w:p>
    <w:p w14:paraId="48188D47" w14:textId="77777777" w:rsidR="00777E11" w:rsidRDefault="00000000">
      <w:pPr>
        <w:spacing w:before="40" w:after="40"/>
      </w:pPr>
      <w:r>
        <w:rPr>
          <w:i/>
          <w:iCs/>
          <w:color w:val="666666"/>
          <w:sz w:val="18"/>
          <w:szCs w:val="18"/>
        </w:rPr>
        <w:t>This document is a companion guide to the Australian Retirement Calculator. It is provided for general educational purposes only and does not constitute financial advice. Retirement planning involves complex personal circumstances that this calculator cannot fully capture. You should seek advice from a qualified financial adviser before making material decisions about your retirement. Past market performance, including the historical data used in this calculator, is not a reliable indicator of future performance.</w:t>
      </w:r>
    </w:p>
    <w:sectPr w:rsidR="00777E11">
      <w:headerReference w:type="default" r:id="rId9"/>
      <w:footerReference w:type="default" r:id="rId1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1687" w14:textId="77777777" w:rsidR="000144AE" w:rsidRDefault="000144AE">
      <w:r>
        <w:separator/>
      </w:r>
    </w:p>
  </w:endnote>
  <w:endnote w:type="continuationSeparator" w:id="0">
    <w:p w14:paraId="274B116D" w14:textId="77777777" w:rsidR="000144AE" w:rsidRDefault="00014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76BF3" w14:textId="77777777" w:rsidR="00777E11" w:rsidRDefault="0000000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9610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19610E">
      <w:rPr>
        <w:noProof/>
        <w:color w:val="888888"/>
        <w:sz w:val="18"/>
        <w:szCs w:val="18"/>
      </w:rPr>
      <w:t>2</w:t>
    </w:r>
    <w:r>
      <w:rPr>
        <w:color w:val="888888"/>
        <w:sz w:val="18"/>
        <w:szCs w:val="18"/>
      </w:rPr>
      <w:fldChar w:fldCharType="end"/>
    </w:r>
    <w:r>
      <w:rPr>
        <w:i/>
        <w:iCs/>
        <w:color w:val="888888"/>
        <w:sz w:val="18"/>
        <w:szCs w:val="18"/>
      </w:rPr>
      <w:t xml:space="preserve">   —   This calculator is a planning tool, not financial advice.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F7E6F" w14:textId="77777777" w:rsidR="000144AE" w:rsidRDefault="000144AE">
      <w:r>
        <w:separator/>
      </w:r>
    </w:p>
  </w:footnote>
  <w:footnote w:type="continuationSeparator" w:id="0">
    <w:p w14:paraId="645B129F" w14:textId="77777777" w:rsidR="000144AE" w:rsidRDefault="00014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D6EDF" w14:textId="77777777" w:rsidR="00777E11" w:rsidRDefault="00000000">
    <w:pPr>
      <w:pBdr>
        <w:bottom w:val="single" w:sz="6" w:space="4" w:color="2E75B6"/>
      </w:pBdr>
    </w:pPr>
    <w:r>
      <w:rPr>
        <w:color w:val="555555"/>
        <w:sz w:val="18"/>
        <w:szCs w:val="18"/>
      </w:rPr>
      <w:t xml:space="preserve">Australian Retirement </w:t>
    </w:r>
    <w:proofErr w:type="gramStart"/>
    <w:r>
      <w:rPr>
        <w:color w:val="555555"/>
        <w:sz w:val="18"/>
        <w:szCs w:val="18"/>
      </w:rPr>
      <w:t>Calculator  —</w:t>
    </w:r>
    <w:proofErr w:type="gramEnd"/>
    <w:r>
      <w:rPr>
        <w:color w:val="555555"/>
        <w:sz w:val="18"/>
        <w:szCs w:val="18"/>
      </w:rPr>
      <w:t xml:space="preserve">  Understanding Your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F8E"/>
    <w:multiLevelType w:val="hybridMultilevel"/>
    <w:tmpl w:val="58C4D11A"/>
    <w:lvl w:ilvl="0" w:tplc="5B72B578">
      <w:start w:val="1"/>
      <w:numFmt w:val="bullet"/>
      <w:lvlText w:val="●"/>
      <w:lvlJc w:val="left"/>
      <w:pPr>
        <w:ind w:left="720" w:hanging="360"/>
      </w:pPr>
    </w:lvl>
    <w:lvl w:ilvl="1" w:tplc="2E92FB6E">
      <w:start w:val="1"/>
      <w:numFmt w:val="bullet"/>
      <w:lvlText w:val="○"/>
      <w:lvlJc w:val="left"/>
      <w:pPr>
        <w:ind w:left="1440" w:hanging="360"/>
      </w:pPr>
    </w:lvl>
    <w:lvl w:ilvl="2" w:tplc="311C551A">
      <w:start w:val="1"/>
      <w:numFmt w:val="bullet"/>
      <w:lvlText w:val="■"/>
      <w:lvlJc w:val="left"/>
      <w:pPr>
        <w:ind w:left="2160" w:hanging="360"/>
      </w:pPr>
    </w:lvl>
    <w:lvl w:ilvl="3" w:tplc="2A822332">
      <w:start w:val="1"/>
      <w:numFmt w:val="bullet"/>
      <w:lvlText w:val="●"/>
      <w:lvlJc w:val="left"/>
      <w:pPr>
        <w:ind w:left="2880" w:hanging="360"/>
      </w:pPr>
    </w:lvl>
    <w:lvl w:ilvl="4" w:tplc="AED0049A">
      <w:start w:val="1"/>
      <w:numFmt w:val="bullet"/>
      <w:lvlText w:val="○"/>
      <w:lvlJc w:val="left"/>
      <w:pPr>
        <w:ind w:left="3600" w:hanging="360"/>
      </w:pPr>
    </w:lvl>
    <w:lvl w:ilvl="5" w:tplc="D77E807C">
      <w:start w:val="1"/>
      <w:numFmt w:val="bullet"/>
      <w:lvlText w:val="■"/>
      <w:lvlJc w:val="left"/>
      <w:pPr>
        <w:ind w:left="4320" w:hanging="360"/>
      </w:pPr>
    </w:lvl>
    <w:lvl w:ilvl="6" w:tplc="A54C0850">
      <w:start w:val="1"/>
      <w:numFmt w:val="bullet"/>
      <w:lvlText w:val="●"/>
      <w:lvlJc w:val="left"/>
      <w:pPr>
        <w:ind w:left="5040" w:hanging="360"/>
      </w:pPr>
    </w:lvl>
    <w:lvl w:ilvl="7" w:tplc="56CC6B72">
      <w:start w:val="1"/>
      <w:numFmt w:val="bullet"/>
      <w:lvlText w:val="●"/>
      <w:lvlJc w:val="left"/>
      <w:pPr>
        <w:ind w:left="5760" w:hanging="360"/>
      </w:pPr>
    </w:lvl>
    <w:lvl w:ilvl="8" w:tplc="68E6E012">
      <w:start w:val="1"/>
      <w:numFmt w:val="bullet"/>
      <w:lvlText w:val="●"/>
      <w:lvlJc w:val="left"/>
      <w:pPr>
        <w:ind w:left="6480" w:hanging="360"/>
      </w:pPr>
    </w:lvl>
  </w:abstractNum>
  <w:abstractNum w:abstractNumId="1" w15:restartNumberingAfterBreak="0">
    <w:nsid w:val="0CC75B45"/>
    <w:multiLevelType w:val="hybridMultilevel"/>
    <w:tmpl w:val="59B04568"/>
    <w:lvl w:ilvl="0" w:tplc="2C8A353E">
      <w:start w:val="1"/>
      <w:numFmt w:val="decimal"/>
      <w:lvlText w:val="%1."/>
      <w:lvlJc w:val="left"/>
      <w:pPr>
        <w:ind w:left="640" w:hanging="320"/>
      </w:pPr>
    </w:lvl>
    <w:lvl w:ilvl="1" w:tplc="E452991C">
      <w:numFmt w:val="decimal"/>
      <w:lvlText w:val=""/>
      <w:lvlJc w:val="left"/>
    </w:lvl>
    <w:lvl w:ilvl="2" w:tplc="2FF2B5A0">
      <w:numFmt w:val="decimal"/>
      <w:lvlText w:val=""/>
      <w:lvlJc w:val="left"/>
    </w:lvl>
    <w:lvl w:ilvl="3" w:tplc="5C2435E8">
      <w:numFmt w:val="decimal"/>
      <w:lvlText w:val=""/>
      <w:lvlJc w:val="left"/>
    </w:lvl>
    <w:lvl w:ilvl="4" w:tplc="66C8A30E">
      <w:numFmt w:val="decimal"/>
      <w:lvlText w:val=""/>
      <w:lvlJc w:val="left"/>
    </w:lvl>
    <w:lvl w:ilvl="5" w:tplc="F22AE81A">
      <w:numFmt w:val="decimal"/>
      <w:lvlText w:val=""/>
      <w:lvlJc w:val="left"/>
    </w:lvl>
    <w:lvl w:ilvl="6" w:tplc="DC66CF08">
      <w:numFmt w:val="decimal"/>
      <w:lvlText w:val=""/>
      <w:lvlJc w:val="left"/>
    </w:lvl>
    <w:lvl w:ilvl="7" w:tplc="0AD882F4">
      <w:numFmt w:val="decimal"/>
      <w:lvlText w:val=""/>
      <w:lvlJc w:val="left"/>
    </w:lvl>
    <w:lvl w:ilvl="8" w:tplc="365E0EB6">
      <w:numFmt w:val="decimal"/>
      <w:lvlText w:val=""/>
      <w:lvlJc w:val="left"/>
    </w:lvl>
  </w:abstractNum>
  <w:abstractNum w:abstractNumId="2" w15:restartNumberingAfterBreak="0">
    <w:nsid w:val="272C7347"/>
    <w:multiLevelType w:val="hybridMultilevel"/>
    <w:tmpl w:val="6B86893E"/>
    <w:lvl w:ilvl="0" w:tplc="969EC960">
      <w:start w:val="1"/>
      <w:numFmt w:val="bullet"/>
      <w:lvlText w:val="•"/>
      <w:lvlJc w:val="left"/>
      <w:pPr>
        <w:ind w:left="640" w:hanging="320"/>
      </w:pPr>
    </w:lvl>
    <w:lvl w:ilvl="1" w:tplc="EB467582">
      <w:numFmt w:val="decimal"/>
      <w:lvlText w:val=""/>
      <w:lvlJc w:val="left"/>
    </w:lvl>
    <w:lvl w:ilvl="2" w:tplc="93440B02">
      <w:numFmt w:val="decimal"/>
      <w:lvlText w:val=""/>
      <w:lvlJc w:val="left"/>
    </w:lvl>
    <w:lvl w:ilvl="3" w:tplc="AECA139C">
      <w:numFmt w:val="decimal"/>
      <w:lvlText w:val=""/>
      <w:lvlJc w:val="left"/>
    </w:lvl>
    <w:lvl w:ilvl="4" w:tplc="A8263F2E">
      <w:numFmt w:val="decimal"/>
      <w:lvlText w:val=""/>
      <w:lvlJc w:val="left"/>
    </w:lvl>
    <w:lvl w:ilvl="5" w:tplc="4CE685D2">
      <w:numFmt w:val="decimal"/>
      <w:lvlText w:val=""/>
      <w:lvlJc w:val="left"/>
    </w:lvl>
    <w:lvl w:ilvl="6" w:tplc="399A3B88">
      <w:numFmt w:val="decimal"/>
      <w:lvlText w:val=""/>
      <w:lvlJc w:val="left"/>
    </w:lvl>
    <w:lvl w:ilvl="7" w:tplc="2236CAEA">
      <w:numFmt w:val="decimal"/>
      <w:lvlText w:val=""/>
      <w:lvlJc w:val="left"/>
    </w:lvl>
    <w:lvl w:ilvl="8" w:tplc="2AE29FD0">
      <w:numFmt w:val="decimal"/>
      <w:lvlText w:val=""/>
      <w:lvlJc w:val="left"/>
    </w:lvl>
  </w:abstractNum>
  <w:num w:numId="1" w16cid:durableId="27800890">
    <w:abstractNumId w:val="0"/>
    <w:lvlOverride w:ilvl="0">
      <w:startOverride w:val="1"/>
    </w:lvlOverride>
  </w:num>
  <w:num w:numId="2" w16cid:durableId="609083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E11"/>
    <w:rsid w:val="000144AE"/>
    <w:rsid w:val="00132B6D"/>
    <w:rsid w:val="0019610E"/>
    <w:rsid w:val="002763FC"/>
    <w:rsid w:val="004B4794"/>
    <w:rsid w:val="00622E3F"/>
    <w:rsid w:val="00777E11"/>
    <w:rsid w:val="00933341"/>
    <w:rsid w:val="00B67C18"/>
    <w:rsid w:val="00EE6B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D3E9D"/>
  <w15:docId w15:val="{3D875527-2F20-4D30-91F8-2590385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4B4794"/>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4B4794"/>
    <w:pPr>
      <w:spacing w:after="100"/>
    </w:pPr>
  </w:style>
  <w:style w:type="paragraph" w:styleId="TOC2">
    <w:name w:val="toc 2"/>
    <w:basedOn w:val="Normal"/>
    <w:next w:val="Normal"/>
    <w:autoRedefine/>
    <w:uiPriority w:val="39"/>
    <w:unhideWhenUsed/>
    <w:rsid w:val="004B47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D8C7E-61AD-4EAF-8003-F9DCA75C2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5284</Words>
  <Characters>27160</Characters>
  <Application>Microsoft Office Word</Application>
  <DocSecurity>0</DocSecurity>
  <Lines>696</Lines>
  <Paragraphs>381</Paragraphs>
  <ScaleCrop>false</ScaleCrop>
  <Company/>
  <LinksUpToDate>false</LinksUpToDate>
  <CharactersWithSpaces>32063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4</cp:revision>
  <dcterms:created xsi:type="dcterms:W3CDTF">2026-02-28T01:12:00Z</dcterms:created>
  <dcterms:modified xsi:type="dcterms:W3CDTF">2026-02-28T06:06:00Z</dcterms:modified>
</cp:coreProperties>
</file>