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80D8" w14:textId="77777777" w:rsidR="000E6BF1" w:rsidRDefault="00000000">
      <w:pPr>
        <w:spacing w:before="680"/>
      </w:pPr>
      <w:r>
        <w:rPr>
          <w:b/>
          <w:color w:val="173B63"/>
          <w:sz w:val="50"/>
        </w:rPr>
        <w:t>INTEGRATED NEURONAL REDOX AND</w:t>
      </w:r>
      <w:r>
        <w:rPr>
          <w:b/>
          <w:color w:val="173B63"/>
          <w:sz w:val="50"/>
        </w:rPr>
        <w:br/>
        <w:t>LYSOSOMAL LIPID METABOLISM</w:t>
      </w:r>
    </w:p>
    <w:p w14:paraId="37FAE378" w14:textId="77777777" w:rsidR="000E6BF1" w:rsidRDefault="00000000">
      <w:pPr>
        <w:spacing w:after="400"/>
      </w:pPr>
      <w:r>
        <w:rPr>
          <w:color w:val="2F6B9A"/>
          <w:sz w:val="28"/>
        </w:rPr>
        <w:t>Detailed pathway analysis and grant framework for EAE and multiple sclerosis</w:t>
      </w:r>
    </w:p>
    <w:tbl>
      <w:tblPr>
        <w:tblW w:w="0" w:type="auto"/>
        <w:jc w:val="center"/>
        <w:tblLayout w:type="fixed"/>
        <w:tblLook w:val="04A0" w:firstRow="1" w:lastRow="0" w:firstColumn="1" w:lastColumn="0" w:noHBand="0" w:noVBand="1"/>
      </w:tblPr>
      <w:tblGrid>
        <w:gridCol w:w="2088"/>
        <w:gridCol w:w="7992"/>
      </w:tblGrid>
      <w:tr w:rsidR="000E6BF1" w14:paraId="45286BD4" w14:textId="77777777">
        <w:trPr>
          <w:jc w:val="center"/>
        </w:trPr>
        <w:tc>
          <w:tcPr>
            <w:tcW w:w="2088" w:type="dxa"/>
            <w:shd w:val="clear" w:color="auto" w:fill="173B63"/>
            <w:tcMar>
              <w:top w:w="120" w:type="dxa"/>
              <w:left w:w="120" w:type="dxa"/>
              <w:bottom w:w="120" w:type="dxa"/>
              <w:right w:w="120" w:type="dxa"/>
            </w:tcMar>
          </w:tcPr>
          <w:p w14:paraId="2EF535F5" w14:textId="77777777" w:rsidR="000E6BF1" w:rsidRDefault="00000000">
            <w:r>
              <w:rPr>
                <w:b/>
                <w:color w:val="FFFFFF"/>
              </w:rPr>
              <w:t>Data foundation</w:t>
            </w:r>
          </w:p>
        </w:tc>
        <w:tc>
          <w:tcPr>
            <w:tcW w:w="7992" w:type="dxa"/>
            <w:shd w:val="clear" w:color="auto" w:fill="F4F7FA"/>
            <w:tcMar>
              <w:top w:w="120" w:type="dxa"/>
              <w:left w:w="120" w:type="dxa"/>
              <w:bottom w:w="120" w:type="dxa"/>
              <w:right w:w="120" w:type="dxa"/>
            </w:tcMar>
          </w:tcPr>
          <w:p w14:paraId="1023B6CC" w14:textId="77777777" w:rsidR="000E6BF1" w:rsidRDefault="00000000">
            <w:r>
              <w:t>215 genes commonly upregulated in RGCs and spinal motor neurons during EAE</w:t>
            </w:r>
          </w:p>
        </w:tc>
      </w:tr>
      <w:tr w:rsidR="000E6BF1" w14:paraId="4530D3D6" w14:textId="77777777">
        <w:trPr>
          <w:jc w:val="center"/>
        </w:trPr>
        <w:tc>
          <w:tcPr>
            <w:tcW w:w="2088" w:type="dxa"/>
            <w:shd w:val="clear" w:color="auto" w:fill="173B63"/>
            <w:tcMar>
              <w:top w:w="120" w:type="dxa"/>
              <w:left w:w="120" w:type="dxa"/>
              <w:bottom w:w="120" w:type="dxa"/>
              <w:right w:w="120" w:type="dxa"/>
            </w:tcMar>
          </w:tcPr>
          <w:p w14:paraId="3ABD74F0" w14:textId="77777777" w:rsidR="000E6BF1" w:rsidRDefault="00000000">
            <w:r>
              <w:rPr>
                <w:b/>
                <w:color w:val="FFFFFF"/>
              </w:rPr>
              <w:t>Integrated modules</w:t>
            </w:r>
          </w:p>
        </w:tc>
        <w:tc>
          <w:tcPr>
            <w:tcW w:w="7992" w:type="dxa"/>
            <w:shd w:val="clear" w:color="auto" w:fill="F4F7FA"/>
            <w:tcMar>
              <w:top w:w="120" w:type="dxa"/>
              <w:left w:w="120" w:type="dxa"/>
              <w:bottom w:w="120" w:type="dxa"/>
              <w:right w:w="120" w:type="dxa"/>
            </w:tcMar>
          </w:tcPr>
          <w:p w14:paraId="113BFBA0" w14:textId="77777777" w:rsidR="000E6BF1" w:rsidRDefault="00000000">
            <w:r>
              <w:t>Rank 1: 33 NADPH/redox assignments • Rank 2: 36 PSAP/lysosomal lipid assignments</w:t>
            </w:r>
          </w:p>
        </w:tc>
      </w:tr>
      <w:tr w:rsidR="000E6BF1" w14:paraId="658732E2" w14:textId="77777777">
        <w:trPr>
          <w:jc w:val="center"/>
        </w:trPr>
        <w:tc>
          <w:tcPr>
            <w:tcW w:w="2088" w:type="dxa"/>
            <w:shd w:val="clear" w:color="auto" w:fill="173B63"/>
            <w:tcMar>
              <w:top w:w="120" w:type="dxa"/>
              <w:left w:w="120" w:type="dxa"/>
              <w:bottom w:w="120" w:type="dxa"/>
              <w:right w:w="120" w:type="dxa"/>
            </w:tcMar>
          </w:tcPr>
          <w:p w14:paraId="7D3B80BF" w14:textId="77777777" w:rsidR="000E6BF1" w:rsidRDefault="00000000">
            <w:r>
              <w:rPr>
                <w:b/>
                <w:color w:val="FFFFFF"/>
              </w:rPr>
              <w:t>Interpretive scope</w:t>
            </w:r>
          </w:p>
        </w:tc>
        <w:tc>
          <w:tcPr>
            <w:tcW w:w="7992" w:type="dxa"/>
            <w:shd w:val="clear" w:color="auto" w:fill="F4F7FA"/>
            <w:tcMar>
              <w:top w:w="120" w:type="dxa"/>
              <w:left w:w="120" w:type="dxa"/>
              <w:bottom w:w="120" w:type="dxa"/>
              <w:right w:w="120" w:type="dxa"/>
            </w:tcMar>
          </w:tcPr>
          <w:p w14:paraId="6EC70E94" w14:textId="77777777" w:rsidR="000E6BF1" w:rsidRDefault="00000000">
            <w:r>
              <w:t>Neuron-focused • peer-reviewed literature only • no FDR or fold-change down-selection</w:t>
            </w:r>
          </w:p>
        </w:tc>
      </w:tr>
    </w:tbl>
    <w:p w14:paraId="0EB7F055" w14:textId="77777777" w:rsidR="000E6BF1" w:rsidRDefault="000E6BF1"/>
    <w:tbl>
      <w:tblPr>
        <w:tblW w:w="0" w:type="auto"/>
        <w:jc w:val="center"/>
        <w:tblLayout w:type="fixed"/>
        <w:tblLook w:val="04A0" w:firstRow="1" w:lastRow="0" w:firstColumn="1" w:lastColumn="0" w:noHBand="0" w:noVBand="1"/>
      </w:tblPr>
      <w:tblGrid>
        <w:gridCol w:w="10368"/>
      </w:tblGrid>
      <w:tr w:rsidR="000E6BF1" w14:paraId="4728143D" w14:textId="77777777">
        <w:trPr>
          <w:cantSplit/>
          <w:jc w:val="center"/>
        </w:trPr>
        <w:tc>
          <w:tcPr>
            <w:tcW w:w="10368" w:type="dxa"/>
            <w:tcBorders>
              <w:top w:val="single" w:sz="10" w:space="0" w:color="2F6B9A"/>
              <w:left w:val="single" w:sz="10" w:space="0" w:color="2F6B9A"/>
              <w:bottom w:val="single" w:sz="10" w:space="0" w:color="2F6B9A"/>
              <w:right w:val="single" w:sz="10" w:space="0" w:color="2F6B9A"/>
            </w:tcBorders>
            <w:shd w:val="clear" w:color="auto" w:fill="EAF2F8"/>
            <w:tcMar>
              <w:top w:w="120" w:type="dxa"/>
              <w:left w:w="140" w:type="dxa"/>
              <w:bottom w:w="120" w:type="dxa"/>
              <w:right w:w="140" w:type="dxa"/>
            </w:tcMar>
          </w:tcPr>
          <w:p w14:paraId="418B9364" w14:textId="77777777" w:rsidR="000E6BF1" w:rsidRDefault="00000000">
            <w:pPr>
              <w:spacing w:after="60"/>
            </w:pPr>
            <w:r>
              <w:rPr>
                <w:b/>
                <w:color w:val="2F6B9A"/>
              </w:rPr>
              <w:t>Central conclusion</w:t>
            </w:r>
          </w:p>
          <w:p w14:paraId="22A24B1B" w14:textId="77777777" w:rsidR="000E6BF1" w:rsidRDefault="00000000">
            <w:pPr>
              <w:spacing w:after="0"/>
            </w:pPr>
            <w:r>
              <w:t>The two modules are best interpreted as a single stress–defense system. Inflammation increases oxidant pressure and can divert neuronal glucose away from the oxidative pentose phosphate pathway, while NOX2-associated machinery consumes NADPH and produces ROS. When reducing-power supply becomes inadequate, glutathione/GPX4 lipid-peroxide repair fails. Neurons then increase a PSAP-centered lysosomal program to degrade and export damaged lipids and cholesterol; if this capacity is exceeded, lipofuscin, labile iron and oxidized phospholipids accumulate and lower the ferroptosis threshold.</w:t>
            </w:r>
          </w:p>
        </w:tc>
      </w:tr>
    </w:tbl>
    <w:p w14:paraId="679D424C" w14:textId="77777777" w:rsidR="000E6BF1" w:rsidRDefault="000E6BF1">
      <w:pPr>
        <w:spacing w:after="20"/>
      </w:pPr>
    </w:p>
    <w:tbl>
      <w:tblPr>
        <w:tblW w:w="0" w:type="auto"/>
        <w:jc w:val="center"/>
        <w:tblLayout w:type="fixed"/>
        <w:tblLook w:val="04A0" w:firstRow="1" w:lastRow="0" w:firstColumn="1" w:lastColumn="0" w:noHBand="0" w:noVBand="1"/>
      </w:tblPr>
      <w:tblGrid>
        <w:gridCol w:w="10368"/>
      </w:tblGrid>
      <w:tr w:rsidR="000E6BF1" w14:paraId="2B00C66A" w14:textId="77777777">
        <w:trPr>
          <w:cantSplit/>
          <w:jc w:val="center"/>
        </w:trPr>
        <w:tc>
          <w:tcPr>
            <w:tcW w:w="10368" w:type="dxa"/>
            <w:tcBorders>
              <w:top w:val="single" w:sz="10" w:space="0" w:color="16796F"/>
              <w:left w:val="single" w:sz="10" w:space="0" w:color="16796F"/>
              <w:bottom w:val="single" w:sz="10" w:space="0" w:color="16796F"/>
              <w:right w:val="single" w:sz="10" w:space="0" w:color="16796F"/>
            </w:tcBorders>
            <w:shd w:val="clear" w:color="auto" w:fill="E8F5E9"/>
            <w:tcMar>
              <w:top w:w="120" w:type="dxa"/>
              <w:left w:w="140" w:type="dxa"/>
              <w:bottom w:w="120" w:type="dxa"/>
              <w:right w:w="140" w:type="dxa"/>
            </w:tcMar>
          </w:tcPr>
          <w:p w14:paraId="17054B28" w14:textId="77777777" w:rsidR="000E6BF1" w:rsidRDefault="00000000">
            <w:pPr>
              <w:spacing w:after="60"/>
            </w:pPr>
            <w:r>
              <w:rPr>
                <w:b/>
                <w:color w:val="16796F"/>
              </w:rPr>
              <w:t>Grant-level decision</w:t>
            </w:r>
          </w:p>
          <w:p w14:paraId="41210670" w14:textId="77777777" w:rsidR="000E6BF1" w:rsidRDefault="00000000">
            <w:pPr>
              <w:spacing w:after="0"/>
            </w:pPr>
            <w:r>
              <w:t>Use neuron-specific PSAP enhancement as the primary therapeutic intervention. Use PGD/PPP support as the upstream mechanistic modifier, initially in cultured neurons. Treat PSMB8/PFKFB3 inhibition as an established comparator, not the novelty claim. Do not inhibit or induce the entire upregulated signature.</w:t>
            </w:r>
          </w:p>
        </w:tc>
      </w:tr>
    </w:tbl>
    <w:p w14:paraId="57C88E2C" w14:textId="77777777" w:rsidR="000E6BF1" w:rsidRDefault="000E6BF1">
      <w:pPr>
        <w:spacing w:after="20"/>
      </w:pPr>
    </w:p>
    <w:p w14:paraId="44031AA1" w14:textId="77777777" w:rsidR="000E6BF1" w:rsidRDefault="00000000">
      <w:pPr>
        <w:spacing w:before="320"/>
      </w:pPr>
      <w:r>
        <w:rPr>
          <w:b/>
        </w:rPr>
        <w:t xml:space="preserve">Literature cutoff: 9 September 2026. </w:t>
      </w:r>
      <w:r>
        <w:t>Scientific statements are restricted to peer-reviewed original or review papers. Literature-gap and novelty ratings are reasoned inferences from the reviewed literature, not proof that unpublished work does not exist.</w:t>
      </w:r>
    </w:p>
    <w:p w14:paraId="46217ADD" w14:textId="77777777" w:rsidR="000E6BF1" w:rsidRDefault="00000000">
      <w:r>
        <w:br w:type="page"/>
      </w:r>
    </w:p>
    <w:p w14:paraId="0D734B1A" w14:textId="77777777" w:rsidR="000E6BF1" w:rsidRDefault="00000000">
      <w:pPr>
        <w:pStyle w:val="Heading1"/>
      </w:pPr>
      <w:r>
        <w:lastRenderedPageBreak/>
        <w:t>Report map</w:t>
      </w:r>
    </w:p>
    <w:tbl>
      <w:tblPr>
        <w:tblW w:w="0" w:type="auto"/>
        <w:jc w:val="center"/>
        <w:tblLayout w:type="fixed"/>
        <w:tblLook w:val="04A0" w:firstRow="1" w:lastRow="0" w:firstColumn="1" w:lastColumn="0" w:noHBand="0" w:noVBand="1"/>
      </w:tblPr>
      <w:tblGrid>
        <w:gridCol w:w="5184"/>
        <w:gridCol w:w="9000"/>
      </w:tblGrid>
      <w:tr w:rsidR="000E6BF1" w14:paraId="6E96C0DC" w14:textId="77777777">
        <w:trPr>
          <w:tblHeader/>
          <w:jc w:val="center"/>
        </w:trPr>
        <w:tc>
          <w:tcPr>
            <w:tcW w:w="518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1B14DD9E" w14:textId="77777777" w:rsidR="000E6BF1" w:rsidRDefault="00000000">
            <w:pPr>
              <w:spacing w:after="0"/>
            </w:pPr>
            <w:r>
              <w:rPr>
                <w:b/>
                <w:color w:val="FFFFFF"/>
                <w:sz w:val="19"/>
              </w:rPr>
              <w:t>Section</w:t>
            </w:r>
          </w:p>
        </w:tc>
        <w:tc>
          <w:tcPr>
            <w:tcW w:w="518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A86C095" w14:textId="77777777" w:rsidR="000E6BF1" w:rsidRDefault="00000000">
            <w:pPr>
              <w:spacing w:after="0"/>
            </w:pPr>
            <w:r>
              <w:rPr>
                <w:b/>
                <w:color w:val="FFFFFF"/>
                <w:sz w:val="19"/>
              </w:rPr>
              <w:t>Purpose</w:t>
            </w:r>
          </w:p>
        </w:tc>
      </w:tr>
      <w:tr w:rsidR="000E6BF1" w14:paraId="6AFD0760" w14:textId="77777777">
        <w:trPr>
          <w:jc w:val="center"/>
        </w:trPr>
        <w:tc>
          <w:tcPr>
            <w:tcW w:w="93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871A29F" w14:textId="77777777" w:rsidR="000E6BF1" w:rsidRDefault="00000000">
            <w:pPr>
              <w:spacing w:after="0"/>
            </w:pPr>
            <w:r>
              <w:rPr>
                <w:sz w:val="19"/>
              </w:rPr>
              <w:t>1</w:t>
            </w:r>
          </w:p>
        </w:tc>
        <w:tc>
          <w:tcPr>
            <w:tcW w:w="900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A787A6A" w14:textId="77777777" w:rsidR="000E6BF1" w:rsidRDefault="00000000">
            <w:pPr>
              <w:spacing w:after="0"/>
            </w:pPr>
            <w:r>
              <w:rPr>
                <w:sz w:val="19"/>
              </w:rPr>
              <w:t>Executive interpretation and scope</w:t>
            </w:r>
          </w:p>
        </w:tc>
      </w:tr>
      <w:tr w:rsidR="000E6BF1" w14:paraId="6CF8C859" w14:textId="77777777">
        <w:trPr>
          <w:jc w:val="center"/>
        </w:trPr>
        <w:tc>
          <w:tcPr>
            <w:tcW w:w="93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810EA09" w14:textId="77777777" w:rsidR="000E6BF1" w:rsidRDefault="00000000">
            <w:pPr>
              <w:spacing w:after="0"/>
            </w:pPr>
            <w:r>
              <w:rPr>
                <w:sz w:val="19"/>
              </w:rPr>
              <w:t>2</w:t>
            </w:r>
          </w:p>
        </w:tc>
        <w:tc>
          <w:tcPr>
            <w:tcW w:w="900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BEF0E00" w14:textId="77777777" w:rsidR="000E6BF1" w:rsidRDefault="00000000">
            <w:pPr>
              <w:spacing w:after="0"/>
            </w:pPr>
            <w:r>
              <w:rPr>
                <w:sz w:val="19"/>
              </w:rPr>
              <w:t>Cellular metabolism primer for non-specialists</w:t>
            </w:r>
          </w:p>
        </w:tc>
      </w:tr>
      <w:tr w:rsidR="000E6BF1" w14:paraId="6A88A7CF" w14:textId="77777777">
        <w:trPr>
          <w:jc w:val="center"/>
        </w:trPr>
        <w:tc>
          <w:tcPr>
            <w:tcW w:w="93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F2B00EF" w14:textId="77777777" w:rsidR="000E6BF1" w:rsidRDefault="00000000">
            <w:pPr>
              <w:spacing w:after="0"/>
            </w:pPr>
            <w:r>
              <w:rPr>
                <w:sz w:val="19"/>
              </w:rPr>
              <w:t>3</w:t>
            </w:r>
          </w:p>
        </w:tc>
        <w:tc>
          <w:tcPr>
            <w:tcW w:w="900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FCF9B61" w14:textId="77777777" w:rsidR="000E6BF1" w:rsidRDefault="00000000">
            <w:pPr>
              <w:spacing w:after="0"/>
            </w:pPr>
            <w:r>
              <w:rPr>
                <w:sz w:val="19"/>
              </w:rPr>
              <w:t>Integrated mechanism: step-by-step cellular sequence</w:t>
            </w:r>
          </w:p>
        </w:tc>
      </w:tr>
      <w:tr w:rsidR="000E6BF1" w14:paraId="289D6A37" w14:textId="77777777">
        <w:trPr>
          <w:jc w:val="center"/>
        </w:trPr>
        <w:tc>
          <w:tcPr>
            <w:tcW w:w="93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79AACA8" w14:textId="77777777" w:rsidR="000E6BF1" w:rsidRDefault="00000000">
            <w:pPr>
              <w:spacing w:after="0"/>
            </w:pPr>
            <w:r>
              <w:rPr>
                <w:sz w:val="19"/>
              </w:rPr>
              <w:t>4</w:t>
            </w:r>
          </w:p>
        </w:tc>
        <w:tc>
          <w:tcPr>
            <w:tcW w:w="900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3DE778F" w14:textId="77777777" w:rsidR="000E6BF1" w:rsidRDefault="00000000">
            <w:pPr>
              <w:spacing w:after="0"/>
            </w:pPr>
            <w:r>
              <w:rPr>
                <w:sz w:val="19"/>
              </w:rPr>
              <w:t>Rank 1 detailed analysis: 33-gene NADPH supply–demand module</w:t>
            </w:r>
          </w:p>
        </w:tc>
      </w:tr>
      <w:tr w:rsidR="000E6BF1" w14:paraId="3A25D70A" w14:textId="77777777">
        <w:trPr>
          <w:jc w:val="center"/>
        </w:trPr>
        <w:tc>
          <w:tcPr>
            <w:tcW w:w="93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A007B79" w14:textId="77777777" w:rsidR="000E6BF1" w:rsidRDefault="00000000">
            <w:pPr>
              <w:spacing w:after="0"/>
            </w:pPr>
            <w:r>
              <w:rPr>
                <w:sz w:val="19"/>
              </w:rPr>
              <w:t>5</w:t>
            </w:r>
          </w:p>
        </w:tc>
        <w:tc>
          <w:tcPr>
            <w:tcW w:w="900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F8DB357" w14:textId="77777777" w:rsidR="000E6BF1" w:rsidRDefault="00000000">
            <w:pPr>
              <w:spacing w:after="0"/>
            </w:pPr>
            <w:r>
              <w:rPr>
                <w:sz w:val="19"/>
              </w:rPr>
              <w:t>Rank 2 detailed analysis: 36-gene PSAP-centered lysosomal module</w:t>
            </w:r>
          </w:p>
        </w:tc>
      </w:tr>
      <w:tr w:rsidR="000E6BF1" w14:paraId="55D4BB4F" w14:textId="77777777">
        <w:trPr>
          <w:jc w:val="center"/>
        </w:trPr>
        <w:tc>
          <w:tcPr>
            <w:tcW w:w="93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8B76A95" w14:textId="77777777" w:rsidR="000E6BF1" w:rsidRDefault="00000000">
            <w:pPr>
              <w:spacing w:after="0"/>
            </w:pPr>
            <w:r>
              <w:rPr>
                <w:sz w:val="19"/>
              </w:rPr>
              <w:t>6</w:t>
            </w:r>
          </w:p>
        </w:tc>
        <w:tc>
          <w:tcPr>
            <w:tcW w:w="900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F80A8B4" w14:textId="77777777" w:rsidR="000E6BF1" w:rsidRDefault="00000000">
            <w:pPr>
              <w:spacing w:after="0"/>
            </w:pPr>
            <w:r>
              <w:rPr>
                <w:sz w:val="19"/>
              </w:rPr>
              <w:t>How the pathway affects neuronal health, injury and regeneration</w:t>
            </w:r>
          </w:p>
        </w:tc>
      </w:tr>
      <w:tr w:rsidR="000E6BF1" w14:paraId="473F2560" w14:textId="77777777">
        <w:trPr>
          <w:jc w:val="center"/>
        </w:trPr>
        <w:tc>
          <w:tcPr>
            <w:tcW w:w="93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D22AF32" w14:textId="77777777" w:rsidR="000E6BF1" w:rsidRDefault="00000000">
            <w:pPr>
              <w:spacing w:after="0"/>
            </w:pPr>
            <w:r>
              <w:rPr>
                <w:sz w:val="19"/>
              </w:rPr>
              <w:t>7</w:t>
            </w:r>
          </w:p>
        </w:tc>
        <w:tc>
          <w:tcPr>
            <w:tcW w:w="900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6A807C7" w14:textId="77777777" w:rsidR="000E6BF1" w:rsidRDefault="00000000">
            <w:pPr>
              <w:spacing w:after="0"/>
            </w:pPr>
            <w:r>
              <w:rPr>
                <w:sz w:val="19"/>
              </w:rPr>
              <w:t>Novelty, importance and defensible MS/EAE gap</w:t>
            </w:r>
          </w:p>
        </w:tc>
      </w:tr>
      <w:tr w:rsidR="000E6BF1" w14:paraId="18DB9F36" w14:textId="77777777">
        <w:trPr>
          <w:jc w:val="center"/>
        </w:trPr>
        <w:tc>
          <w:tcPr>
            <w:tcW w:w="93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C89A3AC" w14:textId="77777777" w:rsidR="000E6BF1" w:rsidRDefault="00000000">
            <w:pPr>
              <w:spacing w:after="0"/>
            </w:pPr>
            <w:r>
              <w:rPr>
                <w:sz w:val="19"/>
              </w:rPr>
              <w:t>8</w:t>
            </w:r>
          </w:p>
        </w:tc>
        <w:tc>
          <w:tcPr>
            <w:tcW w:w="900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758E87C" w14:textId="77777777" w:rsidR="000E6BF1" w:rsidRDefault="00000000">
            <w:pPr>
              <w:spacing w:after="0"/>
            </w:pPr>
            <w:r>
              <w:rPr>
                <w:sz w:val="19"/>
              </w:rPr>
              <w:t>Grant hypothesis, aims and intervention logic</w:t>
            </w:r>
          </w:p>
        </w:tc>
      </w:tr>
      <w:tr w:rsidR="000E6BF1" w14:paraId="483F25F6" w14:textId="77777777">
        <w:trPr>
          <w:jc w:val="center"/>
        </w:trPr>
        <w:tc>
          <w:tcPr>
            <w:tcW w:w="93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C779D01" w14:textId="77777777" w:rsidR="000E6BF1" w:rsidRDefault="00000000">
            <w:pPr>
              <w:spacing w:after="0"/>
            </w:pPr>
            <w:r>
              <w:rPr>
                <w:sz w:val="19"/>
              </w:rPr>
              <w:t>9</w:t>
            </w:r>
          </w:p>
        </w:tc>
        <w:tc>
          <w:tcPr>
            <w:tcW w:w="900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3CF06A7" w14:textId="77777777" w:rsidR="000E6BF1" w:rsidRDefault="00000000">
            <w:pPr>
              <w:spacing w:after="0"/>
            </w:pPr>
            <w:r>
              <w:rPr>
                <w:sz w:val="19"/>
              </w:rPr>
              <w:t>Experiments, metabolic readouts and interpretation rules</w:t>
            </w:r>
          </w:p>
        </w:tc>
      </w:tr>
      <w:tr w:rsidR="000E6BF1" w14:paraId="1832239C" w14:textId="77777777">
        <w:trPr>
          <w:jc w:val="center"/>
        </w:trPr>
        <w:tc>
          <w:tcPr>
            <w:tcW w:w="93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9A01A6C" w14:textId="77777777" w:rsidR="000E6BF1" w:rsidRDefault="00000000">
            <w:pPr>
              <w:spacing w:after="0"/>
            </w:pPr>
            <w:r>
              <w:rPr>
                <w:sz w:val="19"/>
              </w:rPr>
              <w:t>10</w:t>
            </w:r>
          </w:p>
        </w:tc>
        <w:tc>
          <w:tcPr>
            <w:tcW w:w="900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E2262B9" w14:textId="77777777" w:rsidR="000E6BF1" w:rsidRDefault="00000000">
            <w:pPr>
              <w:spacing w:after="0"/>
            </w:pPr>
            <w:r>
              <w:rPr>
                <w:sz w:val="19"/>
              </w:rPr>
              <w:t>Risks, alternative explanations and decision points</w:t>
            </w:r>
          </w:p>
        </w:tc>
      </w:tr>
      <w:tr w:rsidR="000E6BF1" w14:paraId="13AE034A" w14:textId="77777777">
        <w:trPr>
          <w:jc w:val="center"/>
        </w:trPr>
        <w:tc>
          <w:tcPr>
            <w:tcW w:w="93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68CC753" w14:textId="77777777" w:rsidR="000E6BF1" w:rsidRDefault="00000000">
            <w:pPr>
              <w:spacing w:after="0"/>
            </w:pPr>
            <w:r>
              <w:rPr>
                <w:sz w:val="19"/>
              </w:rPr>
              <w:t>11</w:t>
            </w:r>
          </w:p>
        </w:tc>
        <w:tc>
          <w:tcPr>
            <w:tcW w:w="900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1C7A912" w14:textId="77777777" w:rsidR="000E6BF1" w:rsidRDefault="00000000">
            <w:pPr>
              <w:spacing w:after="0"/>
            </w:pPr>
            <w:r>
              <w:rPr>
                <w:sz w:val="19"/>
              </w:rPr>
              <w:t>Peer-reviewed references</w:t>
            </w:r>
          </w:p>
        </w:tc>
      </w:tr>
    </w:tbl>
    <w:p w14:paraId="15C0E927" w14:textId="77777777" w:rsidR="000E6BF1" w:rsidRDefault="000E6BF1"/>
    <w:tbl>
      <w:tblPr>
        <w:tblW w:w="0" w:type="auto"/>
        <w:jc w:val="center"/>
        <w:tblLayout w:type="fixed"/>
        <w:tblLook w:val="04A0" w:firstRow="1" w:lastRow="0" w:firstColumn="1" w:lastColumn="0" w:noHBand="0" w:noVBand="1"/>
      </w:tblPr>
      <w:tblGrid>
        <w:gridCol w:w="10368"/>
      </w:tblGrid>
      <w:tr w:rsidR="000E6BF1" w14:paraId="58D6177C" w14:textId="77777777">
        <w:trPr>
          <w:cantSplit/>
          <w:jc w:val="center"/>
        </w:trPr>
        <w:tc>
          <w:tcPr>
            <w:tcW w:w="10368" w:type="dxa"/>
            <w:tcBorders>
              <w:top w:val="single" w:sz="10" w:space="0" w:color="C47A18"/>
              <w:left w:val="single" w:sz="10" w:space="0" w:color="C47A18"/>
              <w:bottom w:val="single" w:sz="10" w:space="0" w:color="C47A18"/>
              <w:right w:val="single" w:sz="10" w:space="0" w:color="C47A18"/>
            </w:tcBorders>
            <w:shd w:val="clear" w:color="auto" w:fill="FFF4E2"/>
            <w:tcMar>
              <w:top w:w="120" w:type="dxa"/>
              <w:left w:w="140" w:type="dxa"/>
              <w:bottom w:w="120" w:type="dxa"/>
              <w:right w:w="140" w:type="dxa"/>
            </w:tcMar>
          </w:tcPr>
          <w:p w14:paraId="24BD4AA5" w14:textId="77777777" w:rsidR="000E6BF1" w:rsidRDefault="00000000">
            <w:pPr>
              <w:spacing w:after="60"/>
            </w:pPr>
            <w:r>
              <w:rPr>
                <w:b/>
                <w:color w:val="C47A18"/>
              </w:rPr>
              <w:t>How to read gene counts</w:t>
            </w:r>
          </w:p>
          <w:p w14:paraId="0CE56EBE" w14:textId="77777777" w:rsidR="000E6BF1" w:rsidRDefault="00000000">
            <w:pPr>
              <w:spacing w:after="0"/>
            </w:pPr>
            <w:r>
              <w:t>Rank 1 contains 33 pathway assignments and Rank 2 contains 36. PSAP, NPC2 and TSPO occur in both modules; therefore, the two modules contain 69 assignments representing 66 unique genes. Overlap is biologically informative and is not double-counting of evidence.</w:t>
            </w:r>
          </w:p>
        </w:tc>
      </w:tr>
    </w:tbl>
    <w:p w14:paraId="284FCD2F" w14:textId="77777777" w:rsidR="000E6BF1" w:rsidRDefault="000E6BF1">
      <w:pPr>
        <w:spacing w:after="20"/>
      </w:pPr>
    </w:p>
    <w:p w14:paraId="187F5573" w14:textId="77777777" w:rsidR="000E6BF1" w:rsidRDefault="00000000">
      <w:pPr>
        <w:pStyle w:val="Heading1"/>
      </w:pPr>
      <w:r>
        <w:t>1. Executive interpretation and scope</w:t>
      </w:r>
    </w:p>
    <w:p w14:paraId="67FDDA4B" w14:textId="77777777" w:rsidR="000E6BF1" w:rsidRDefault="00000000">
      <w:r>
        <w:t>The starting evidence is a reproducible neuronal response across two anatomical systems: retinal ganglion cells and spinal motor neurons isolated during EAE. This is important because it shifts the question from a single-region observation to a candidate shared neuronal stress program. The available RGC and motor-neuron studies support neuron-focused analysis and provide the experimental foundation for testing shared neuroprotective mechanisms (</w:t>
      </w:r>
      <w:hyperlink r:id="rId8">
        <w:r w:rsidR="000E6BF1">
          <w:rPr>
            <w:color w:val="0563C1"/>
            <w:u w:val="single"/>
          </w:rPr>
          <w:t>Drake et al., Cell Reports, 2025; PMID 39937646</w:t>
        </w:r>
      </w:hyperlink>
      <w:r>
        <w:t>) (</w:t>
      </w:r>
      <w:hyperlink r:id="rId9">
        <w:r w:rsidR="000E6BF1">
          <w:rPr>
            <w:color w:val="0563C1"/>
            <w:u w:val="single"/>
          </w:rPr>
          <w:t>Rosenkranz et al., eLife, 2021; PMID 33565962</w:t>
        </w:r>
      </w:hyperlink>
      <w:r>
        <w:t>).</w:t>
      </w:r>
    </w:p>
    <w:p w14:paraId="10AC4DF5" w14:textId="77777777" w:rsidR="000E6BF1" w:rsidRDefault="00000000">
      <w:r>
        <w:t>The 215-gene common-upregulation signature was not reduced by fold change or FDR for the present pathway interpretation. That decision is appropriate for this stage because the purpose is not to create a smaller biomarker panel; it is to identify coherent biology reproduced across two independent neuronal datasets. However, pathway membership is descriptive and does not by itself establish enrichment significance, causal direction, protein abundance or metabolic flux.</w:t>
      </w:r>
    </w:p>
    <w:p w14:paraId="3D377A42" w14:textId="77777777" w:rsidR="000E6BF1" w:rsidRDefault="00000000">
      <w:r>
        <w:t>The complete signature strengthens two complementary metabolic modules. Rank 1 contains an injury-producing arm—PSMB8-linked glucose diversion, NOX2-associated NADPH consumption, XDH and inflammatory signaling—and a compensatory arm—PGD-dependent reducing-power supply, NMNAT2, iron buffering and organelle-protection genes. Rank 2 is predominantly an attempted lysosomal defense organized around PSAP, GRN, CTSD and NPC2. Its induction is not automatically protective: it could indicate increased successful flux, increased cargo burden, or a failing lysosome attempting to compensate.</w:t>
      </w:r>
    </w:p>
    <w:tbl>
      <w:tblPr>
        <w:tblW w:w="0" w:type="auto"/>
        <w:jc w:val="center"/>
        <w:tblLayout w:type="fixed"/>
        <w:tblLook w:val="04A0" w:firstRow="1" w:lastRow="0" w:firstColumn="1" w:lastColumn="0" w:noHBand="0" w:noVBand="1"/>
      </w:tblPr>
      <w:tblGrid>
        <w:gridCol w:w="10368"/>
      </w:tblGrid>
      <w:tr w:rsidR="000E6BF1" w14:paraId="7AFA82A4" w14:textId="77777777">
        <w:trPr>
          <w:cantSplit/>
          <w:jc w:val="center"/>
        </w:trPr>
        <w:tc>
          <w:tcPr>
            <w:tcW w:w="10368" w:type="dxa"/>
            <w:tcBorders>
              <w:top w:val="single" w:sz="10" w:space="0" w:color="C47A18"/>
              <w:left w:val="single" w:sz="10" w:space="0" w:color="C47A18"/>
              <w:bottom w:val="single" w:sz="10" w:space="0" w:color="C47A18"/>
              <w:right w:val="single" w:sz="10" w:space="0" w:color="C47A18"/>
            </w:tcBorders>
            <w:shd w:val="clear" w:color="auto" w:fill="FFF4E2"/>
            <w:tcMar>
              <w:top w:w="120" w:type="dxa"/>
              <w:left w:w="140" w:type="dxa"/>
              <w:bottom w:w="120" w:type="dxa"/>
              <w:right w:w="140" w:type="dxa"/>
            </w:tcMar>
          </w:tcPr>
          <w:p w14:paraId="145A100B" w14:textId="77777777" w:rsidR="000E6BF1" w:rsidRDefault="00000000">
            <w:pPr>
              <w:spacing w:after="60"/>
            </w:pPr>
            <w:r>
              <w:rPr>
                <w:b/>
                <w:color w:val="C47A18"/>
              </w:rPr>
              <w:t>Interpretive boundary: transcript is not flux</w:t>
            </w:r>
          </w:p>
          <w:p w14:paraId="5E263635" w14:textId="77777777" w:rsidR="000E6BF1" w:rsidRDefault="00000000">
            <w:pPr>
              <w:spacing w:after="0"/>
            </w:pPr>
            <w:r>
              <w:t>An upregulated enzyme transcript may increase capacity, may fail to increase protein, or may be induced precisely because substrate accumulation and organelle stress are already severe. The grant should explicitly measure carbon flux, NADPH, glutathione, enzyme activity, lipid species, lysosomal pH, cholesterol export and labile iron before assigning metabolic success or failure.</w:t>
            </w:r>
          </w:p>
        </w:tc>
      </w:tr>
    </w:tbl>
    <w:p w14:paraId="7772C34A" w14:textId="77777777" w:rsidR="000E6BF1" w:rsidRDefault="000E6BF1">
      <w:pPr>
        <w:spacing w:after="20"/>
      </w:pPr>
    </w:p>
    <w:tbl>
      <w:tblPr>
        <w:tblW w:w="0" w:type="auto"/>
        <w:jc w:val="center"/>
        <w:tblLayout w:type="fixed"/>
        <w:tblLook w:val="04A0" w:firstRow="1" w:lastRow="0" w:firstColumn="1" w:lastColumn="0" w:noHBand="0" w:noVBand="1"/>
      </w:tblPr>
      <w:tblGrid>
        <w:gridCol w:w="2074"/>
        <w:gridCol w:w="2074"/>
        <w:gridCol w:w="2376"/>
        <w:gridCol w:w="3240"/>
        <w:gridCol w:w="2074"/>
      </w:tblGrid>
      <w:tr w:rsidR="000E6BF1" w14:paraId="69441DB9" w14:textId="77777777">
        <w:trPr>
          <w:tblHeader/>
          <w:jc w:val="center"/>
        </w:trPr>
        <w:tc>
          <w:tcPr>
            <w:tcW w:w="207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8BAD583" w14:textId="77777777" w:rsidR="000E6BF1" w:rsidRDefault="00000000">
            <w:pPr>
              <w:spacing w:after="0"/>
            </w:pPr>
            <w:r>
              <w:rPr>
                <w:b/>
                <w:color w:val="FFFFFF"/>
                <w:sz w:val="17"/>
              </w:rPr>
              <w:t>Component</w:t>
            </w:r>
          </w:p>
        </w:tc>
        <w:tc>
          <w:tcPr>
            <w:tcW w:w="207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29DBE29" w14:textId="77777777" w:rsidR="000E6BF1" w:rsidRDefault="00000000">
            <w:pPr>
              <w:spacing w:after="0"/>
            </w:pPr>
            <w:r>
              <w:rPr>
                <w:b/>
                <w:color w:val="FFFFFF"/>
                <w:sz w:val="17"/>
              </w:rPr>
              <w:t>Genes</w:t>
            </w:r>
          </w:p>
        </w:tc>
        <w:tc>
          <w:tcPr>
            <w:tcW w:w="207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7894EDE1" w14:textId="77777777" w:rsidR="000E6BF1" w:rsidRDefault="00000000">
            <w:pPr>
              <w:spacing w:after="0"/>
            </w:pPr>
            <w:r>
              <w:rPr>
                <w:b/>
                <w:color w:val="FFFFFF"/>
                <w:sz w:val="17"/>
              </w:rPr>
              <w:t>Net interpretation</w:t>
            </w:r>
          </w:p>
        </w:tc>
        <w:tc>
          <w:tcPr>
            <w:tcW w:w="207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476B96B" w14:textId="77777777" w:rsidR="000E6BF1" w:rsidRDefault="00000000">
            <w:pPr>
              <w:spacing w:after="0"/>
            </w:pPr>
            <w:r>
              <w:rPr>
                <w:b/>
                <w:color w:val="FFFFFF"/>
                <w:sz w:val="17"/>
              </w:rPr>
              <w:t>Intervention logic</w:t>
            </w:r>
          </w:p>
        </w:tc>
        <w:tc>
          <w:tcPr>
            <w:tcW w:w="207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9B3FED5" w14:textId="77777777" w:rsidR="000E6BF1" w:rsidRDefault="00000000">
            <w:pPr>
              <w:spacing w:after="0"/>
            </w:pPr>
            <w:r>
              <w:rPr>
                <w:b/>
                <w:color w:val="FFFFFF"/>
                <w:sz w:val="17"/>
              </w:rPr>
              <w:t>Grant role</w:t>
            </w:r>
          </w:p>
        </w:tc>
      </w:tr>
      <w:tr w:rsidR="000E6BF1" w14:paraId="71B306DD" w14:textId="77777777">
        <w:trPr>
          <w:jc w:val="center"/>
        </w:trPr>
        <w:tc>
          <w:tcPr>
            <w:tcW w:w="14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5353512" w14:textId="77777777" w:rsidR="000E6BF1" w:rsidRDefault="00000000">
            <w:pPr>
              <w:spacing w:after="0"/>
            </w:pPr>
            <w:r>
              <w:rPr>
                <w:sz w:val="17"/>
              </w:rPr>
              <w:t>Rank 1</w:t>
            </w:r>
          </w:p>
        </w:tc>
        <w:tc>
          <w:tcPr>
            <w:tcW w:w="100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541DED7" w14:textId="77777777" w:rsidR="000E6BF1" w:rsidRDefault="00000000">
            <w:pPr>
              <w:spacing w:after="0"/>
            </w:pPr>
            <w:r>
              <w:rPr>
                <w:sz w:val="17"/>
              </w:rPr>
              <w:t>33</w:t>
            </w:r>
          </w:p>
        </w:tc>
        <w:tc>
          <w:tcPr>
            <w:tcW w:w="237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B0E95C8" w14:textId="77777777" w:rsidR="000E6BF1" w:rsidRDefault="00000000">
            <w:pPr>
              <w:spacing w:after="0"/>
            </w:pPr>
            <w:r>
              <w:rPr>
                <w:sz w:val="17"/>
              </w:rPr>
              <w:t>Mixed; chronic state is injury-leaning</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994CB90" w14:textId="77777777" w:rsidR="000E6BF1" w:rsidRDefault="00000000">
            <w:pPr>
              <w:spacing w:after="0"/>
            </w:pPr>
            <w:r>
              <w:rPr>
                <w:sz w:val="17"/>
              </w:rPr>
              <w:t>Increase PPP/PGD supply; attenuate sustained demand only after activity validation</w:t>
            </w:r>
          </w:p>
        </w:tc>
        <w:tc>
          <w:tcPr>
            <w:tcW w:w="180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C5205BC" w14:textId="77777777" w:rsidR="000E6BF1" w:rsidRDefault="00000000">
            <w:pPr>
              <w:spacing w:after="0"/>
            </w:pPr>
            <w:r>
              <w:rPr>
                <w:sz w:val="17"/>
              </w:rPr>
              <w:t>Mechanistic upstream driver</w:t>
            </w:r>
          </w:p>
        </w:tc>
      </w:tr>
      <w:tr w:rsidR="000E6BF1" w14:paraId="0ADA845F" w14:textId="77777777">
        <w:trPr>
          <w:jc w:val="center"/>
        </w:trPr>
        <w:tc>
          <w:tcPr>
            <w:tcW w:w="14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C1B3901" w14:textId="77777777" w:rsidR="000E6BF1" w:rsidRDefault="00000000">
            <w:pPr>
              <w:spacing w:after="0"/>
            </w:pPr>
            <w:r>
              <w:rPr>
                <w:sz w:val="17"/>
              </w:rPr>
              <w:t>Rank 2</w:t>
            </w:r>
          </w:p>
        </w:tc>
        <w:tc>
          <w:tcPr>
            <w:tcW w:w="100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B66CAC8" w14:textId="77777777" w:rsidR="000E6BF1" w:rsidRDefault="00000000">
            <w:pPr>
              <w:spacing w:after="0"/>
            </w:pPr>
            <w:r>
              <w:rPr>
                <w:sz w:val="17"/>
              </w:rPr>
              <w:t>36</w:t>
            </w:r>
          </w:p>
        </w:tc>
        <w:tc>
          <w:tcPr>
            <w:tcW w:w="237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17E3864" w14:textId="77777777" w:rsidR="000E6BF1" w:rsidRDefault="00000000">
            <w:pPr>
              <w:spacing w:after="0"/>
            </w:pPr>
            <w:r>
              <w:rPr>
                <w:sz w:val="17"/>
              </w:rPr>
              <w:t>Mostly adaptive; may become overwhelmed</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2463716" w14:textId="77777777" w:rsidR="000E6BF1" w:rsidRDefault="00000000">
            <w:pPr>
              <w:spacing w:after="0"/>
            </w:pPr>
            <w:r>
              <w:rPr>
                <w:sz w:val="17"/>
              </w:rPr>
              <w:t>Enhance neuron-specific PSAP; require lysosomal flux readouts</w:t>
            </w:r>
          </w:p>
        </w:tc>
        <w:tc>
          <w:tcPr>
            <w:tcW w:w="180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ABC0A0E" w14:textId="77777777" w:rsidR="000E6BF1" w:rsidRDefault="00000000">
            <w:pPr>
              <w:spacing w:after="0"/>
            </w:pPr>
            <w:r>
              <w:rPr>
                <w:sz w:val="17"/>
              </w:rPr>
              <w:t>Primary therapeutic defense</w:t>
            </w:r>
          </w:p>
        </w:tc>
      </w:tr>
      <w:tr w:rsidR="000E6BF1" w14:paraId="4E634142" w14:textId="77777777">
        <w:trPr>
          <w:jc w:val="center"/>
        </w:trPr>
        <w:tc>
          <w:tcPr>
            <w:tcW w:w="14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C14D659" w14:textId="77777777" w:rsidR="000E6BF1" w:rsidRDefault="00000000">
            <w:pPr>
              <w:spacing w:after="0"/>
            </w:pPr>
            <w:r>
              <w:rPr>
                <w:sz w:val="17"/>
              </w:rPr>
              <w:t>Integrated axis</w:t>
            </w:r>
          </w:p>
        </w:tc>
        <w:tc>
          <w:tcPr>
            <w:tcW w:w="100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6700A1F" w14:textId="77777777" w:rsidR="000E6BF1" w:rsidRDefault="00000000">
            <w:pPr>
              <w:spacing w:after="0"/>
            </w:pPr>
            <w:r>
              <w:rPr>
                <w:sz w:val="17"/>
              </w:rPr>
              <w:t>69 assignments / 66 genes</w:t>
            </w:r>
          </w:p>
        </w:tc>
        <w:tc>
          <w:tcPr>
            <w:tcW w:w="237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3410F6B" w14:textId="77777777" w:rsidR="000E6BF1" w:rsidRDefault="00000000">
            <w:pPr>
              <w:spacing w:after="0"/>
            </w:pPr>
            <w:r>
              <w:rPr>
                <w:sz w:val="17"/>
              </w:rPr>
              <w:t>Failure of supply followed by failure of disposal</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1F952A4" w14:textId="77777777" w:rsidR="000E6BF1" w:rsidRDefault="00000000">
            <w:pPr>
              <w:spacing w:after="0"/>
            </w:pPr>
            <w:r>
              <w:rPr>
                <w:sz w:val="17"/>
              </w:rPr>
              <w:t>PSAP ± PGD; use factorial causality</w:t>
            </w:r>
          </w:p>
        </w:tc>
        <w:tc>
          <w:tcPr>
            <w:tcW w:w="180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4E41E17" w14:textId="77777777" w:rsidR="000E6BF1" w:rsidRDefault="00000000">
            <w:pPr>
              <w:spacing w:after="0"/>
            </w:pPr>
            <w:r>
              <w:rPr>
                <w:sz w:val="17"/>
              </w:rPr>
              <w:t>Highest novelty</w:t>
            </w:r>
          </w:p>
        </w:tc>
      </w:tr>
    </w:tbl>
    <w:p w14:paraId="50CB56D8" w14:textId="77777777" w:rsidR="000E6BF1" w:rsidRDefault="00000000">
      <w:pPr>
        <w:spacing w:after="60"/>
        <w:jc w:val="center"/>
      </w:pPr>
      <w:r>
        <w:rPr>
          <w:noProof/>
        </w:rPr>
        <w:drawing>
          <wp:inline distT="0" distB="0" distL="0" distR="0" wp14:anchorId="4A4C77AB" wp14:editId="7297BF26">
            <wp:extent cx="6492240" cy="33031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ntegrated_mechanism.png"/>
                    <pic:cNvPicPr/>
                  </pic:nvPicPr>
                  <pic:blipFill>
                    <a:blip r:embed="rId10"/>
                    <a:stretch>
                      <a:fillRect/>
                    </a:stretch>
                  </pic:blipFill>
                  <pic:spPr>
                    <a:xfrm>
                      <a:off x="0" y="0"/>
                      <a:ext cx="6492240" cy="3303169"/>
                    </a:xfrm>
                    <a:prstGeom prst="rect">
                      <a:avLst/>
                    </a:prstGeom>
                  </pic:spPr>
                </pic:pic>
              </a:graphicData>
            </a:graphic>
          </wp:inline>
        </w:drawing>
      </w:r>
    </w:p>
    <w:p w14:paraId="23CF7C74" w14:textId="77777777" w:rsidR="000E6BF1" w:rsidRDefault="00000000">
      <w:pPr>
        <w:pStyle w:val="Caption"/>
        <w:spacing w:after="140"/>
      </w:pPr>
      <w:r>
        <w:t>Figure 1. Integrated model. Red-labeled signature nodes connect inflammatory glucose/oxidant pressure to NADPH insufficiency, lipid peroxidation, lysosomal lipid burden and a PSAP-centered adaptive response. Canonical gray pathway nodes are included for biochemical completeness and are not claimed as differentially expressed.</w:t>
      </w:r>
    </w:p>
    <w:p w14:paraId="69E63BC4" w14:textId="77777777" w:rsidR="000E6BF1" w:rsidRDefault="00000000">
      <w:pPr>
        <w:pStyle w:val="Heading1"/>
      </w:pPr>
      <w:r>
        <w:t>2. Cellular metabolism primer for non-specialists</w:t>
      </w:r>
    </w:p>
    <w:p w14:paraId="408FAEF0" w14:textId="77777777" w:rsidR="000E6BF1" w:rsidRDefault="00000000">
      <w:pPr>
        <w:pStyle w:val="Heading2"/>
      </w:pPr>
      <w:r>
        <w:t>2.1 NADPH is reducing power, not simply cellular energy</w:t>
      </w:r>
    </w:p>
    <w:p w14:paraId="6336F3C5" w14:textId="77777777" w:rsidR="000E6BF1" w:rsidRDefault="00000000">
      <w:r>
        <w:t>NADPH and NADH are related but are used differently. NADH primarily transfers electrons to mitochondrial respiration for ATP production. NADPH is preferentially used for antioxidant recycling and biosynthesis. In the present model, the key question is whether the neuron has enough NADPH to recycle oxidized glutathione and thioredoxin while simultaneously supporting NADPH-consuming reactions.</w:t>
      </w:r>
    </w:p>
    <w:tbl>
      <w:tblPr>
        <w:tblW w:w="0" w:type="auto"/>
        <w:jc w:val="center"/>
        <w:tblLayout w:type="fixed"/>
        <w:tblLook w:val="04A0" w:firstRow="1" w:lastRow="0" w:firstColumn="1" w:lastColumn="0" w:noHBand="0" w:noVBand="1"/>
      </w:tblPr>
      <w:tblGrid>
        <w:gridCol w:w="10368"/>
      </w:tblGrid>
      <w:tr w:rsidR="000E6BF1" w14:paraId="12E652A1" w14:textId="77777777">
        <w:trPr>
          <w:cantSplit/>
          <w:jc w:val="center"/>
        </w:trPr>
        <w:tc>
          <w:tcPr>
            <w:tcW w:w="10368" w:type="dxa"/>
            <w:tcBorders>
              <w:top w:val="single" w:sz="10" w:space="0" w:color="2F6B9A"/>
              <w:left w:val="single" w:sz="10" w:space="0" w:color="2F6B9A"/>
              <w:bottom w:val="single" w:sz="10" w:space="0" w:color="2F6B9A"/>
              <w:right w:val="single" w:sz="10" w:space="0" w:color="2F6B9A"/>
            </w:tcBorders>
            <w:shd w:val="clear" w:color="auto" w:fill="EAF2F8"/>
            <w:tcMar>
              <w:top w:w="120" w:type="dxa"/>
              <w:left w:w="140" w:type="dxa"/>
              <w:bottom w:w="120" w:type="dxa"/>
              <w:right w:w="140" w:type="dxa"/>
            </w:tcMar>
          </w:tcPr>
          <w:p w14:paraId="4E32AA73" w14:textId="77777777" w:rsidR="000E6BF1" w:rsidRDefault="00000000">
            <w:pPr>
              <w:spacing w:after="60"/>
            </w:pPr>
            <w:r>
              <w:rPr>
                <w:b/>
                <w:color w:val="2F6B9A"/>
              </w:rPr>
              <w:t>A simple analogy</w:t>
            </w:r>
          </w:p>
          <w:p w14:paraId="08C1EE79" w14:textId="77777777" w:rsidR="000E6BF1" w:rsidRDefault="00000000">
            <w:pPr>
              <w:spacing w:after="0"/>
            </w:pPr>
            <w:r>
              <w:t>ATP is the cell’s spendable energy currency. NADPH is its reducing-power reserve. A neuron can have enough ATP for a short period yet still be unable to repair oxidized membrane lipids if its NADPH reserve is inadequate.</w:t>
            </w:r>
          </w:p>
        </w:tc>
      </w:tr>
    </w:tbl>
    <w:p w14:paraId="28FCA695" w14:textId="77777777" w:rsidR="000E6BF1" w:rsidRDefault="000E6BF1">
      <w:pPr>
        <w:spacing w:after="20"/>
      </w:pPr>
    </w:p>
    <w:p w14:paraId="7F8F6F87" w14:textId="77777777" w:rsidR="000E6BF1" w:rsidRDefault="00000000">
      <w:pPr>
        <w:pStyle w:val="Heading2"/>
      </w:pPr>
      <w:r>
        <w:t>2.2 Glucose has a branch point: glycolysis versus the oxidative PPP</w:t>
      </w:r>
    </w:p>
    <w:p w14:paraId="3CB6803C" w14:textId="77777777" w:rsidR="000E6BF1" w:rsidRDefault="00000000">
      <w:r>
        <w:t xml:space="preserve">After entry into the neuron, hexokinase converts glucose to glucose-6-phosphate (G6P). G6P can enter glycolysis, which produces pyruvate/lactate and ATP, or the oxidative pentose phosphate pathway (PPP), which produces NADPH. In the oxidative PPP, G6PD generates the first NADPH; 6-phosphogluconolactonase </w:t>
      </w:r>
      <w:r>
        <w:lastRenderedPageBreak/>
        <w:t>produces 6-phosphogluconate; and PGD converts 6-phosphogluconate to ribulose-5-phosphate while generating a second NADPH. Non-oxidative PPP reactions can return carbon to glycolytic intermediates.</w:t>
      </w:r>
    </w:p>
    <w:p w14:paraId="406250BE" w14:textId="77777777" w:rsidR="000E6BF1" w:rsidRDefault="00000000">
      <w:r>
        <w:t>Neurons normally restrict persistent PFKFB3 activity. PFKFB3 increases fructose-2,6-bisphosphate, activates PFK1 and pulls glucose toward glycolysis. Neuronal PFKFB3 stabilization can therefore reduce the fraction of glucose available for antioxidant PPP metabolism (</w:t>
      </w:r>
      <w:hyperlink r:id="rId11">
        <w:r w:rsidR="000E6BF1">
          <w:rPr>
            <w:color w:val="0563C1"/>
            <w:u w:val="single"/>
          </w:rPr>
          <w:t>Herrero-Mendez et al., Nature Cell Biology, 2009; PMID 19448625</w:t>
        </w:r>
      </w:hyperlink>
      <w:r>
        <w:t>) (</w:t>
      </w:r>
      <w:hyperlink r:id="rId12">
        <w:r w:rsidR="000E6BF1">
          <w:rPr>
            <w:color w:val="0563C1"/>
            <w:u w:val="single"/>
          </w:rPr>
          <w:t>Rodríguez-Rodríguez et al., Cell Death &amp; Differentiation, 2012; PMID 22421967</w:t>
        </w:r>
      </w:hyperlink>
      <w:r>
        <w:t>). In MS/EAE, neuronal PSMB8 has now been linked directly to PFKFB3 stabilization, glycolytic reprogramming and ferroptotic vulnerability (</w:t>
      </w:r>
      <w:hyperlink r:id="rId13">
        <w:r w:rsidR="000E6BF1">
          <w:rPr>
            <w:color w:val="0563C1"/>
            <w:u w:val="single"/>
          </w:rPr>
          <w:t>Woo et al., Cell, 2025; PMID 40532699</w:t>
        </w:r>
      </w:hyperlink>
      <w:r>
        <w:t>). This makes the PSMB8–PFKFB3 node an established upstream anchor, not the main new claim.</w:t>
      </w:r>
    </w:p>
    <w:p w14:paraId="16C065CA" w14:textId="77777777" w:rsidR="000E6BF1" w:rsidRDefault="00000000">
      <w:pPr>
        <w:pStyle w:val="Heading2"/>
      </w:pPr>
      <w:r>
        <w:t>2.3 Why PGD matters in this signature</w:t>
      </w:r>
    </w:p>
    <w:p w14:paraId="6E0DA4E9" w14:textId="77777777" w:rsidR="000E6BF1" w:rsidRDefault="00000000">
      <w:r>
        <w:t>PGD is a direct NADPH-producing enzyme. Its upregulation is most plausibly an attempted compensatory response to oxidative demand. The crucial unanswered question is whether PGD transcript induction actually increases oxidative PPP flux enough to offset glucose diversion and NADPH consumption. Neuron-specific loss of PPP enzymes, including Pgd, reduces NADPH and increases oxidative stress in vivo in Drosophila, supporting the biochemical direction but not yet proving the EAE mechanism (</w:t>
      </w:r>
      <w:hyperlink r:id="rId14">
        <w:r w:rsidR="000E6BF1">
          <w:rPr>
            <w:color w:val="0563C1"/>
            <w:u w:val="single"/>
          </w:rPr>
          <w:t>Müller et al., Journal of Physiology, 2026; PMID 41832615</w:t>
        </w:r>
      </w:hyperlink>
      <w:r>
        <w:t>). The grant opportunity is therefore “compensation is induced but insufficient,” not simply “PGD is increased.”</w:t>
      </w:r>
    </w:p>
    <w:p w14:paraId="1C7C7722" w14:textId="77777777" w:rsidR="000E6BF1" w:rsidRDefault="00000000">
      <w:pPr>
        <w:pStyle w:val="Heading2"/>
      </w:pPr>
      <w:r>
        <w:t>2.4 NOX2 converts NADPH into an oxidant signal</w:t>
      </w:r>
    </w:p>
    <w:p w14:paraId="6DF309D2" w14:textId="77777777" w:rsidR="000E6BF1" w:rsidRDefault="00000000">
      <w:r>
        <w:t>The NOX2 complex transfers electrons from NADPH to molecular oxygen, producing superoxide that can be converted to hydrogen peroxide. CYBB is the catalytic membrane subunit; NCF1 and NCF2 organize and activate the complex; RAC proteins, PREX1, VAV1, PIK3CG, PLCB2, PRKCD and FGR can support activation and assembly. Thus, a coordinated increase in these transcripts predicts increased capacity for NADPH consumption and ROS generation, but actual neuronal NOX2 activity must be demonstrated. NOX-family expression and oxidative injury are well documented in active MS lesions, although much of the existing MS/EAE literature is multicellular rather than neuron-autonomous (</w:t>
      </w:r>
      <w:hyperlink r:id="rId15">
        <w:r w:rsidR="000E6BF1">
          <w:rPr>
            <w:color w:val="0563C1"/>
            <w:u w:val="single"/>
          </w:rPr>
          <w:t>Fischer et al., Brain, 2012; PMID 22366799</w:t>
        </w:r>
      </w:hyperlink>
      <w:r>
        <w:t>).</w:t>
      </w:r>
    </w:p>
    <w:p w14:paraId="1FCCBF84" w14:textId="77777777" w:rsidR="000E6BF1" w:rsidRDefault="00000000">
      <w:r>
        <w:t>ROS are not uniformly harmful. Short-lived, spatially restricted ROS signals can guide growth cones and support regeneration, whereas sustained or diffuse ROS oxidize proteins, DNA and membrane phospholipids. Neuronal NOX2 participates in growth-cone guidance and neurite regeneration in non-MS systems (</w:t>
      </w:r>
      <w:hyperlink r:id="rId16">
        <w:r w:rsidR="000E6BF1">
          <w:rPr>
            <w:color w:val="0563C1"/>
            <w:u w:val="single"/>
          </w:rPr>
          <w:t>Terzi et al., Developmental Neurobiology, 2021; PMID 33191581</w:t>
        </w:r>
      </w:hyperlink>
      <w:r>
        <w:t>) (</w:t>
      </w:r>
      <w:hyperlink r:id="rId17">
        <w:r w:rsidR="000E6BF1">
          <w:rPr>
            <w:color w:val="0563C1"/>
            <w:u w:val="single"/>
          </w:rPr>
          <w:t>Alam et al., Journal of Neurochemistry, 2023; PMID 37818836</w:t>
        </w:r>
      </w:hyperlink>
      <w:r>
        <w:t>). Therefore, the proposal should not promise complete NOX2 blockade. A better design is partial, late and neuron-restricted attenuation after demonstrating sustained pathological activity.</w:t>
      </w:r>
    </w:p>
    <w:p w14:paraId="0CDBF91B" w14:textId="77777777" w:rsidR="000E6BF1" w:rsidRDefault="00000000">
      <w:pPr>
        <w:pStyle w:val="Heading2"/>
      </w:pPr>
      <w:r>
        <w:t>2.5 NADPH supports glutathione recycling; GPX4 repairs lipid hydroperoxides</w:t>
      </w:r>
    </w:p>
    <w:p w14:paraId="6DF04597" w14:textId="77777777" w:rsidR="000E6BF1" w:rsidRDefault="00000000">
      <w:r>
        <w:t>Glutathione reductase uses NADPH to convert oxidized glutathione (GSSG) back to reduced glutathione (GSH). GPX4 then uses GSH to reduce phospholipid hydroperoxides to less reactive lipid alcohols. NADPH is therefore upstream of GPX4 function through glutathione recycling; it is not a direct GPX4 substrate. Loss of GPX4 activity or GSH availability allows oxidized phospholipids to propagate a radical chain reaction (</w:t>
      </w:r>
      <w:hyperlink r:id="rId18">
        <w:r w:rsidR="000E6BF1">
          <w:rPr>
            <w:color w:val="0563C1"/>
            <w:u w:val="single"/>
          </w:rPr>
          <w:t>Yang et al., Cell, 2014; PMID 24439385</w:t>
        </w:r>
      </w:hyperlink>
      <w:r>
        <w:t>). Reduced GPX4-related defense and lipid peroxidation have been reported in MS/EAE (</w:t>
      </w:r>
      <w:hyperlink r:id="rId19">
        <w:r w:rsidR="000E6BF1">
          <w:rPr>
            <w:color w:val="0563C1"/>
            <w:u w:val="single"/>
          </w:rPr>
          <w:t>Hu et al., Journal of Neurochemistry, 2019; PMID 30289974</w:t>
        </w:r>
      </w:hyperlink>
      <w:r>
        <w:t>).</w:t>
      </w:r>
    </w:p>
    <w:p w14:paraId="35AAA851" w14:textId="77777777" w:rsidR="000E6BF1" w:rsidRDefault="00000000">
      <w:pPr>
        <w:pStyle w:val="Heading2"/>
      </w:pPr>
      <w:r>
        <w:t>2.6 Iron and polyunsaturated membrane lipids create the ferroptosis risk</w:t>
      </w:r>
    </w:p>
    <w:p w14:paraId="6F080C01" w14:textId="77777777" w:rsidR="000E6BF1" w:rsidRDefault="00000000">
      <w:r>
        <w:t>Polyunsaturated fatty acids embedded in phospholipids are particularly vulnerable to oxidation. Redox-active ferrous iron accelerates radical chemistry, converting an initially limited peroxide signal into membrane-wide lipid damage. Ferroptosis is defined by iron-dependent, lipid-peroxidation-driven regulated cell death and is mechanistically distinct from apoptosis (</w:t>
      </w:r>
      <w:hyperlink r:id="rId20">
        <w:r w:rsidR="000E6BF1">
          <w:rPr>
            <w:color w:val="0563C1"/>
            <w:u w:val="single"/>
          </w:rPr>
          <w:t>Dixon et al., Cell, 2012; PMID 22632970</w:t>
        </w:r>
      </w:hyperlink>
      <w:r>
        <w:t>). MS lesions and chronic EAE show iron dysregulation, reduced antioxidant defense and oxidized phospholipids; ferroptosis-directed interventions improve experimental disease in multiple studies (</w:t>
      </w:r>
      <w:hyperlink r:id="rId21">
        <w:r w:rsidR="000E6BF1">
          <w:rPr>
            <w:color w:val="0563C1"/>
            <w:u w:val="single"/>
          </w:rPr>
          <w:t>Van San et al., Cell Death &amp; Differentiation, 2023; PMID 37542104</w:t>
        </w:r>
      </w:hyperlink>
      <w:r>
        <w:t>) (</w:t>
      </w:r>
      <w:hyperlink r:id="rId22">
        <w:r w:rsidR="000E6BF1">
          <w:rPr>
            <w:color w:val="0563C1"/>
            <w:u w:val="single"/>
          </w:rPr>
          <w:t>Jhelum et al., Acta Neuropathologica Communications, 2023; PMID 37491291</w:t>
        </w:r>
      </w:hyperlink>
      <w:r>
        <w:t xml:space="preserve">). Direct neuronal ferroptosis in EAE has also been reported, which means that “neuronal ferroptosis occurs in EAE” </w:t>
      </w:r>
      <w:r>
        <w:lastRenderedPageBreak/>
        <w:t>should no longer be presented as the central novelty (</w:t>
      </w:r>
      <w:hyperlink r:id="rId23">
        <w:r w:rsidR="000E6BF1">
          <w:rPr>
            <w:color w:val="0563C1"/>
            <w:u w:val="single"/>
          </w:rPr>
          <w:t>Qin et al., International Immunopharmacology, 2026; PMID 41702081</w:t>
        </w:r>
      </w:hyperlink>
      <w:r>
        <w:t>).</w:t>
      </w:r>
    </w:p>
    <w:p w14:paraId="22C187BD" w14:textId="77777777" w:rsidR="000E6BF1" w:rsidRDefault="00000000">
      <w:pPr>
        <w:pStyle w:val="Heading2"/>
      </w:pPr>
      <w:r>
        <w:t>2.7 The lysosome is both a recycling center and a ferroptosis-control organelle</w:t>
      </w:r>
    </w:p>
    <w:p w14:paraId="75811D6C" w14:textId="77777777" w:rsidR="000E6BF1" w:rsidRDefault="00000000">
      <w:r>
        <w:t>Endocytosis brings extracellular membrane and lipoprotein cargo into the endosomal system. Autophagy delivers damaged intracellular membranes and organelles. Both streams converge on acidic lysosomes, where hydrolases and lipid-binding cofactors dismantle cargo. Lysosomal failure is dangerous in neurons because lipids, lipofuscin and iron can accumulate for long periods in post-mitotic cells. Genome-wide functional screening in human neurons identified PSAP loss as a strong, neuron-selective sensitizer to chronic oxidative stress: PSAP deficiency produced glycosphingolipid abnormalities, lipofuscin, trapped iron, ROS, lipid peroxidation and ferroptosis (</w:t>
      </w:r>
      <w:hyperlink r:id="rId24">
        <w:r w:rsidR="000E6BF1">
          <w:rPr>
            <w:color w:val="0563C1"/>
            <w:u w:val="single"/>
          </w:rPr>
          <w:t>Tian et al., Nature Neuroscience, 2021; PMID 34031600</w:t>
        </w:r>
      </w:hyperlink>
      <w:r>
        <w:t>).</w:t>
      </w:r>
    </w:p>
    <w:p w14:paraId="7552A82D" w14:textId="77777777" w:rsidR="000E6BF1" w:rsidRDefault="00000000">
      <w:pPr>
        <w:pStyle w:val="Heading2"/>
      </w:pPr>
      <w:r>
        <w:t>2.8 PSAP, GRN, CTSD and NPC2 perform different but complementary tasks</w:t>
      </w:r>
    </w:p>
    <w:tbl>
      <w:tblPr>
        <w:tblW w:w="11435" w:type="dxa"/>
        <w:jc w:val="center"/>
        <w:tblLayout w:type="fixed"/>
        <w:tblLook w:val="04A0" w:firstRow="1" w:lastRow="0" w:firstColumn="1" w:lastColumn="0" w:noHBand="0" w:noVBand="1"/>
      </w:tblPr>
      <w:tblGrid>
        <w:gridCol w:w="1734"/>
        <w:gridCol w:w="2442"/>
        <w:gridCol w:w="4817"/>
        <w:gridCol w:w="2442"/>
      </w:tblGrid>
      <w:tr w:rsidR="000E6BF1" w14:paraId="26A8A6D4" w14:textId="77777777" w:rsidTr="0076469B">
        <w:trPr>
          <w:trHeight w:val="224"/>
          <w:tblHeader/>
          <w:jc w:val="center"/>
        </w:trPr>
        <w:tc>
          <w:tcPr>
            <w:tcW w:w="173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7F0AAE92" w14:textId="77777777" w:rsidR="000E6BF1" w:rsidRDefault="00000000">
            <w:pPr>
              <w:spacing w:after="0"/>
            </w:pPr>
            <w:r>
              <w:rPr>
                <w:b/>
                <w:color w:val="FFFFFF"/>
                <w:sz w:val="17"/>
              </w:rPr>
              <w:t>Gene</w:t>
            </w:r>
          </w:p>
        </w:tc>
        <w:tc>
          <w:tcPr>
            <w:tcW w:w="244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7D80A5A" w14:textId="77777777" w:rsidR="000E6BF1" w:rsidRDefault="00000000">
            <w:pPr>
              <w:spacing w:after="0"/>
            </w:pPr>
            <w:r>
              <w:rPr>
                <w:b/>
                <w:color w:val="FFFFFF"/>
                <w:sz w:val="17"/>
              </w:rPr>
              <w:t>Primary role</w:t>
            </w:r>
          </w:p>
        </w:tc>
        <w:tc>
          <w:tcPr>
            <w:tcW w:w="4817"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16120D84" w14:textId="77777777" w:rsidR="000E6BF1" w:rsidRDefault="00000000">
            <w:pPr>
              <w:spacing w:after="0"/>
            </w:pPr>
            <w:r>
              <w:rPr>
                <w:b/>
                <w:color w:val="FFFFFF"/>
                <w:sz w:val="17"/>
              </w:rPr>
              <w:t>Cellular meaning</w:t>
            </w:r>
          </w:p>
        </w:tc>
        <w:tc>
          <w:tcPr>
            <w:tcW w:w="244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4D9D4D3B" w14:textId="77777777" w:rsidR="000E6BF1" w:rsidRDefault="00000000">
            <w:pPr>
              <w:spacing w:after="0"/>
            </w:pPr>
            <w:r>
              <w:rPr>
                <w:b/>
                <w:color w:val="FFFFFF"/>
                <w:sz w:val="17"/>
              </w:rPr>
              <w:t>Grant interpretation</w:t>
            </w:r>
          </w:p>
        </w:tc>
      </w:tr>
      <w:tr w:rsidR="000E6BF1" w14:paraId="03C0FA1E" w14:textId="77777777" w:rsidTr="0076469B">
        <w:trPr>
          <w:trHeight w:val="438"/>
          <w:jc w:val="center"/>
        </w:trPr>
        <w:tc>
          <w:tcPr>
            <w:tcW w:w="173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F14D70D" w14:textId="77777777" w:rsidR="000E6BF1" w:rsidRDefault="00000000">
            <w:pPr>
              <w:spacing w:after="0"/>
            </w:pPr>
            <w:r>
              <w:rPr>
                <w:sz w:val="17"/>
              </w:rPr>
              <w:t>PSAP</w:t>
            </w:r>
          </w:p>
        </w:tc>
        <w:tc>
          <w:tcPr>
            <w:tcW w:w="244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D8AE4DD" w14:textId="77777777" w:rsidR="000E6BF1" w:rsidRDefault="00000000">
            <w:pPr>
              <w:spacing w:after="0"/>
            </w:pPr>
            <w:r>
              <w:rPr>
                <w:sz w:val="17"/>
              </w:rPr>
              <w:t>Precursor of saposins A–D</w:t>
            </w:r>
          </w:p>
        </w:tc>
        <w:tc>
          <w:tcPr>
            <w:tcW w:w="481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47AD5A3" w14:textId="77777777" w:rsidR="000E6BF1" w:rsidRDefault="00000000">
            <w:pPr>
              <w:spacing w:after="0"/>
            </w:pPr>
            <w:r>
              <w:rPr>
                <w:sz w:val="17"/>
              </w:rPr>
              <w:t>Saposins bind/present glycosphingolipids to lysosomal hydrolases. They are cofactors, not the hydrolases themselves.</w:t>
            </w:r>
          </w:p>
        </w:tc>
        <w:tc>
          <w:tcPr>
            <w:tcW w:w="244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762C8DF" w14:textId="77777777" w:rsidR="000E6BF1" w:rsidRDefault="00000000">
            <w:pPr>
              <w:spacing w:after="0"/>
            </w:pPr>
            <w:r>
              <w:rPr>
                <w:sz w:val="17"/>
              </w:rPr>
              <w:t>Core defense target</w:t>
            </w:r>
          </w:p>
        </w:tc>
      </w:tr>
      <w:tr w:rsidR="000E6BF1" w14:paraId="69CA7522" w14:textId="77777777" w:rsidTr="0076469B">
        <w:trPr>
          <w:trHeight w:val="674"/>
          <w:jc w:val="center"/>
        </w:trPr>
        <w:tc>
          <w:tcPr>
            <w:tcW w:w="173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D4801FB" w14:textId="77777777" w:rsidR="000E6BF1" w:rsidRDefault="00000000">
            <w:pPr>
              <w:spacing w:after="0"/>
            </w:pPr>
            <w:r>
              <w:rPr>
                <w:sz w:val="17"/>
              </w:rPr>
              <w:t>CTSD</w:t>
            </w:r>
          </w:p>
        </w:tc>
        <w:tc>
          <w:tcPr>
            <w:tcW w:w="244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E80ACAF" w14:textId="77777777" w:rsidR="000E6BF1" w:rsidRDefault="00000000">
            <w:pPr>
              <w:spacing w:after="0"/>
            </w:pPr>
            <w:r>
              <w:rPr>
                <w:sz w:val="17"/>
              </w:rPr>
              <w:t>Lysosomal aspartyl protease</w:t>
            </w:r>
          </w:p>
        </w:tc>
        <w:tc>
          <w:tcPr>
            <w:tcW w:w="4817"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96D9FBF" w14:textId="77777777" w:rsidR="000E6BF1" w:rsidRDefault="00000000">
            <w:pPr>
              <w:spacing w:after="0"/>
            </w:pPr>
            <w:r>
              <w:rPr>
                <w:sz w:val="17"/>
              </w:rPr>
              <w:t>Supports luminal protein turnover and contributes to PSAP processing into saposins. Controlled lysosomal activity is adaptive; leakage is injurious.</w:t>
            </w:r>
          </w:p>
        </w:tc>
        <w:tc>
          <w:tcPr>
            <w:tcW w:w="244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D964B0F" w14:textId="77777777" w:rsidR="000E6BF1" w:rsidRDefault="00000000">
            <w:pPr>
              <w:spacing w:after="0"/>
            </w:pPr>
            <w:r>
              <w:rPr>
                <w:sz w:val="17"/>
              </w:rPr>
              <w:t>Required competence/epistasis node</w:t>
            </w:r>
          </w:p>
        </w:tc>
      </w:tr>
      <w:tr w:rsidR="000E6BF1" w14:paraId="149F885E" w14:textId="77777777" w:rsidTr="0076469B">
        <w:trPr>
          <w:trHeight w:val="438"/>
          <w:jc w:val="center"/>
        </w:trPr>
        <w:tc>
          <w:tcPr>
            <w:tcW w:w="173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6FC8EC4" w14:textId="77777777" w:rsidR="000E6BF1" w:rsidRDefault="00000000">
            <w:pPr>
              <w:spacing w:after="0"/>
            </w:pPr>
            <w:r>
              <w:rPr>
                <w:sz w:val="17"/>
              </w:rPr>
              <w:t>GRN</w:t>
            </w:r>
          </w:p>
        </w:tc>
        <w:tc>
          <w:tcPr>
            <w:tcW w:w="244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1FDC0E1" w14:textId="77777777" w:rsidR="000E6BF1" w:rsidRDefault="00000000">
            <w:pPr>
              <w:spacing w:after="0"/>
            </w:pPr>
            <w:r>
              <w:rPr>
                <w:sz w:val="17"/>
              </w:rPr>
              <w:t>Lysosomal trafficking and homeostasis factor</w:t>
            </w:r>
          </w:p>
        </w:tc>
        <w:tc>
          <w:tcPr>
            <w:tcW w:w="481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EDD631D" w14:textId="77777777" w:rsidR="000E6BF1" w:rsidRDefault="00000000">
            <w:pPr>
              <w:spacing w:after="0"/>
            </w:pPr>
            <w:r>
              <w:rPr>
                <w:sz w:val="17"/>
              </w:rPr>
              <w:t>PSAP and progranulin support each other’s lysosomal delivery. GRN loss perturbs lysosomal lipid/protein homeostasis.</w:t>
            </w:r>
          </w:p>
        </w:tc>
        <w:tc>
          <w:tcPr>
            <w:tcW w:w="244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E300E3F" w14:textId="77777777" w:rsidR="000E6BF1" w:rsidRDefault="00000000">
            <w:pPr>
              <w:spacing w:after="0"/>
            </w:pPr>
            <w:r>
              <w:rPr>
                <w:sz w:val="17"/>
              </w:rPr>
              <w:t>Important modifier; avoid systemic interpretation</w:t>
            </w:r>
          </w:p>
        </w:tc>
      </w:tr>
      <w:tr w:rsidR="000E6BF1" w14:paraId="13AD5AB6" w14:textId="77777777" w:rsidTr="0076469B">
        <w:trPr>
          <w:trHeight w:val="438"/>
          <w:jc w:val="center"/>
        </w:trPr>
        <w:tc>
          <w:tcPr>
            <w:tcW w:w="173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73F2CD4" w14:textId="77777777" w:rsidR="000E6BF1" w:rsidRDefault="00000000">
            <w:pPr>
              <w:spacing w:after="0"/>
            </w:pPr>
            <w:r>
              <w:rPr>
                <w:sz w:val="17"/>
              </w:rPr>
              <w:t>NPC2</w:t>
            </w:r>
          </w:p>
        </w:tc>
        <w:tc>
          <w:tcPr>
            <w:tcW w:w="244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DA7A112" w14:textId="77777777" w:rsidR="000E6BF1" w:rsidRDefault="00000000">
            <w:pPr>
              <w:spacing w:after="0"/>
            </w:pPr>
            <w:r>
              <w:rPr>
                <w:sz w:val="17"/>
              </w:rPr>
              <w:t>Soluble luminal cholesterol carrier</w:t>
            </w:r>
          </w:p>
        </w:tc>
        <w:tc>
          <w:tcPr>
            <w:tcW w:w="4817"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2DB2A80" w14:textId="77777777" w:rsidR="000E6BF1" w:rsidRDefault="00000000">
            <w:pPr>
              <w:spacing w:after="0"/>
            </w:pPr>
            <w:r>
              <w:rPr>
                <w:sz w:val="17"/>
              </w:rPr>
              <w:t>Binds unesterified cholesterol and transfers it to NPC1 for export from the lysosomal lumen.</w:t>
            </w:r>
          </w:p>
        </w:tc>
        <w:tc>
          <w:tcPr>
            <w:tcW w:w="244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CFA26C0" w14:textId="77777777" w:rsidR="000E6BF1" w:rsidRDefault="00000000">
            <w:pPr>
              <w:spacing w:after="0"/>
            </w:pPr>
            <w:r>
              <w:rPr>
                <w:sz w:val="17"/>
              </w:rPr>
              <w:t>Cholesterol-export readout/epistasis node</w:t>
            </w:r>
          </w:p>
        </w:tc>
      </w:tr>
      <w:tr w:rsidR="000E6BF1" w14:paraId="73429786" w14:textId="77777777" w:rsidTr="0076469B">
        <w:trPr>
          <w:trHeight w:val="438"/>
          <w:jc w:val="center"/>
        </w:trPr>
        <w:tc>
          <w:tcPr>
            <w:tcW w:w="173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C7DC31E" w14:textId="77777777" w:rsidR="000E6BF1" w:rsidRDefault="00000000">
            <w:pPr>
              <w:spacing w:after="0"/>
            </w:pPr>
            <w:r>
              <w:rPr>
                <w:sz w:val="17"/>
              </w:rPr>
              <w:t>PLD4</w:t>
            </w:r>
          </w:p>
        </w:tc>
        <w:tc>
          <w:tcPr>
            <w:tcW w:w="244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FB34F47" w14:textId="77777777" w:rsidR="000E6BF1" w:rsidRDefault="00000000">
            <w:pPr>
              <w:spacing w:after="0"/>
            </w:pPr>
            <w:r>
              <w:rPr>
                <w:sz w:val="17"/>
              </w:rPr>
              <w:t>S,S-BMP synthesis and acid exonuclease</w:t>
            </w:r>
          </w:p>
        </w:tc>
        <w:tc>
          <w:tcPr>
            <w:tcW w:w="481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CF560E3" w14:textId="77777777" w:rsidR="000E6BF1" w:rsidRDefault="00000000">
            <w:pPr>
              <w:spacing w:after="0"/>
            </w:pPr>
            <w:r>
              <w:rPr>
                <w:sz w:val="17"/>
              </w:rPr>
              <w:t>S,S-BMP is a lysosomal phospholipid that supports lipid degradation; neuronal importance remains untested.</w:t>
            </w:r>
          </w:p>
        </w:tc>
        <w:tc>
          <w:tcPr>
            <w:tcW w:w="244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C92B551" w14:textId="77777777" w:rsidR="000E6BF1" w:rsidRDefault="00000000">
            <w:pPr>
              <w:spacing w:after="0"/>
            </w:pPr>
            <w:r>
              <w:rPr>
                <w:sz w:val="17"/>
              </w:rPr>
              <w:t>New supportive metabolic node</w:t>
            </w:r>
          </w:p>
        </w:tc>
      </w:tr>
      <w:tr w:rsidR="000E6BF1" w14:paraId="78DF3B87" w14:textId="77777777" w:rsidTr="0076469B">
        <w:trPr>
          <w:trHeight w:val="438"/>
          <w:jc w:val="center"/>
        </w:trPr>
        <w:tc>
          <w:tcPr>
            <w:tcW w:w="173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CBBEB3C" w14:textId="77777777" w:rsidR="000E6BF1" w:rsidRDefault="00000000">
            <w:pPr>
              <w:spacing w:after="0"/>
            </w:pPr>
            <w:r>
              <w:rPr>
                <w:sz w:val="17"/>
              </w:rPr>
              <w:t>PLBD1</w:t>
            </w:r>
          </w:p>
        </w:tc>
        <w:tc>
          <w:tcPr>
            <w:tcW w:w="244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03C4ADE" w14:textId="77777777" w:rsidR="000E6BF1" w:rsidRDefault="00000000">
            <w:pPr>
              <w:spacing w:after="0"/>
            </w:pPr>
            <w:r>
              <w:rPr>
                <w:sz w:val="17"/>
              </w:rPr>
              <w:t>LyLAP lysosomal aminopeptidase</w:t>
            </w:r>
          </w:p>
        </w:tc>
        <w:tc>
          <w:tcPr>
            <w:tcW w:w="4817"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410F9F9" w14:textId="77777777" w:rsidR="000E6BF1" w:rsidRDefault="00000000">
            <w:pPr>
              <w:spacing w:after="0"/>
            </w:pPr>
            <w:r>
              <w:rPr>
                <w:sz w:val="17"/>
              </w:rPr>
              <w:t>Supports lysosomal degradation of membrane proteins in highly endocytic cells; direct neuronal evidence is absent.</w:t>
            </w:r>
          </w:p>
        </w:tc>
        <w:tc>
          <w:tcPr>
            <w:tcW w:w="244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A527855" w14:textId="77777777" w:rsidR="000E6BF1" w:rsidRDefault="00000000">
            <w:pPr>
              <w:spacing w:after="0"/>
            </w:pPr>
            <w:r>
              <w:rPr>
                <w:sz w:val="17"/>
              </w:rPr>
              <w:t>Supportive, higher-uncertainty node</w:t>
            </w:r>
          </w:p>
        </w:tc>
      </w:tr>
    </w:tbl>
    <w:p w14:paraId="26FBA467" w14:textId="77777777" w:rsidR="000E6BF1" w:rsidRDefault="00000000">
      <w:r>
        <w:t>PSAP and GRN have reciprocal trafficking relationships (</w:t>
      </w:r>
      <w:hyperlink r:id="rId25">
        <w:r w:rsidR="000E6BF1">
          <w:rPr>
            <w:color w:val="0563C1"/>
            <w:u w:val="single"/>
          </w:rPr>
          <w:t>Zhou et al., Journal of Cell Biology, 2015; PMID 26370502</w:t>
        </w:r>
      </w:hyperlink>
      <w:r>
        <w:t>) (</w:t>
      </w:r>
      <w:hyperlink r:id="rId26">
        <w:r w:rsidR="000E6BF1">
          <w:rPr>
            <w:color w:val="0563C1"/>
            <w:u w:val="single"/>
          </w:rPr>
          <w:t>Zhou et al., Nature Communications, 2017; PMID 28541286</w:t>
        </w:r>
      </w:hyperlink>
      <w:r>
        <w:t>). NPC2-to-NPC1 cholesterol transfer is structurally established (</w:t>
      </w:r>
      <w:hyperlink r:id="rId27">
        <w:r w:rsidR="000E6BF1">
          <w:rPr>
            <w:color w:val="0563C1"/>
            <w:u w:val="single"/>
          </w:rPr>
          <w:t>Qian et al., Cell, 2020; PMID 32544384</w:t>
        </w:r>
      </w:hyperlink>
      <w:r>
        <w:t>). PLD4 now has a direct lysosomal lipid-metabolic assignment through S,S-BMP synthesis (</w:t>
      </w:r>
      <w:hyperlink r:id="rId28">
        <w:r w:rsidR="000E6BF1">
          <w:rPr>
            <w:color w:val="0563C1"/>
            <w:u w:val="single"/>
          </w:rPr>
          <w:t>Singh et al., Cell, 2024; PMID 39423811</w:t>
        </w:r>
      </w:hyperlink>
      <w:r>
        <w:t>), and PLBD1/LyLAP has a defined lysosomal protein-catabolic activity (</w:t>
      </w:r>
      <w:hyperlink r:id="rId29">
        <w:r w:rsidR="000E6BF1">
          <w:rPr>
            <w:color w:val="0563C1"/>
            <w:u w:val="single"/>
          </w:rPr>
          <w:t>Jain et al., Science, 2025; PMID 40146846</w:t>
        </w:r>
      </w:hyperlink>
      <w:r>
        <w:t>). These newer results strengthen Rank 2 beyond the earlier, more cautious pathway map.</w:t>
      </w:r>
    </w:p>
    <w:p w14:paraId="1EDECEB9" w14:textId="77777777" w:rsidR="000E6BF1" w:rsidRDefault="00000000">
      <w:pPr>
        <w:pStyle w:val="Heading1"/>
      </w:pPr>
      <w:r>
        <w:t>3. Integrated mechanism: step-by-step cellular sequence</w:t>
      </w:r>
    </w:p>
    <w:p w14:paraId="64AD57BC" w14:textId="77777777" w:rsidR="000E6BF1" w:rsidRDefault="00000000">
      <w:pPr>
        <w:pStyle w:val="ListNumber"/>
        <w:spacing w:after="60"/>
      </w:pPr>
      <w:r>
        <w:t>Inflammatory exposure. IFNγ, TNF and IL-1 family signals in the lesion environment activate neuronal JAK/STAT, NF-κB and stress-response programs. In the common signature, TNF, IL1B, STAT1 and CXCL10 mark this state.</w:t>
      </w:r>
    </w:p>
    <w:p w14:paraId="690BC0E7" w14:textId="77777777" w:rsidR="000E6BF1" w:rsidRDefault="00000000">
      <w:pPr>
        <w:pStyle w:val="ListNumber"/>
        <w:spacing w:after="60"/>
      </w:pPr>
      <w:r>
        <w:t>Immunoproteasome remodeling. PSMB8, PSMB9, PSMB10 and PSME1 increase the capacity of the inducible proteasome. PSMB8 can stabilize neuronal PFKFB3 in MS/EAE, creating a direct link from inflammation to glucose allocation.</w:t>
      </w:r>
    </w:p>
    <w:p w14:paraId="02F4568E" w14:textId="77777777" w:rsidR="000E6BF1" w:rsidRDefault="00000000">
      <w:pPr>
        <w:pStyle w:val="ListNumber"/>
        <w:spacing w:after="60"/>
      </w:pPr>
      <w:r>
        <w:t>Glucose is pulled toward glycolysis. HK3 generates G6P, but PFKFB3-driven glycolytic commitment can reduce the fraction of carbon entering the oxidative PPP. Increased glycolysis does not necessarily mean the cell has more useful energy; it can represent a stress-driven allocation error.</w:t>
      </w:r>
    </w:p>
    <w:p w14:paraId="72A949FE" w14:textId="77777777" w:rsidR="000E6BF1" w:rsidRDefault="00000000">
      <w:pPr>
        <w:pStyle w:val="ListNumber"/>
        <w:spacing w:after="60"/>
      </w:pPr>
      <w:r>
        <w:t>PGD is induced as a compensatory supply response. PGD can generate NADPH from 6-phosphogluconate. The transcriptional increase predicts an attempt to restore reducing power, not proof that the attempt succeeds.</w:t>
      </w:r>
    </w:p>
    <w:p w14:paraId="63888F42" w14:textId="77777777" w:rsidR="000E6BF1" w:rsidRDefault="00000000">
      <w:pPr>
        <w:pStyle w:val="ListNumber"/>
        <w:spacing w:after="60"/>
      </w:pPr>
      <w:r>
        <w:lastRenderedPageBreak/>
        <w:t>Oxidant demand rises at the same time. CYBB, NCF1, NCF2, RAC2 and upstream activators increase the potential for NOX2 assembly. XDH provides a second ROS-producing route. NADPH is therefore being requested by both antioxidant recycling and an oxidant-producing enzyme.</w:t>
      </w:r>
    </w:p>
    <w:p w14:paraId="08ECBCCF" w14:textId="77777777" w:rsidR="000E6BF1" w:rsidRDefault="00000000">
      <w:pPr>
        <w:pStyle w:val="ListNumber"/>
        <w:spacing w:after="60"/>
      </w:pPr>
      <w:r>
        <w:t>Buffering systems are recruited. HP and LTF may sequester heme/iron; ABCC3 may export conjugated products; UCP2 and TMBIM6 may constrain mitochondrial/ER stress; NMNAT2 supports axonal NAD metabolism. These genes indicate defense under load.</w:t>
      </w:r>
    </w:p>
    <w:p w14:paraId="7D13FEE7" w14:textId="77777777" w:rsidR="000E6BF1" w:rsidRDefault="00000000">
      <w:pPr>
        <w:pStyle w:val="ListNumber"/>
        <w:spacing w:after="60"/>
      </w:pPr>
      <w:r>
        <w:t>Glutathione/GPX4 defense becomes limiting. If NADPH recycling is inadequate, GSH regeneration falls. GPX4 then cannot reduce phospholipid hydroperoxides efficiently, even if GPX4 transcript or protein is still present.</w:t>
      </w:r>
    </w:p>
    <w:p w14:paraId="0326DC7B" w14:textId="77777777" w:rsidR="000E6BF1" w:rsidRDefault="00000000">
      <w:pPr>
        <w:pStyle w:val="ListNumber"/>
        <w:spacing w:after="60"/>
      </w:pPr>
      <w:r>
        <w:t>Membrane lipid peroxidation propagates. Iron and PUFA-containing phospholipids drive a self-amplifying oxidation reaction. Damaged membranes impair ion gradients, mitochondria, vesicle trafficking, synapses and axons before terminal cell death is detected.</w:t>
      </w:r>
    </w:p>
    <w:p w14:paraId="04E51834" w14:textId="77777777" w:rsidR="000E6BF1" w:rsidRDefault="00000000">
      <w:pPr>
        <w:pStyle w:val="ListNumber"/>
        <w:spacing w:after="60"/>
      </w:pPr>
      <w:r>
        <w:t>Damaged lipid cargo is routed to lysosomes. Endocytosis and autophagy deliver extracellular and intracellular lipid/protein cargo into endolysosomes. APOBR, MRC1 and CD68 reflect entry/cargo handling; RIN3, LRRK1, myosins and other logistics genes support transport and maturation.</w:t>
      </w:r>
    </w:p>
    <w:p w14:paraId="63DE3B3D" w14:textId="77777777" w:rsidR="000E6BF1" w:rsidRDefault="00000000">
      <w:pPr>
        <w:pStyle w:val="ListNumber"/>
        <w:spacing w:after="60"/>
      </w:pPr>
      <w:r>
        <w:t>PSAP-centered degradation is induced. PSAP is delivered to lysosomes and processed into saposins, which present glycosphingolipids to hydrolases. GRN supports PSAP trafficking and lysosomal homeostasis; CTSD supports proteolytic competence and PSAP processing.</w:t>
      </w:r>
    </w:p>
    <w:p w14:paraId="5F937468" w14:textId="77777777" w:rsidR="000E6BF1" w:rsidRDefault="00000000">
      <w:pPr>
        <w:pStyle w:val="ListNumber"/>
        <w:spacing w:after="60"/>
      </w:pPr>
      <w:r>
        <w:t>Cholesterol and breakdown products must exit. NPC2 transfers luminal cholesterol to NPC1. SLC15A3 and lysosomal hydrolases help recover peptides/amino acids and other metabolites. Successful degradation without metabolite export is incomplete flux.</w:t>
      </w:r>
    </w:p>
    <w:p w14:paraId="36E5A1DC" w14:textId="77777777" w:rsidR="000E6BF1" w:rsidRDefault="00000000">
      <w:pPr>
        <w:pStyle w:val="ListNumber"/>
        <w:spacing w:after="60"/>
      </w:pPr>
      <w:r>
        <w:t>A bifurcation determines outcome. If degradation, export and autolysosomal exocytosis match cargo production, the neuron maintains membrane and axonal integrity. If burden exceeds capacity, lipofuscin and labile iron accumulate, lipid peroxidation increases and ferroptotic vulnerability rises.</w:t>
      </w:r>
    </w:p>
    <w:tbl>
      <w:tblPr>
        <w:tblW w:w="0" w:type="auto"/>
        <w:jc w:val="center"/>
        <w:tblLayout w:type="fixed"/>
        <w:tblLook w:val="04A0" w:firstRow="1" w:lastRow="0" w:firstColumn="1" w:lastColumn="0" w:noHBand="0" w:noVBand="1"/>
      </w:tblPr>
      <w:tblGrid>
        <w:gridCol w:w="10368"/>
      </w:tblGrid>
      <w:tr w:rsidR="000E6BF1" w14:paraId="56ADDC3B" w14:textId="77777777">
        <w:trPr>
          <w:cantSplit/>
          <w:jc w:val="center"/>
        </w:trPr>
        <w:tc>
          <w:tcPr>
            <w:tcW w:w="10368" w:type="dxa"/>
            <w:tcBorders>
              <w:top w:val="single" w:sz="10" w:space="0" w:color="16796F"/>
              <w:left w:val="single" w:sz="10" w:space="0" w:color="16796F"/>
              <w:bottom w:val="single" w:sz="10" w:space="0" w:color="16796F"/>
              <w:right w:val="single" w:sz="10" w:space="0" w:color="16796F"/>
            </w:tcBorders>
            <w:shd w:val="clear" w:color="auto" w:fill="E8F5E9"/>
            <w:tcMar>
              <w:top w:w="120" w:type="dxa"/>
              <w:left w:w="140" w:type="dxa"/>
              <w:bottom w:w="120" w:type="dxa"/>
              <w:right w:w="140" w:type="dxa"/>
            </w:tcMar>
          </w:tcPr>
          <w:p w14:paraId="227F33DD" w14:textId="77777777" w:rsidR="000E6BF1" w:rsidRDefault="00000000">
            <w:pPr>
              <w:spacing w:after="60"/>
            </w:pPr>
            <w:r>
              <w:rPr>
                <w:b/>
                <w:color w:val="16796F"/>
              </w:rPr>
              <w:t>The key causal link to test</w:t>
            </w:r>
          </w:p>
          <w:p w14:paraId="04F56EF2" w14:textId="77777777" w:rsidR="000E6BF1" w:rsidRDefault="00000000">
            <w:pPr>
              <w:spacing w:after="0"/>
            </w:pPr>
            <w:r>
              <w:t>Rank 1 should predict the amount of oxidized lipid delivered to lysosomes; Rank 2 should determine whether that cargo is safely degraded/exported or converted into lipofuscin–iron stress. Demonstrating this sequence would move the project from two correlated gene modules to a unified metabolic mechanism.</w:t>
            </w:r>
          </w:p>
        </w:tc>
      </w:tr>
    </w:tbl>
    <w:p w14:paraId="66E6A49D" w14:textId="77777777" w:rsidR="000E6BF1" w:rsidRDefault="000E6BF1">
      <w:pPr>
        <w:spacing w:after="20"/>
      </w:pPr>
    </w:p>
    <w:p w14:paraId="39460B6E" w14:textId="77777777" w:rsidR="000E6BF1" w:rsidRDefault="00000000">
      <w:pPr>
        <w:pStyle w:val="Heading1"/>
      </w:pPr>
      <w:r>
        <w:t>4. Rank 1 detailed analysis: 33-gene NADPH supply–demand module</w:t>
      </w:r>
    </w:p>
    <w:p w14:paraId="4F31401F" w14:textId="77777777" w:rsidR="000E6BF1" w:rsidRDefault="00000000">
      <w:pPr>
        <w:spacing w:after="60"/>
        <w:jc w:val="center"/>
      </w:pPr>
      <w:r>
        <w:rPr>
          <w:noProof/>
        </w:rPr>
        <w:drawing>
          <wp:inline distT="0" distB="0" distL="0" distR="0" wp14:anchorId="428D0173" wp14:editId="367D814E">
            <wp:extent cx="6492240" cy="2961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rank1_all_genes.png"/>
                    <pic:cNvPicPr/>
                  </pic:nvPicPr>
                  <pic:blipFill>
                    <a:blip r:embed="rId30"/>
                    <a:stretch>
                      <a:fillRect/>
                    </a:stretch>
                  </pic:blipFill>
                  <pic:spPr>
                    <a:xfrm>
                      <a:off x="0" y="0"/>
                      <a:ext cx="6492240" cy="2961890"/>
                    </a:xfrm>
                    <a:prstGeom prst="rect">
                      <a:avLst/>
                    </a:prstGeom>
                  </pic:spPr>
                </pic:pic>
              </a:graphicData>
            </a:graphic>
          </wp:inline>
        </w:drawing>
      </w:r>
    </w:p>
    <w:p w14:paraId="2F75B1D7" w14:textId="77777777" w:rsidR="000E6BF1" w:rsidRDefault="00000000">
      <w:pPr>
        <w:pStyle w:val="Caption"/>
        <w:spacing w:after="140"/>
      </w:pPr>
      <w:r>
        <w:t>Figure 2. Rank 1 detailed map. All 33 genes are shown. The module contains both injury-driving demand and protective compensation; it must not be perturbed as a single-direction program.</w:t>
      </w:r>
    </w:p>
    <w:p w14:paraId="51345102" w14:textId="77777777" w:rsidR="000E6BF1" w:rsidRDefault="00000000">
      <w:pPr>
        <w:pStyle w:val="Heading2"/>
      </w:pPr>
      <w:r>
        <w:lastRenderedPageBreak/>
        <w:t>4.1 Overall pathway meaning</w:t>
      </w:r>
    </w:p>
    <w:p w14:paraId="5F1493A4" w14:textId="77777777" w:rsidR="000E6BF1" w:rsidRDefault="00000000">
      <w:r>
        <w:t>This module is best described as a stressed neuron attempting to increase antioxidant capacity while inflammatory signaling simultaneously increases glucose diversion and oxidant demand. The presence of PGD does not contradict NADPH insufficiency. It is exactly what would be expected if the cell senses reducing-power failure and attempts to compensate. The novelty is to measure whether PGD-dependent flux is quantitatively inadequate relative to NOX2/XDH demand.</w:t>
      </w:r>
    </w:p>
    <w:p w14:paraId="3370D338" w14:textId="77777777" w:rsidR="000E6BF1" w:rsidRDefault="00000000">
      <w:r>
        <w:t>The strongest direct MS/EAE anchor is PSMB8–PFKFB3 metabolic injury (</w:t>
      </w:r>
      <w:hyperlink r:id="rId31">
        <w:r w:rsidR="000E6BF1">
          <w:rPr>
            <w:color w:val="0563C1"/>
            <w:u w:val="single"/>
          </w:rPr>
          <w:t>Woo et al., Cell, 2025; PMID 40532699</w:t>
        </w:r>
      </w:hyperlink>
      <w:r>
        <w:t>). The strongest non-MS causal support for the supply arm is neuronal PPP loss causing lower NADPH and higher oxidative stress (</w:t>
      </w:r>
      <w:hyperlink r:id="rId32">
        <w:r w:rsidR="000E6BF1">
          <w:rPr>
            <w:color w:val="0563C1"/>
            <w:u w:val="single"/>
          </w:rPr>
          <w:t>Müller et al., Journal of Physiology, 2026; PMID 41832615</w:t>
        </w:r>
      </w:hyperlink>
      <w:r>
        <w:t>). The combination of PGD compensation plus a broad oxidase-assembly program across two EAE neuronal populations is the new interpretive layer.</w:t>
      </w:r>
    </w:p>
    <w:p w14:paraId="0A63E09E" w14:textId="77777777" w:rsidR="000E6BF1" w:rsidRDefault="00000000">
      <w:pPr>
        <w:pStyle w:val="Heading2"/>
      </w:pPr>
      <w:r>
        <w:t>4.2 Exact membership and functional grouping</w:t>
      </w:r>
    </w:p>
    <w:p w14:paraId="34ACB5A3" w14:textId="77777777" w:rsidR="000E6BF1" w:rsidRDefault="00000000">
      <w:pPr>
        <w:pStyle w:val="ListBullet"/>
        <w:spacing w:after="40"/>
      </w:pPr>
      <w:r>
        <w:t>Inflammatory induction / immunoproteasome (8): TNF, IL1B, STAT1, PSMB8, PSMB9, PSMB10, PSME1, CXCL10</w:t>
      </w:r>
    </w:p>
    <w:p w14:paraId="60C0F672" w14:textId="77777777" w:rsidR="000E6BF1" w:rsidRDefault="00000000">
      <w:pPr>
        <w:pStyle w:val="ListBullet"/>
        <w:spacing w:after="40"/>
      </w:pPr>
      <w:r>
        <w:t>PPP, glucose partitioning and axonal NAD+ (3): PGD, HK3, NMNAT2</w:t>
      </w:r>
    </w:p>
    <w:p w14:paraId="65BB5126" w14:textId="77777777" w:rsidR="000E6BF1" w:rsidRDefault="00000000">
      <w:pPr>
        <w:pStyle w:val="ListBullet"/>
        <w:spacing w:after="40"/>
      </w:pPr>
      <w:r>
        <w:t>NOX2 activation and ROS production (13): CYBB, NCF1, NCF2, RAC2, PREX1, PIK3CG, PLCB2, PRKCD, VAV1, FGR, S100A8, S100A9, XDH</w:t>
      </w:r>
    </w:p>
    <w:p w14:paraId="5E25018F" w14:textId="77777777" w:rsidR="000E6BF1" w:rsidRDefault="00000000">
      <w:pPr>
        <w:pStyle w:val="ListBullet"/>
        <w:spacing w:after="40"/>
      </w:pPr>
      <w:r>
        <w:t>Iron, lipid, detoxification and organelle buffering (9): LCN2, HP, LTF, ABCC3, NPC2, PSAP, TSPO, UCP2, TMBIM6</w:t>
      </w:r>
    </w:p>
    <w:p w14:paraId="4CB9B439" w14:textId="77777777" w:rsidR="000E6BF1" w:rsidRDefault="00000000">
      <w:pPr>
        <w:pStyle w:val="Heading2"/>
      </w:pPr>
      <w:r>
        <w:t>4.3 Gene-by-gene interpretation</w:t>
      </w:r>
    </w:p>
    <w:tbl>
      <w:tblPr>
        <w:tblW w:w="11452" w:type="dxa"/>
        <w:jc w:val="center"/>
        <w:tblLayout w:type="fixed"/>
        <w:tblLook w:val="04A0" w:firstRow="1" w:lastRow="0" w:firstColumn="1" w:lastColumn="0" w:noHBand="0" w:noVBand="1"/>
      </w:tblPr>
      <w:tblGrid>
        <w:gridCol w:w="824"/>
        <w:gridCol w:w="2074"/>
        <w:gridCol w:w="4248"/>
        <w:gridCol w:w="2232"/>
        <w:gridCol w:w="2074"/>
      </w:tblGrid>
      <w:tr w:rsidR="000E6BF1" w14:paraId="1F7CDFCB" w14:textId="77777777" w:rsidTr="00B21389">
        <w:trPr>
          <w:tblHeade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B43D06B" w14:textId="77777777" w:rsidR="000E6BF1" w:rsidRDefault="00000000">
            <w:pPr>
              <w:spacing w:after="0"/>
            </w:pPr>
            <w:r>
              <w:rPr>
                <w:b/>
                <w:color w:val="FFFFFF"/>
                <w:sz w:val="14"/>
              </w:rPr>
              <w:t>Gene</w:t>
            </w:r>
          </w:p>
        </w:tc>
        <w:tc>
          <w:tcPr>
            <w:tcW w:w="207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439F46F4" w14:textId="77777777" w:rsidR="000E6BF1" w:rsidRDefault="00000000">
            <w:pPr>
              <w:spacing w:after="0"/>
            </w:pPr>
            <w:r>
              <w:rPr>
                <w:b/>
                <w:color w:val="FFFFFF"/>
                <w:sz w:val="14"/>
              </w:rPr>
              <w:t>Pathway placement</w:t>
            </w:r>
          </w:p>
        </w:tc>
        <w:tc>
          <w:tcPr>
            <w:tcW w:w="4248"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071CD51" w14:textId="77777777" w:rsidR="000E6BF1" w:rsidRDefault="00000000">
            <w:pPr>
              <w:spacing w:after="0"/>
            </w:pPr>
            <w:r>
              <w:rPr>
                <w:b/>
                <w:color w:val="FFFFFF"/>
                <w:sz w:val="14"/>
              </w:rPr>
              <w:t>Peer-reviewed functional interpretation</w:t>
            </w:r>
          </w:p>
        </w:tc>
        <w:tc>
          <w:tcPr>
            <w:tcW w:w="223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38DE6BA0" w14:textId="77777777" w:rsidR="000E6BF1" w:rsidRDefault="00000000">
            <w:pPr>
              <w:spacing w:after="0"/>
            </w:pPr>
            <w:r>
              <w:rPr>
                <w:b/>
                <w:color w:val="FFFFFF"/>
                <w:sz w:val="14"/>
              </w:rPr>
              <w:t>Likely direction if activity rises</w:t>
            </w:r>
          </w:p>
        </w:tc>
        <w:tc>
          <w:tcPr>
            <w:tcW w:w="207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47D3B2BD" w14:textId="77777777" w:rsidR="000E6BF1" w:rsidRDefault="00000000">
            <w:pPr>
              <w:spacing w:after="0"/>
            </w:pPr>
            <w:r>
              <w:rPr>
                <w:b/>
                <w:color w:val="FFFFFF"/>
                <w:sz w:val="14"/>
              </w:rPr>
              <w:t>Evidence links</w:t>
            </w:r>
          </w:p>
        </w:tc>
      </w:tr>
      <w:tr w:rsidR="000E6BF1" w14:paraId="3BD90DE6"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4A22E23" w14:textId="77777777" w:rsidR="000E6BF1" w:rsidRDefault="00000000">
            <w:pPr>
              <w:spacing w:after="0"/>
            </w:pPr>
            <w:r>
              <w:rPr>
                <w:sz w:val="14"/>
              </w:rPr>
              <w:t>TNF</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CD0C1D1" w14:textId="77777777" w:rsidR="000E6BF1" w:rsidRDefault="00000000">
            <w:pPr>
              <w:spacing w:after="0"/>
            </w:pPr>
            <w:r>
              <w:rPr>
                <w:sz w:val="14"/>
              </w:rPr>
              <w:t>Extracellular inflammatory cue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FA8453E" w14:textId="77777777" w:rsidR="000E6BF1" w:rsidRDefault="00000000">
            <w:pPr>
              <w:spacing w:after="0"/>
            </w:pPr>
            <w:r>
              <w:rPr>
                <w:sz w:val="14"/>
              </w:rPr>
              <w:t>TNFR signaling can induce NF-κB/stress programs and increase neuronal metabolic demand.</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5753EF4" w14:textId="77777777" w:rsidR="000E6BF1" w:rsidRDefault="00000000">
            <w:pPr>
              <w:spacing w:after="0"/>
            </w:pPr>
            <w:r>
              <w:rPr>
                <w:sz w:val="14"/>
              </w:rPr>
              <w:t>Upstream injury pressure</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DFCF1E8" w14:textId="77777777" w:rsidR="000E6BF1" w:rsidRDefault="000E6BF1">
            <w:pPr>
              <w:spacing w:after="0"/>
            </w:pPr>
            <w:hyperlink r:id="rId33">
              <w:r>
                <w:rPr>
                  <w:color w:val="0563C1"/>
                  <w:u w:val="single"/>
                </w:rPr>
                <w:t>Peer-reviewed full text</w:t>
              </w:r>
            </w:hyperlink>
            <w:r w:rsidR="00000000">
              <w:rPr>
                <w:sz w:val="14"/>
              </w:rPr>
              <w:t xml:space="preserve"> </w:t>
            </w:r>
            <w:hyperlink r:id="rId34">
              <w:r>
                <w:rPr>
                  <w:color w:val="0563C1"/>
                  <w:u w:val="single"/>
                </w:rPr>
                <w:t>PMID 39937646</w:t>
              </w:r>
            </w:hyperlink>
          </w:p>
        </w:tc>
      </w:tr>
      <w:tr w:rsidR="000E6BF1" w14:paraId="6D1C85D0"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0F70860" w14:textId="77777777" w:rsidR="000E6BF1" w:rsidRDefault="00000000">
            <w:pPr>
              <w:spacing w:after="0"/>
            </w:pPr>
            <w:r>
              <w:rPr>
                <w:sz w:val="14"/>
              </w:rPr>
              <w:t>IL1B</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008F9DA" w14:textId="77777777" w:rsidR="000E6BF1" w:rsidRDefault="00000000">
            <w:pPr>
              <w:spacing w:after="0"/>
            </w:pPr>
            <w:r>
              <w:rPr>
                <w:sz w:val="14"/>
              </w:rPr>
              <w:t>Extracellular inflammatory cue</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3661C21" w14:textId="77777777" w:rsidR="000E6BF1" w:rsidRDefault="00000000">
            <w:pPr>
              <w:spacing w:after="0"/>
            </w:pPr>
            <w:r>
              <w:rPr>
                <w:sz w:val="14"/>
              </w:rPr>
              <w:t>IL-1 receptor signaling promotes inflammatory and oxidative-stress responses.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F51E240" w14:textId="77777777" w:rsidR="000E6BF1" w:rsidRDefault="00000000">
            <w:pPr>
              <w:spacing w:after="0"/>
            </w:pPr>
            <w:r>
              <w:rPr>
                <w:sz w:val="14"/>
              </w:rPr>
              <w:t>Upstream injury pressure</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36176EF" w14:textId="77777777" w:rsidR="000E6BF1" w:rsidRDefault="000E6BF1">
            <w:pPr>
              <w:spacing w:after="0"/>
            </w:pPr>
            <w:hyperlink r:id="rId35">
              <w:r>
                <w:rPr>
                  <w:color w:val="0563C1"/>
                  <w:u w:val="single"/>
                </w:rPr>
                <w:t>PMID 28486971</w:t>
              </w:r>
            </w:hyperlink>
            <w:r w:rsidR="00000000">
              <w:rPr>
                <w:sz w:val="14"/>
              </w:rPr>
              <w:t xml:space="preserve"> </w:t>
            </w:r>
            <w:hyperlink r:id="rId36">
              <w:r>
                <w:rPr>
                  <w:color w:val="0563C1"/>
                  <w:u w:val="single"/>
                </w:rPr>
                <w:t>PMID 39243987</w:t>
              </w:r>
            </w:hyperlink>
          </w:p>
        </w:tc>
      </w:tr>
      <w:tr w:rsidR="000E6BF1" w14:paraId="2776B513"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A467857" w14:textId="77777777" w:rsidR="000E6BF1" w:rsidRDefault="00000000">
            <w:pPr>
              <w:spacing w:after="0"/>
            </w:pPr>
            <w:r>
              <w:rPr>
                <w:sz w:val="14"/>
              </w:rPr>
              <w:t>STAT1</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C83A480" w14:textId="77777777" w:rsidR="000E6BF1" w:rsidRDefault="00000000">
            <w:pPr>
              <w:spacing w:after="0"/>
            </w:pPr>
            <w:r>
              <w:rPr>
                <w:sz w:val="14"/>
              </w:rPr>
              <w:t>Interferon-response transcription factor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14ACF4A" w14:textId="77777777" w:rsidR="000E6BF1" w:rsidRDefault="00000000">
            <w:pPr>
              <w:spacing w:after="0"/>
            </w:pPr>
            <w:r>
              <w:rPr>
                <w:sz w:val="14"/>
              </w:rPr>
              <w:t>Transduces IFN-driven antigen-processing and immunoproteasome programs.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DFF2F6A" w14:textId="77777777" w:rsidR="000E6BF1" w:rsidRDefault="00000000">
            <w:pPr>
              <w:spacing w:after="0"/>
            </w:pPr>
            <w:r>
              <w:rPr>
                <w:sz w:val="14"/>
              </w:rPr>
              <w:t>Usually injury-linked when sustained</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1CAADB5" w14:textId="77777777" w:rsidR="000E6BF1" w:rsidRDefault="000E6BF1">
            <w:pPr>
              <w:spacing w:after="0"/>
            </w:pPr>
            <w:hyperlink r:id="rId37">
              <w:r>
                <w:rPr>
                  <w:color w:val="0563C1"/>
                  <w:u w:val="single"/>
                </w:rPr>
                <w:t>Peer-reviewed full text</w:t>
              </w:r>
            </w:hyperlink>
            <w:r w:rsidR="00000000">
              <w:rPr>
                <w:sz w:val="14"/>
              </w:rPr>
              <w:t xml:space="preserve"> </w:t>
            </w:r>
            <w:hyperlink r:id="rId38">
              <w:r>
                <w:rPr>
                  <w:color w:val="0563C1"/>
                  <w:u w:val="single"/>
                </w:rPr>
                <w:t>Peer-reviewed full text</w:t>
              </w:r>
            </w:hyperlink>
          </w:p>
        </w:tc>
      </w:tr>
      <w:tr w:rsidR="000E6BF1" w14:paraId="2C915C3C"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00D55D9" w14:textId="77777777" w:rsidR="000E6BF1" w:rsidRDefault="00000000">
            <w:pPr>
              <w:spacing w:after="0"/>
            </w:pPr>
            <w:r>
              <w:rPr>
                <w:sz w:val="14"/>
              </w:rPr>
              <w:t>PSMB8</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AA3254B" w14:textId="77777777" w:rsidR="000E6BF1" w:rsidRDefault="00000000">
            <w:pPr>
              <w:spacing w:after="0"/>
            </w:pPr>
            <w:r>
              <w:rPr>
                <w:sz w:val="14"/>
              </w:rPr>
              <w:t>Immunoproteasome catalytic subunit</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FDAA8AF" w14:textId="77777777" w:rsidR="000E6BF1" w:rsidRDefault="00000000">
            <w:pPr>
              <w:spacing w:after="0"/>
            </w:pPr>
            <w:r>
              <w:rPr>
                <w:sz w:val="14"/>
              </w:rPr>
              <w:t>Neuronal PSMB8 can stabilize PFKFB3, divert glucose from PPP toward glycolysis and increase ferroptotic vulnerability.</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285ED68" w14:textId="77777777" w:rsidR="000E6BF1" w:rsidRDefault="00000000">
            <w:pPr>
              <w:spacing w:after="0"/>
            </w:pPr>
            <w:r>
              <w:rPr>
                <w:sz w:val="14"/>
              </w:rPr>
              <w:t>Injury-linked; established in MS/EAE</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6F19295" w14:textId="77777777" w:rsidR="000E6BF1" w:rsidRDefault="000E6BF1">
            <w:pPr>
              <w:spacing w:after="0"/>
            </w:pPr>
            <w:hyperlink r:id="rId39">
              <w:r>
                <w:rPr>
                  <w:color w:val="0563C1"/>
                  <w:u w:val="single"/>
                </w:rPr>
                <w:t>PMID 18792018</w:t>
              </w:r>
            </w:hyperlink>
            <w:r w:rsidR="00000000">
              <w:rPr>
                <w:sz w:val="14"/>
              </w:rPr>
              <w:t xml:space="preserve"> </w:t>
            </w:r>
            <w:hyperlink r:id="rId40">
              <w:r>
                <w:rPr>
                  <w:color w:val="0563C1"/>
                  <w:u w:val="single"/>
                </w:rPr>
                <w:t>Peer-reviewed full text</w:t>
              </w:r>
            </w:hyperlink>
          </w:p>
        </w:tc>
      </w:tr>
      <w:tr w:rsidR="000E6BF1" w14:paraId="32F48D21"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F8C383F" w14:textId="77777777" w:rsidR="000E6BF1" w:rsidRDefault="00000000">
            <w:pPr>
              <w:spacing w:after="0"/>
            </w:pPr>
            <w:r>
              <w:rPr>
                <w:sz w:val="14"/>
              </w:rPr>
              <w:t>PSMB9</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156A98C" w14:textId="77777777" w:rsidR="000E6BF1" w:rsidRDefault="00000000">
            <w:pPr>
              <w:spacing w:after="0"/>
            </w:pPr>
            <w:r>
              <w:rPr>
                <w:sz w:val="14"/>
              </w:rPr>
              <w:t>Immunoproteasome catalytic subunit</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4B31F7A" w14:textId="77777777" w:rsidR="000E6BF1" w:rsidRDefault="00000000">
            <w:pPr>
              <w:spacing w:after="0"/>
            </w:pPr>
            <w:r>
              <w:rPr>
                <w:sz w:val="14"/>
              </w:rPr>
              <w:t>Replaces a constitutive β subunit during interferon-driven proteasome remodeling.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6CB46F7" w14:textId="77777777" w:rsidR="000E6BF1" w:rsidRDefault="00000000">
            <w:pPr>
              <w:spacing w:after="0"/>
            </w:pPr>
            <w:r>
              <w:rPr>
                <w:sz w:val="14"/>
              </w:rPr>
              <w:t>Context-dependent; chronic induction supports stress program</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F6E3BB0" w14:textId="77777777" w:rsidR="000E6BF1" w:rsidRDefault="000E6BF1">
            <w:pPr>
              <w:spacing w:after="0"/>
            </w:pPr>
            <w:hyperlink r:id="rId41">
              <w:r>
                <w:rPr>
                  <w:color w:val="0563C1"/>
                  <w:u w:val="single"/>
                </w:rPr>
                <w:t>PMID 40532699</w:t>
              </w:r>
            </w:hyperlink>
          </w:p>
        </w:tc>
      </w:tr>
      <w:tr w:rsidR="000E6BF1" w14:paraId="49533AAF"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AD6FBAF" w14:textId="77777777" w:rsidR="000E6BF1" w:rsidRDefault="00000000">
            <w:pPr>
              <w:spacing w:after="0"/>
            </w:pPr>
            <w:r>
              <w:rPr>
                <w:sz w:val="14"/>
              </w:rPr>
              <w:t>PSMB10</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4825A77" w14:textId="77777777" w:rsidR="000E6BF1" w:rsidRDefault="00000000">
            <w:pPr>
              <w:spacing w:after="0"/>
            </w:pPr>
            <w:r>
              <w:rPr>
                <w:sz w:val="14"/>
              </w:rPr>
              <w:t>Immunoproteasome catalytic subunit</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7D564AB" w14:textId="77777777" w:rsidR="000E6BF1" w:rsidRDefault="00000000">
            <w:pPr>
              <w:spacing w:after="0"/>
            </w:pPr>
            <w:r>
              <w:rPr>
                <w:sz w:val="14"/>
              </w:rPr>
              <w:t>Completes inducible catalytic β-ring remodeling.</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083BB01" w14:textId="77777777" w:rsidR="000E6BF1" w:rsidRDefault="00000000">
            <w:pPr>
              <w:spacing w:after="0"/>
            </w:pPr>
            <w:r>
              <w:rPr>
                <w:sz w:val="14"/>
              </w:rPr>
              <w:t>Context-dependent; chronic induction supports stress program</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8A9E8C3" w14:textId="77777777" w:rsidR="000E6BF1" w:rsidRDefault="000E6BF1">
            <w:pPr>
              <w:spacing w:after="0"/>
            </w:pPr>
            <w:hyperlink r:id="rId42">
              <w:r>
                <w:rPr>
                  <w:color w:val="0563C1"/>
                  <w:u w:val="single"/>
                </w:rPr>
                <w:t>PMID 18792018</w:t>
              </w:r>
            </w:hyperlink>
            <w:r w:rsidR="00000000">
              <w:rPr>
                <w:sz w:val="14"/>
              </w:rPr>
              <w:t xml:space="preserve"> </w:t>
            </w:r>
            <w:hyperlink r:id="rId43">
              <w:r>
                <w:rPr>
                  <w:color w:val="0563C1"/>
                  <w:u w:val="single"/>
                </w:rPr>
                <w:t>Peer-reviewed full text</w:t>
              </w:r>
            </w:hyperlink>
          </w:p>
        </w:tc>
      </w:tr>
      <w:tr w:rsidR="000E6BF1" w14:paraId="076DC15D"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8FF2E1C" w14:textId="77777777" w:rsidR="000E6BF1" w:rsidRDefault="00000000">
            <w:pPr>
              <w:spacing w:after="0"/>
            </w:pPr>
            <w:r>
              <w:rPr>
                <w:sz w:val="14"/>
              </w:rPr>
              <w:t>PSME1</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098962E" w14:textId="77777777" w:rsidR="000E6BF1" w:rsidRDefault="00000000">
            <w:pPr>
              <w:spacing w:after="0"/>
            </w:pPr>
            <w:r>
              <w:rPr>
                <w:sz w:val="14"/>
              </w:rPr>
              <w:t>PA28 proteasome activator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8C62A6B" w14:textId="77777777" w:rsidR="000E6BF1" w:rsidRDefault="00000000">
            <w:pPr>
              <w:spacing w:after="0"/>
            </w:pPr>
            <w:r>
              <w:rPr>
                <w:sz w:val="14"/>
              </w:rPr>
              <w:t>Promotes peptide entry/processing by immunoproteasome complexes.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5561E30" w14:textId="77777777" w:rsidR="000E6BF1" w:rsidRDefault="00000000">
            <w:pPr>
              <w:spacing w:after="0"/>
            </w:pPr>
            <w:r>
              <w:rPr>
                <w:sz w:val="14"/>
              </w:rPr>
              <w:t>Context-dependent; supports inducible proteolysis</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3D1170B" w14:textId="77777777" w:rsidR="000E6BF1" w:rsidRDefault="000E6BF1">
            <w:pPr>
              <w:spacing w:after="0"/>
            </w:pPr>
            <w:hyperlink r:id="rId44">
              <w:r>
                <w:rPr>
                  <w:color w:val="0563C1"/>
                  <w:u w:val="single"/>
                </w:rPr>
                <w:t>PMID 40532699</w:t>
              </w:r>
            </w:hyperlink>
          </w:p>
        </w:tc>
      </w:tr>
      <w:tr w:rsidR="000E6BF1" w14:paraId="68FA12C7"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89FC163" w14:textId="77777777" w:rsidR="000E6BF1" w:rsidRDefault="00000000">
            <w:pPr>
              <w:spacing w:after="0"/>
            </w:pPr>
            <w:r>
              <w:rPr>
                <w:sz w:val="14"/>
              </w:rPr>
              <w:t>CXCL10</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3CABA12" w14:textId="77777777" w:rsidR="000E6BF1" w:rsidRDefault="00000000">
            <w:pPr>
              <w:spacing w:after="0"/>
            </w:pPr>
            <w:r>
              <w:rPr>
                <w:sz w:val="14"/>
              </w:rPr>
              <w:t>Chemokine / ferroptosis-linked cue</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3512CD7" w14:textId="77777777" w:rsidR="000E6BF1" w:rsidRDefault="00000000">
            <w:pPr>
              <w:spacing w:after="0"/>
            </w:pPr>
            <w:r>
              <w:rPr>
                <w:sz w:val="14"/>
              </w:rPr>
              <w:t>CXCR3 signaling can suppress neuronal SLC7A11 and lower glutathione/GPX4 defense in other injury models.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C3207F3" w14:textId="77777777" w:rsidR="000E6BF1" w:rsidRDefault="00000000">
            <w:pPr>
              <w:spacing w:after="0"/>
            </w:pPr>
            <w:r>
              <w:rPr>
                <w:sz w:val="14"/>
              </w:rPr>
              <w:t>Potentially injurious</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667D8EE" w14:textId="77777777" w:rsidR="000E6BF1" w:rsidRDefault="000E6BF1">
            <w:pPr>
              <w:spacing w:after="0"/>
            </w:pPr>
            <w:hyperlink r:id="rId45">
              <w:r>
                <w:rPr>
                  <w:color w:val="0563C1"/>
                  <w:u w:val="single"/>
                </w:rPr>
                <w:t>PMID 36610561</w:t>
              </w:r>
            </w:hyperlink>
            <w:r w:rsidR="00000000">
              <w:rPr>
                <w:sz w:val="14"/>
              </w:rPr>
              <w:t xml:space="preserve"> </w:t>
            </w:r>
            <w:hyperlink r:id="rId46">
              <w:r>
                <w:rPr>
                  <w:color w:val="0563C1"/>
                  <w:u w:val="single"/>
                </w:rPr>
                <w:t>PMID 24588027</w:t>
              </w:r>
            </w:hyperlink>
          </w:p>
        </w:tc>
      </w:tr>
      <w:tr w:rsidR="000E6BF1" w14:paraId="358D6A1A"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CAF40D8" w14:textId="77777777" w:rsidR="000E6BF1" w:rsidRDefault="00000000">
            <w:pPr>
              <w:spacing w:after="0"/>
            </w:pPr>
            <w:r>
              <w:rPr>
                <w:sz w:val="14"/>
              </w:rPr>
              <w:t>PGD</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A579588" w14:textId="77777777" w:rsidR="000E6BF1" w:rsidRDefault="00000000">
            <w:pPr>
              <w:spacing w:after="0"/>
            </w:pPr>
            <w:r>
              <w:rPr>
                <w:sz w:val="14"/>
              </w:rPr>
              <w:t>Oxidative PPP enzyme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D104DF0" w14:textId="77777777" w:rsidR="000E6BF1" w:rsidRDefault="00000000">
            <w:pPr>
              <w:spacing w:after="0"/>
            </w:pPr>
            <w:r>
              <w:rPr>
                <w:sz w:val="14"/>
              </w:rPr>
              <w:t>Converts 6-phosphogluconate to ribulose-5-phosphate and generates NADPH.</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58AA743" w14:textId="77777777" w:rsidR="000E6BF1" w:rsidRDefault="00000000">
            <w:pPr>
              <w:spacing w:after="0"/>
            </w:pPr>
            <w:r>
              <w:rPr>
                <w:sz w:val="14"/>
              </w:rPr>
              <w:t>Protective compensation if flux increases</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33F7C3A" w14:textId="77777777" w:rsidR="000E6BF1" w:rsidRDefault="000E6BF1">
            <w:pPr>
              <w:spacing w:after="0"/>
            </w:pPr>
            <w:hyperlink r:id="rId47">
              <w:r>
                <w:rPr>
                  <w:color w:val="0563C1"/>
                  <w:u w:val="single"/>
                </w:rPr>
                <w:t>PMID 41832615</w:t>
              </w:r>
            </w:hyperlink>
            <w:r w:rsidR="00000000">
              <w:rPr>
                <w:sz w:val="14"/>
              </w:rPr>
              <w:t xml:space="preserve"> </w:t>
            </w:r>
            <w:hyperlink r:id="rId48">
              <w:r>
                <w:rPr>
                  <w:color w:val="0563C1"/>
                  <w:u w:val="single"/>
                </w:rPr>
                <w:t>PMID 40532699</w:t>
              </w:r>
            </w:hyperlink>
          </w:p>
        </w:tc>
      </w:tr>
      <w:tr w:rsidR="000E6BF1" w14:paraId="6300E8CE"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D2C47A9" w14:textId="77777777" w:rsidR="000E6BF1" w:rsidRDefault="00000000">
            <w:pPr>
              <w:spacing w:after="0"/>
            </w:pPr>
            <w:r>
              <w:rPr>
                <w:sz w:val="14"/>
              </w:rPr>
              <w:t>HK3</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6C5CB33" w14:textId="77777777" w:rsidR="000E6BF1" w:rsidRDefault="00000000">
            <w:pPr>
              <w:spacing w:after="0"/>
            </w:pPr>
            <w:r>
              <w:rPr>
                <w:sz w:val="14"/>
              </w:rPr>
              <w:t>Glucose phosphorylation</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D115532" w14:textId="77777777" w:rsidR="000E6BF1" w:rsidRDefault="00000000">
            <w:pPr>
              <w:spacing w:after="0"/>
            </w:pPr>
            <w:r>
              <w:rPr>
                <w:sz w:val="14"/>
              </w:rPr>
              <w:t>Generates glucose-6-phosphate, the branch-point substrate for glycolysis and PPP.</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CFE27C5" w14:textId="77777777" w:rsidR="000E6BF1" w:rsidRDefault="00000000">
            <w:pPr>
              <w:spacing w:after="0"/>
            </w:pPr>
            <w:r>
              <w:rPr>
                <w:sz w:val="14"/>
              </w:rPr>
              <w:t>Ambiguous; depends on downstream partitioning</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D488AC7" w14:textId="77777777" w:rsidR="000E6BF1" w:rsidRDefault="000E6BF1">
            <w:pPr>
              <w:spacing w:after="0"/>
            </w:pPr>
            <w:hyperlink r:id="rId49">
              <w:r>
                <w:rPr>
                  <w:color w:val="0563C1"/>
                  <w:u w:val="single"/>
                </w:rPr>
                <w:t>Peer-reviewed paper</w:t>
              </w:r>
            </w:hyperlink>
            <w:r w:rsidR="00000000">
              <w:rPr>
                <w:sz w:val="14"/>
              </w:rPr>
              <w:t xml:space="preserve"> </w:t>
            </w:r>
            <w:hyperlink r:id="rId50">
              <w:r>
                <w:rPr>
                  <w:color w:val="0563C1"/>
                  <w:u w:val="single"/>
                </w:rPr>
                <w:t>Peer-reviewed full text</w:t>
              </w:r>
            </w:hyperlink>
          </w:p>
        </w:tc>
      </w:tr>
      <w:tr w:rsidR="000E6BF1" w14:paraId="0D94AD5A"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4F0120F" w14:textId="77777777" w:rsidR="000E6BF1" w:rsidRDefault="00000000">
            <w:pPr>
              <w:spacing w:after="0"/>
            </w:pPr>
            <w:r>
              <w:rPr>
                <w:sz w:val="14"/>
              </w:rPr>
              <w:lastRenderedPageBreak/>
              <w:t>NMNAT2</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8F1A083" w14:textId="77777777" w:rsidR="000E6BF1" w:rsidRDefault="00000000">
            <w:pPr>
              <w:spacing w:after="0"/>
            </w:pPr>
            <w:r>
              <w:rPr>
                <w:sz w:val="14"/>
              </w:rPr>
              <w:t>Axonal NAD+ biosynthesis</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8A7C456" w14:textId="77777777" w:rsidR="000E6BF1" w:rsidRDefault="00000000">
            <w:pPr>
              <w:spacing w:after="0"/>
            </w:pPr>
            <w:r>
              <w:rPr>
                <w:sz w:val="14"/>
              </w:rPr>
              <w:t>Labile axon-survival enzyme that synthesizes NAD+ from NMN and ATP.</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7241619" w14:textId="77777777" w:rsidR="000E6BF1" w:rsidRDefault="00000000">
            <w:pPr>
              <w:spacing w:after="0"/>
            </w:pPr>
            <w:r>
              <w:rPr>
                <w:sz w:val="14"/>
              </w:rPr>
              <w:t>Protective / pro-axon survival</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E70846B" w14:textId="77777777" w:rsidR="000E6BF1" w:rsidRDefault="000E6BF1">
            <w:pPr>
              <w:spacing w:after="0"/>
            </w:pPr>
            <w:hyperlink r:id="rId51">
              <w:r>
                <w:rPr>
                  <w:color w:val="0563C1"/>
                  <w:u w:val="single"/>
                </w:rPr>
                <w:t>PMID 37002660</w:t>
              </w:r>
            </w:hyperlink>
            <w:r w:rsidR="00000000">
              <w:rPr>
                <w:sz w:val="14"/>
              </w:rPr>
              <w:t xml:space="preserve"> </w:t>
            </w:r>
            <w:hyperlink r:id="rId52">
              <w:r>
                <w:rPr>
                  <w:color w:val="0563C1"/>
                  <w:u w:val="single"/>
                </w:rPr>
                <w:t>PMID 24840802</w:t>
              </w:r>
            </w:hyperlink>
          </w:p>
        </w:tc>
      </w:tr>
      <w:tr w:rsidR="000E6BF1" w14:paraId="1D9F8AC3"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BCB1D2E" w14:textId="77777777" w:rsidR="000E6BF1" w:rsidRDefault="00000000">
            <w:pPr>
              <w:spacing w:after="0"/>
            </w:pPr>
            <w:r>
              <w:rPr>
                <w:sz w:val="14"/>
              </w:rPr>
              <w:t>CYBB</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A2B2C20" w14:textId="77777777" w:rsidR="000E6BF1" w:rsidRDefault="00000000">
            <w:pPr>
              <w:spacing w:after="0"/>
            </w:pPr>
            <w:r>
              <w:rPr>
                <w:sz w:val="14"/>
              </w:rPr>
              <w:t>NOX2 catalytic subunit</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548AD3A" w14:textId="77777777" w:rsidR="000E6BF1" w:rsidRDefault="00000000">
            <w:pPr>
              <w:spacing w:after="0"/>
            </w:pPr>
            <w:r>
              <w:rPr>
                <w:sz w:val="14"/>
              </w:rPr>
              <w:t>Transfers electrons from NADPH to oxygen to generate superoxide.</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02A6F9A" w14:textId="77777777" w:rsidR="000E6BF1" w:rsidRDefault="00000000">
            <w:pPr>
              <w:spacing w:after="0"/>
            </w:pPr>
            <w:r>
              <w:rPr>
                <w:sz w:val="14"/>
              </w:rPr>
              <w:t>Injurious if sustained/excessive</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7081F24" w14:textId="77777777" w:rsidR="000E6BF1" w:rsidRDefault="000E6BF1">
            <w:pPr>
              <w:spacing w:after="0"/>
            </w:pPr>
            <w:hyperlink r:id="rId53">
              <w:r>
                <w:rPr>
                  <w:color w:val="0563C1"/>
                  <w:u w:val="single"/>
                </w:rPr>
                <w:t>Peer-reviewed full text</w:t>
              </w:r>
            </w:hyperlink>
            <w:r w:rsidR="00000000">
              <w:rPr>
                <w:sz w:val="14"/>
              </w:rPr>
              <w:t xml:space="preserve"> </w:t>
            </w:r>
            <w:hyperlink r:id="rId54">
              <w:r>
                <w:rPr>
                  <w:color w:val="0563C1"/>
                  <w:u w:val="single"/>
                </w:rPr>
                <w:t>PMID 33868265</w:t>
              </w:r>
            </w:hyperlink>
          </w:p>
        </w:tc>
      </w:tr>
      <w:tr w:rsidR="000E6BF1" w14:paraId="289D3A6C"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C9B16C9" w14:textId="77777777" w:rsidR="000E6BF1" w:rsidRDefault="00000000">
            <w:pPr>
              <w:spacing w:after="0"/>
            </w:pPr>
            <w:r>
              <w:rPr>
                <w:sz w:val="14"/>
              </w:rPr>
              <w:t>NCF1</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4C5DC7C" w14:textId="77777777" w:rsidR="000E6BF1" w:rsidRDefault="00000000">
            <w:pPr>
              <w:spacing w:after="0"/>
            </w:pPr>
            <w:r>
              <w:rPr>
                <w:sz w:val="14"/>
              </w:rPr>
              <w:t>NOX2 organizer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5A8551E" w14:textId="77777777" w:rsidR="000E6BF1" w:rsidRDefault="00000000">
            <w:pPr>
              <w:spacing w:after="0"/>
            </w:pPr>
            <w:r>
              <w:rPr>
                <w:sz w:val="14"/>
              </w:rPr>
              <w:t>p47phox component that assembles the active oxidase.</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5D63218" w14:textId="77777777" w:rsidR="000E6BF1" w:rsidRDefault="00000000">
            <w:pPr>
              <w:spacing w:after="0"/>
            </w:pPr>
            <w:r>
              <w:rPr>
                <w:sz w:val="14"/>
              </w:rPr>
              <w:t>Raises NADPH demand/ROS</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54CA686" w14:textId="77777777" w:rsidR="000E6BF1" w:rsidRDefault="000E6BF1">
            <w:pPr>
              <w:spacing w:after="0"/>
            </w:pPr>
            <w:hyperlink r:id="rId55">
              <w:r>
                <w:rPr>
                  <w:color w:val="0563C1"/>
                  <w:u w:val="single"/>
                </w:rPr>
                <w:t>Peer-reviewed full text</w:t>
              </w:r>
            </w:hyperlink>
            <w:r w:rsidR="00000000">
              <w:rPr>
                <w:sz w:val="14"/>
              </w:rPr>
              <w:t xml:space="preserve"> </w:t>
            </w:r>
            <w:hyperlink r:id="rId56">
              <w:r>
                <w:rPr>
                  <w:color w:val="0563C1"/>
                  <w:u w:val="single"/>
                </w:rPr>
                <w:t>Peer-reviewed paper</w:t>
              </w:r>
            </w:hyperlink>
          </w:p>
        </w:tc>
      </w:tr>
      <w:tr w:rsidR="000E6BF1" w14:paraId="5B2DFCE8"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2D70F9C" w14:textId="77777777" w:rsidR="000E6BF1" w:rsidRDefault="00000000">
            <w:pPr>
              <w:spacing w:after="0"/>
            </w:pPr>
            <w:r>
              <w:rPr>
                <w:sz w:val="14"/>
              </w:rPr>
              <w:t>NCF2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F7EAD5C" w14:textId="77777777" w:rsidR="000E6BF1" w:rsidRDefault="00000000">
            <w:pPr>
              <w:spacing w:after="0"/>
            </w:pPr>
            <w:r>
              <w:rPr>
                <w:sz w:val="14"/>
              </w:rPr>
              <w:t>NOX2 activator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9CD8C85" w14:textId="77777777" w:rsidR="000E6BF1" w:rsidRDefault="00000000">
            <w:pPr>
              <w:spacing w:after="0"/>
            </w:pPr>
            <w:r>
              <w:rPr>
                <w:sz w:val="14"/>
              </w:rPr>
              <w:t>p67phox component that activates CYBB electron transfer.</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D94ABF3" w14:textId="77777777" w:rsidR="000E6BF1" w:rsidRDefault="00000000">
            <w:pPr>
              <w:spacing w:after="0"/>
            </w:pPr>
            <w:r>
              <w:rPr>
                <w:sz w:val="14"/>
              </w:rPr>
              <w:t>Raises NADPH demand/ROS</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B9556C0" w14:textId="77777777" w:rsidR="000E6BF1" w:rsidRDefault="000E6BF1">
            <w:pPr>
              <w:spacing w:after="0"/>
            </w:pPr>
            <w:hyperlink r:id="rId57">
              <w:r>
                <w:rPr>
                  <w:color w:val="0563C1"/>
                  <w:u w:val="single"/>
                </w:rPr>
                <w:t>Peer-reviewed full text</w:t>
              </w:r>
            </w:hyperlink>
            <w:r w:rsidR="00000000">
              <w:rPr>
                <w:sz w:val="14"/>
              </w:rPr>
              <w:t xml:space="preserve"> </w:t>
            </w:r>
            <w:hyperlink r:id="rId58">
              <w:r>
                <w:rPr>
                  <w:color w:val="0563C1"/>
                  <w:u w:val="single"/>
                </w:rPr>
                <w:t>PMID 33868265</w:t>
              </w:r>
            </w:hyperlink>
          </w:p>
        </w:tc>
      </w:tr>
      <w:tr w:rsidR="000E6BF1" w14:paraId="0B191F35"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E4C458C" w14:textId="77777777" w:rsidR="000E6BF1" w:rsidRDefault="00000000">
            <w:pPr>
              <w:spacing w:after="0"/>
            </w:pPr>
            <w:r>
              <w:rPr>
                <w:sz w:val="14"/>
              </w:rPr>
              <w:t>RAC2</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F14C99A" w14:textId="77777777" w:rsidR="000E6BF1" w:rsidRDefault="00000000">
            <w:pPr>
              <w:spacing w:after="0"/>
            </w:pPr>
            <w:r>
              <w:rPr>
                <w:sz w:val="14"/>
              </w:rPr>
              <w:t>NOX2 small GTPase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B86E631" w14:textId="77777777" w:rsidR="000E6BF1" w:rsidRDefault="00000000">
            <w:pPr>
              <w:spacing w:after="0"/>
            </w:pPr>
            <w:r>
              <w:rPr>
                <w:sz w:val="14"/>
              </w:rPr>
              <w:t>GTP-bound RAC supports oxidase assembly and activation.</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139F06C" w14:textId="77777777" w:rsidR="000E6BF1" w:rsidRDefault="00000000">
            <w:pPr>
              <w:spacing w:after="0"/>
            </w:pPr>
            <w:r>
              <w:rPr>
                <w:sz w:val="14"/>
              </w:rPr>
              <w:t>Raises NADPH demand/ROS; signaling context matters</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6C91436" w14:textId="77777777" w:rsidR="000E6BF1" w:rsidRDefault="000E6BF1">
            <w:pPr>
              <w:spacing w:after="0"/>
            </w:pPr>
            <w:hyperlink r:id="rId59">
              <w:r>
                <w:rPr>
                  <w:color w:val="0563C1"/>
                  <w:u w:val="single"/>
                </w:rPr>
                <w:t>Peer-reviewed full text</w:t>
              </w:r>
            </w:hyperlink>
            <w:r w:rsidR="00000000">
              <w:rPr>
                <w:sz w:val="14"/>
              </w:rPr>
              <w:t xml:space="preserve"> </w:t>
            </w:r>
            <w:hyperlink r:id="rId60">
              <w:r>
                <w:rPr>
                  <w:color w:val="0563C1"/>
                  <w:u w:val="single"/>
                </w:rPr>
                <w:t>PMID 33868265</w:t>
              </w:r>
            </w:hyperlink>
          </w:p>
        </w:tc>
      </w:tr>
      <w:tr w:rsidR="000E6BF1" w14:paraId="1B1958D6"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DCEED16" w14:textId="77777777" w:rsidR="000E6BF1" w:rsidRDefault="00000000">
            <w:pPr>
              <w:spacing w:after="0"/>
            </w:pPr>
            <w:r>
              <w:rPr>
                <w:sz w:val="14"/>
              </w:rPr>
              <w:t>PREX1</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66A495B" w14:textId="77777777" w:rsidR="000E6BF1" w:rsidRDefault="00000000">
            <w:pPr>
              <w:spacing w:after="0"/>
            </w:pPr>
            <w:r>
              <w:rPr>
                <w:sz w:val="14"/>
              </w:rPr>
              <w:t>RAC guanine-nucleotide exchange factor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68D20D9" w14:textId="77777777" w:rsidR="000E6BF1" w:rsidRDefault="00000000">
            <w:pPr>
              <w:spacing w:after="0"/>
            </w:pPr>
            <w:r>
              <w:rPr>
                <w:sz w:val="14"/>
              </w:rPr>
              <w:t>Links PI3K lipid signals to RAC activation.</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F31D0D1" w14:textId="77777777" w:rsidR="000E6BF1" w:rsidRDefault="00000000">
            <w:pPr>
              <w:spacing w:after="0"/>
            </w:pPr>
            <w:r>
              <w:rPr>
                <w:sz w:val="14"/>
              </w:rPr>
              <w:t>Supports NOX2/actin signaling</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524AD4D" w14:textId="77777777" w:rsidR="000E6BF1" w:rsidRDefault="000E6BF1">
            <w:pPr>
              <w:spacing w:after="0"/>
            </w:pPr>
            <w:hyperlink r:id="rId61">
              <w:r>
                <w:rPr>
                  <w:color w:val="0563C1"/>
                  <w:u w:val="single"/>
                </w:rPr>
                <w:t>Peer-reviewed paper</w:t>
              </w:r>
            </w:hyperlink>
            <w:r w:rsidR="00000000">
              <w:rPr>
                <w:sz w:val="14"/>
              </w:rPr>
              <w:t xml:space="preserve"> </w:t>
            </w:r>
            <w:hyperlink r:id="rId62">
              <w:r>
                <w:rPr>
                  <w:color w:val="0563C1"/>
                  <w:u w:val="single"/>
                </w:rPr>
                <w:t>PMID 33868265</w:t>
              </w:r>
            </w:hyperlink>
          </w:p>
        </w:tc>
      </w:tr>
      <w:tr w:rsidR="000E6BF1" w14:paraId="4379F53B"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671D8F1" w14:textId="77777777" w:rsidR="000E6BF1" w:rsidRDefault="00000000">
            <w:pPr>
              <w:spacing w:after="0"/>
            </w:pPr>
            <w:r>
              <w:rPr>
                <w:sz w:val="14"/>
              </w:rPr>
              <w:t>PIK3CG</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89C6F2A" w14:textId="77777777" w:rsidR="000E6BF1" w:rsidRDefault="00000000">
            <w:pPr>
              <w:spacing w:after="0"/>
            </w:pPr>
            <w:r>
              <w:rPr>
                <w:sz w:val="14"/>
              </w:rPr>
              <w:t>PI3Kγ</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4618164" w14:textId="77777777" w:rsidR="000E6BF1" w:rsidRDefault="00000000">
            <w:pPr>
              <w:spacing w:after="0"/>
            </w:pPr>
            <w:r>
              <w:rPr>
                <w:sz w:val="14"/>
              </w:rPr>
              <w:t>Produces PIP3 to recruit PREX/VAV and downstream metabolic-signaling machinery.</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BAD98B8" w14:textId="77777777" w:rsidR="000E6BF1" w:rsidRDefault="00000000">
            <w:pPr>
              <w:spacing w:after="0"/>
            </w:pPr>
            <w:r>
              <w:rPr>
                <w:sz w:val="14"/>
              </w:rPr>
              <w:t>Supports NOX2 activation; context-dependent</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DC897F1" w14:textId="77777777" w:rsidR="000E6BF1" w:rsidRDefault="000E6BF1">
            <w:pPr>
              <w:spacing w:after="0"/>
            </w:pPr>
            <w:hyperlink r:id="rId63">
              <w:r>
                <w:rPr>
                  <w:color w:val="0563C1"/>
                  <w:u w:val="single"/>
                </w:rPr>
                <w:t>Peer-reviewed paper</w:t>
              </w:r>
            </w:hyperlink>
            <w:r w:rsidR="00000000">
              <w:rPr>
                <w:sz w:val="14"/>
              </w:rPr>
              <w:t xml:space="preserve"> </w:t>
            </w:r>
            <w:hyperlink r:id="rId64">
              <w:r>
                <w:rPr>
                  <w:color w:val="0563C1"/>
                  <w:u w:val="single"/>
                </w:rPr>
                <w:t>Peer-reviewed paper</w:t>
              </w:r>
            </w:hyperlink>
          </w:p>
        </w:tc>
      </w:tr>
      <w:tr w:rsidR="000E6BF1" w14:paraId="3A9545BA"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8C1BBDD" w14:textId="77777777" w:rsidR="000E6BF1" w:rsidRDefault="00000000">
            <w:pPr>
              <w:spacing w:after="0"/>
            </w:pPr>
            <w:r>
              <w:rPr>
                <w:sz w:val="14"/>
              </w:rPr>
              <w:t>PLCB2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B50E88B" w14:textId="77777777" w:rsidR="000E6BF1" w:rsidRDefault="00000000">
            <w:pPr>
              <w:spacing w:after="0"/>
            </w:pPr>
            <w:r>
              <w:rPr>
                <w:sz w:val="14"/>
              </w:rPr>
              <w:t>Phospholipase Cβ2</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9F625D6" w14:textId="77777777" w:rsidR="000E6BF1" w:rsidRDefault="00000000">
            <w:pPr>
              <w:spacing w:after="0"/>
            </w:pPr>
            <w:r>
              <w:rPr>
                <w:sz w:val="14"/>
              </w:rPr>
              <w:t>Generates DAG and IP3, linking receptor signaling to PKC and Ca2+.</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3168100" w14:textId="77777777" w:rsidR="000E6BF1" w:rsidRDefault="00000000">
            <w:pPr>
              <w:spacing w:after="0"/>
            </w:pPr>
            <w:r>
              <w:rPr>
                <w:sz w:val="14"/>
              </w:rPr>
              <w:t>Supports oxidase activation</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15F92F3" w14:textId="77777777" w:rsidR="000E6BF1" w:rsidRDefault="000E6BF1">
            <w:pPr>
              <w:spacing w:after="0"/>
            </w:pPr>
            <w:hyperlink r:id="rId65">
              <w:r>
                <w:rPr>
                  <w:color w:val="0563C1"/>
                  <w:u w:val="single"/>
                </w:rPr>
                <w:t>Peer-reviewed paper</w:t>
              </w:r>
            </w:hyperlink>
            <w:r w:rsidR="00000000">
              <w:rPr>
                <w:sz w:val="14"/>
              </w:rPr>
              <w:t xml:space="preserve"> </w:t>
            </w:r>
            <w:hyperlink r:id="rId66">
              <w:r>
                <w:rPr>
                  <w:color w:val="0563C1"/>
                  <w:u w:val="single"/>
                </w:rPr>
                <w:t>Peer-reviewed full text</w:t>
              </w:r>
            </w:hyperlink>
          </w:p>
        </w:tc>
      </w:tr>
      <w:tr w:rsidR="000E6BF1" w14:paraId="5864D7BF"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BA0B50F" w14:textId="77777777" w:rsidR="000E6BF1" w:rsidRDefault="00000000">
            <w:pPr>
              <w:spacing w:after="0"/>
            </w:pPr>
            <w:r>
              <w:rPr>
                <w:sz w:val="14"/>
              </w:rPr>
              <w:t>PRKCD</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F4EB4AD" w14:textId="77777777" w:rsidR="000E6BF1" w:rsidRDefault="00000000">
            <w:pPr>
              <w:spacing w:after="0"/>
            </w:pPr>
            <w:r>
              <w:rPr>
                <w:sz w:val="14"/>
              </w:rPr>
              <w:t>Protein kinase Cδ</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9761B79" w14:textId="77777777" w:rsidR="000E6BF1" w:rsidRDefault="00000000">
            <w:pPr>
              <w:spacing w:after="0"/>
            </w:pPr>
            <w:r>
              <w:rPr>
                <w:sz w:val="14"/>
              </w:rPr>
              <w:t>Phosphorylates oxidase organizers and also participates in stress/death signaling.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308EDDD" w14:textId="77777777" w:rsidR="000E6BF1" w:rsidRDefault="00000000">
            <w:pPr>
              <w:spacing w:after="0"/>
            </w:pPr>
            <w:r>
              <w:rPr>
                <w:sz w:val="14"/>
              </w:rPr>
              <w:t>Injury-leaning when sustained</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89A0955" w14:textId="77777777" w:rsidR="000E6BF1" w:rsidRDefault="000E6BF1">
            <w:pPr>
              <w:spacing w:after="0"/>
            </w:pPr>
            <w:hyperlink r:id="rId67">
              <w:r>
                <w:rPr>
                  <w:color w:val="0563C1"/>
                  <w:u w:val="single"/>
                </w:rPr>
                <w:t>Peer-reviewed paper</w:t>
              </w:r>
            </w:hyperlink>
            <w:r w:rsidR="00000000">
              <w:rPr>
                <w:sz w:val="14"/>
              </w:rPr>
              <w:t xml:space="preserve"> </w:t>
            </w:r>
            <w:hyperlink r:id="rId68">
              <w:r>
                <w:rPr>
                  <w:color w:val="0563C1"/>
                  <w:u w:val="single"/>
                </w:rPr>
                <w:t>Peer-reviewed full text</w:t>
              </w:r>
            </w:hyperlink>
          </w:p>
        </w:tc>
      </w:tr>
      <w:tr w:rsidR="000E6BF1" w14:paraId="0B7E3508"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FB59A5F" w14:textId="77777777" w:rsidR="000E6BF1" w:rsidRDefault="00000000">
            <w:pPr>
              <w:spacing w:after="0"/>
            </w:pPr>
            <w:r>
              <w:rPr>
                <w:sz w:val="14"/>
              </w:rPr>
              <w:t>VAV1</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4EFFC23" w14:textId="77777777" w:rsidR="000E6BF1" w:rsidRDefault="00000000">
            <w:pPr>
              <w:spacing w:after="0"/>
            </w:pPr>
            <w:r>
              <w:rPr>
                <w:sz w:val="14"/>
              </w:rPr>
              <w:t>RAC/Rho exchange factor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5A8AB72" w14:textId="77777777" w:rsidR="000E6BF1" w:rsidRDefault="00000000">
            <w:pPr>
              <w:spacing w:after="0"/>
            </w:pPr>
            <w:r>
              <w:rPr>
                <w:sz w:val="14"/>
              </w:rPr>
              <w:t>Couples receptor/tyrosine-kinase signals to RAC activation.</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2C6215D" w14:textId="77777777" w:rsidR="000E6BF1" w:rsidRDefault="00000000">
            <w:pPr>
              <w:spacing w:after="0"/>
            </w:pPr>
            <w:r>
              <w:rPr>
                <w:sz w:val="14"/>
              </w:rPr>
              <w:t>Supports NOX2/actin signaling</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5FAA44E" w14:textId="77777777" w:rsidR="000E6BF1" w:rsidRDefault="000E6BF1">
            <w:pPr>
              <w:spacing w:after="0"/>
            </w:pPr>
            <w:hyperlink r:id="rId69">
              <w:r>
                <w:rPr>
                  <w:color w:val="0563C1"/>
                  <w:u w:val="single"/>
                </w:rPr>
                <w:t>Peer-reviewed full text</w:t>
              </w:r>
            </w:hyperlink>
            <w:r w:rsidR="00000000">
              <w:rPr>
                <w:sz w:val="14"/>
              </w:rPr>
              <w:t xml:space="preserve"> </w:t>
            </w:r>
            <w:hyperlink r:id="rId70">
              <w:r>
                <w:rPr>
                  <w:color w:val="0563C1"/>
                  <w:u w:val="single"/>
                </w:rPr>
                <w:t>Peer-reviewed paper</w:t>
              </w:r>
            </w:hyperlink>
          </w:p>
        </w:tc>
      </w:tr>
      <w:tr w:rsidR="000E6BF1" w14:paraId="70C28822"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3C52E94" w14:textId="77777777" w:rsidR="000E6BF1" w:rsidRDefault="00000000">
            <w:pPr>
              <w:spacing w:after="0"/>
            </w:pPr>
            <w:r>
              <w:rPr>
                <w:sz w:val="14"/>
              </w:rPr>
              <w:t>FGR</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E989FDC" w14:textId="77777777" w:rsidR="000E6BF1" w:rsidRDefault="00000000">
            <w:pPr>
              <w:spacing w:after="0"/>
            </w:pPr>
            <w:r>
              <w:rPr>
                <w:sz w:val="14"/>
              </w:rPr>
              <w:t>Src-family kinase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0398854" w14:textId="77777777" w:rsidR="000E6BF1" w:rsidRDefault="00000000">
            <w:pPr>
              <w:spacing w:after="0"/>
            </w:pPr>
            <w:r>
              <w:rPr>
                <w:sz w:val="14"/>
              </w:rPr>
              <w:t>Can organize receptor and oxidase signaling upstream of RAC/PKC modules.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A2FA3FB" w14:textId="77777777" w:rsidR="000E6BF1" w:rsidRDefault="00000000">
            <w:pPr>
              <w:spacing w:after="0"/>
            </w:pPr>
            <w:r>
              <w:rPr>
                <w:sz w:val="14"/>
              </w:rPr>
              <w:t>Supports stress signaling</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0B2A721" w14:textId="77777777" w:rsidR="000E6BF1" w:rsidRDefault="000E6BF1">
            <w:pPr>
              <w:spacing w:after="0"/>
            </w:pPr>
            <w:hyperlink r:id="rId71">
              <w:r>
                <w:rPr>
                  <w:color w:val="0563C1"/>
                  <w:u w:val="single"/>
                </w:rPr>
                <w:t>Peer-reviewed full text</w:t>
              </w:r>
            </w:hyperlink>
            <w:r w:rsidR="00000000">
              <w:rPr>
                <w:sz w:val="14"/>
              </w:rPr>
              <w:t xml:space="preserve"> </w:t>
            </w:r>
            <w:hyperlink r:id="rId72">
              <w:r>
                <w:rPr>
                  <w:color w:val="0563C1"/>
                  <w:u w:val="single"/>
                </w:rPr>
                <w:t>PMID 30344041</w:t>
              </w:r>
            </w:hyperlink>
          </w:p>
        </w:tc>
      </w:tr>
      <w:tr w:rsidR="000E6BF1" w14:paraId="75276E46"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1ED76CF" w14:textId="77777777" w:rsidR="000E6BF1" w:rsidRDefault="00000000">
            <w:pPr>
              <w:spacing w:after="0"/>
            </w:pPr>
            <w:r>
              <w:rPr>
                <w:sz w:val="14"/>
              </w:rPr>
              <w:t>S100A8</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DF3EA25" w14:textId="77777777" w:rsidR="000E6BF1" w:rsidRDefault="00000000">
            <w:pPr>
              <w:spacing w:after="0"/>
            </w:pPr>
            <w:r>
              <w:rPr>
                <w:sz w:val="14"/>
              </w:rPr>
              <w:t>DAMP and oxidase amplifier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16A6C86" w14:textId="77777777" w:rsidR="000E6BF1" w:rsidRDefault="00000000">
            <w:pPr>
              <w:spacing w:after="0"/>
            </w:pPr>
            <w:r>
              <w:rPr>
                <w:sz w:val="14"/>
              </w:rPr>
              <w:t>Heterodimerizes with S100A9 and can amplify RAGE/TLR-linked oxidative signaling.</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AD23DC6" w14:textId="77777777" w:rsidR="000E6BF1" w:rsidRDefault="00000000">
            <w:pPr>
              <w:spacing w:after="0"/>
            </w:pPr>
            <w:r>
              <w:rPr>
                <w:sz w:val="14"/>
              </w:rPr>
              <w:t>Injury-amplifying when extracellular</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E98C0C0" w14:textId="77777777" w:rsidR="000E6BF1" w:rsidRDefault="000E6BF1">
            <w:pPr>
              <w:spacing w:after="0"/>
            </w:pPr>
            <w:hyperlink r:id="rId73">
              <w:r>
                <w:rPr>
                  <w:color w:val="0563C1"/>
                  <w:u w:val="single"/>
                </w:rPr>
                <w:t>Peer-reviewed full text</w:t>
              </w:r>
            </w:hyperlink>
            <w:r w:rsidR="00000000">
              <w:rPr>
                <w:sz w:val="14"/>
              </w:rPr>
              <w:t xml:space="preserve"> </w:t>
            </w:r>
            <w:hyperlink r:id="rId74">
              <w:r>
                <w:rPr>
                  <w:color w:val="0563C1"/>
                  <w:u w:val="single"/>
                </w:rPr>
                <w:t>PMID 30344041</w:t>
              </w:r>
            </w:hyperlink>
          </w:p>
        </w:tc>
      </w:tr>
      <w:tr w:rsidR="000E6BF1" w14:paraId="22B3468B"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4BE5C42" w14:textId="77777777" w:rsidR="000E6BF1" w:rsidRDefault="00000000">
            <w:pPr>
              <w:spacing w:after="0"/>
            </w:pPr>
            <w:r>
              <w:rPr>
                <w:sz w:val="14"/>
              </w:rPr>
              <w:t>S100A9</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5E607F3" w14:textId="77777777" w:rsidR="000E6BF1" w:rsidRDefault="00000000">
            <w:pPr>
              <w:spacing w:after="0"/>
            </w:pPr>
            <w:r>
              <w:rPr>
                <w:sz w:val="14"/>
              </w:rPr>
              <w:t>DAMP and oxidase amplifier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4CBC30E" w14:textId="77777777" w:rsidR="000E6BF1" w:rsidRDefault="00000000">
            <w:pPr>
              <w:spacing w:after="0"/>
            </w:pPr>
            <w:r>
              <w:rPr>
                <w:sz w:val="14"/>
              </w:rPr>
              <w:t>Partners with S100A8; can sustain inflammatory and ROS-generating signaling.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806B865" w14:textId="77777777" w:rsidR="000E6BF1" w:rsidRDefault="00000000">
            <w:pPr>
              <w:spacing w:after="0"/>
            </w:pPr>
            <w:r>
              <w:rPr>
                <w:sz w:val="14"/>
              </w:rPr>
              <w:t>Injury-amplifying when extracellular</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4DCB909" w14:textId="77777777" w:rsidR="000E6BF1" w:rsidRDefault="000E6BF1">
            <w:pPr>
              <w:spacing w:after="0"/>
            </w:pPr>
            <w:hyperlink r:id="rId75">
              <w:r>
                <w:rPr>
                  <w:color w:val="0563C1"/>
                  <w:u w:val="single"/>
                </w:rPr>
                <w:t>Peer-reviewed full text</w:t>
              </w:r>
            </w:hyperlink>
            <w:r w:rsidR="00000000">
              <w:rPr>
                <w:sz w:val="14"/>
              </w:rPr>
              <w:t xml:space="preserve"> </w:t>
            </w:r>
            <w:hyperlink r:id="rId76">
              <w:r>
                <w:rPr>
                  <w:color w:val="0563C1"/>
                  <w:u w:val="single"/>
                </w:rPr>
                <w:t>PMID 30344041</w:t>
              </w:r>
            </w:hyperlink>
          </w:p>
        </w:tc>
      </w:tr>
      <w:tr w:rsidR="000E6BF1" w14:paraId="562AADC8"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2A605C8" w14:textId="77777777" w:rsidR="000E6BF1" w:rsidRDefault="00000000">
            <w:pPr>
              <w:spacing w:after="0"/>
            </w:pPr>
            <w:r>
              <w:rPr>
                <w:sz w:val="14"/>
              </w:rPr>
              <w:t>XDH</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638A7D7" w14:textId="77777777" w:rsidR="000E6BF1" w:rsidRDefault="00000000">
            <w:pPr>
              <w:spacing w:after="0"/>
            </w:pPr>
            <w:r>
              <w:rPr>
                <w:sz w:val="14"/>
              </w:rPr>
              <w:t>Purine oxidation / ROS source</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68BC950" w14:textId="77777777" w:rsidR="000E6BF1" w:rsidRDefault="00000000">
            <w:pPr>
              <w:spacing w:after="0"/>
            </w:pPr>
            <w:r>
              <w:rPr>
                <w:sz w:val="14"/>
              </w:rPr>
              <w:t>Xanthine oxidoreductase produces urate and can generate ROS depending on redox state.</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BB6AC3F" w14:textId="77777777" w:rsidR="000E6BF1" w:rsidRDefault="00000000">
            <w:pPr>
              <w:spacing w:after="0"/>
            </w:pPr>
            <w:r>
              <w:rPr>
                <w:sz w:val="14"/>
              </w:rPr>
              <w:t>Potential additional ROS burden</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9FAD0D7" w14:textId="77777777" w:rsidR="000E6BF1" w:rsidRDefault="000E6BF1">
            <w:pPr>
              <w:spacing w:after="0"/>
            </w:pPr>
            <w:hyperlink r:id="rId77">
              <w:r>
                <w:rPr>
                  <w:color w:val="0563C1"/>
                  <w:u w:val="single"/>
                </w:rPr>
                <w:t>Peer-reviewed full text</w:t>
              </w:r>
            </w:hyperlink>
            <w:r w:rsidR="00000000">
              <w:rPr>
                <w:sz w:val="14"/>
              </w:rPr>
              <w:t xml:space="preserve"> </w:t>
            </w:r>
            <w:hyperlink r:id="rId78">
              <w:r>
                <w:rPr>
                  <w:color w:val="0563C1"/>
                  <w:u w:val="single"/>
                </w:rPr>
                <w:t>PMID 25873309</w:t>
              </w:r>
            </w:hyperlink>
          </w:p>
        </w:tc>
      </w:tr>
      <w:tr w:rsidR="000E6BF1" w14:paraId="2B1A1149"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E59BE27" w14:textId="77777777" w:rsidR="000E6BF1" w:rsidRDefault="00000000">
            <w:pPr>
              <w:spacing w:after="0"/>
            </w:pPr>
            <w:r>
              <w:rPr>
                <w:sz w:val="14"/>
              </w:rPr>
              <w:t>LCN2</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3E0B89C" w14:textId="77777777" w:rsidR="000E6BF1" w:rsidRDefault="00000000">
            <w:pPr>
              <w:spacing w:after="0"/>
            </w:pPr>
            <w:r>
              <w:rPr>
                <w:sz w:val="14"/>
              </w:rPr>
              <w:t>Iron-binding stress protein</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F16F55D" w14:textId="77777777" w:rsidR="000E6BF1" w:rsidRDefault="00000000">
            <w:pPr>
              <w:spacing w:after="0"/>
            </w:pPr>
            <w:r>
              <w:rPr>
                <w:sz w:val="14"/>
              </w:rPr>
              <w:t>Controls siderophore-bound iron and can directly alter neuronal survival and morphology.</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ECFCF92" w14:textId="77777777" w:rsidR="000E6BF1" w:rsidRDefault="00000000">
            <w:pPr>
              <w:spacing w:after="0"/>
            </w:pPr>
            <w:r>
              <w:rPr>
                <w:sz w:val="14"/>
              </w:rPr>
              <w:t>Context-dependent; extracellular excess often injurious</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55AE543" w14:textId="77777777" w:rsidR="000E6BF1" w:rsidRDefault="000E6BF1">
            <w:pPr>
              <w:spacing w:after="0"/>
            </w:pPr>
            <w:hyperlink r:id="rId79">
              <w:r>
                <w:rPr>
                  <w:color w:val="0563C1"/>
                  <w:u w:val="single"/>
                </w:rPr>
                <w:t>PMID 22038922</w:t>
              </w:r>
            </w:hyperlink>
            <w:r w:rsidR="00000000">
              <w:rPr>
                <w:sz w:val="14"/>
              </w:rPr>
              <w:t xml:space="preserve"> </w:t>
            </w:r>
            <w:hyperlink r:id="rId80">
              <w:r>
                <w:rPr>
                  <w:color w:val="0563C1"/>
                  <w:u w:val="single"/>
                </w:rPr>
                <w:t>PMID 23431168</w:t>
              </w:r>
            </w:hyperlink>
          </w:p>
        </w:tc>
      </w:tr>
      <w:tr w:rsidR="000E6BF1" w14:paraId="3B465194"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215DE1C" w14:textId="77777777" w:rsidR="000E6BF1" w:rsidRDefault="00000000">
            <w:pPr>
              <w:spacing w:after="0"/>
            </w:pPr>
            <w:r>
              <w:rPr>
                <w:sz w:val="14"/>
              </w:rPr>
              <w:t>HP</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BF6A1AD" w14:textId="77777777" w:rsidR="000E6BF1" w:rsidRDefault="00000000">
            <w:pPr>
              <w:spacing w:after="0"/>
            </w:pPr>
            <w:r>
              <w:rPr>
                <w:sz w:val="14"/>
              </w:rPr>
              <w:t>Hemoglobin/heme buffering</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FA54AF3" w14:textId="77777777" w:rsidR="000E6BF1" w:rsidRDefault="00000000">
            <w:pPr>
              <w:spacing w:after="0"/>
            </w:pPr>
            <w:r>
              <w:rPr>
                <w:sz w:val="14"/>
              </w:rPr>
              <w:t>Binds extracellular hemoglobin and limits heme-iron oxidative chemistry.</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3395C12" w14:textId="77777777" w:rsidR="000E6BF1" w:rsidRDefault="00000000">
            <w:pPr>
              <w:spacing w:after="0"/>
            </w:pPr>
            <w:r>
              <w:rPr>
                <w:sz w:val="14"/>
              </w:rPr>
              <w:t>Potentially protective compensation</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A8DC188" w14:textId="77777777" w:rsidR="000E6BF1" w:rsidRDefault="000E6BF1">
            <w:pPr>
              <w:spacing w:after="0"/>
            </w:pPr>
            <w:hyperlink r:id="rId81">
              <w:r>
                <w:rPr>
                  <w:color w:val="0563C1"/>
                  <w:u w:val="single"/>
                </w:rPr>
                <w:t>Peer-reviewed paper</w:t>
              </w:r>
            </w:hyperlink>
            <w:r w:rsidR="00000000">
              <w:rPr>
                <w:sz w:val="14"/>
              </w:rPr>
              <w:t xml:space="preserve"> </w:t>
            </w:r>
            <w:hyperlink r:id="rId82">
              <w:r>
                <w:rPr>
                  <w:color w:val="0563C1"/>
                  <w:u w:val="single"/>
                </w:rPr>
                <w:t>Peer-reviewed full text</w:t>
              </w:r>
            </w:hyperlink>
          </w:p>
        </w:tc>
      </w:tr>
      <w:tr w:rsidR="000E6BF1" w14:paraId="328B44EE"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3B47D13" w14:textId="77777777" w:rsidR="000E6BF1" w:rsidRDefault="00000000">
            <w:pPr>
              <w:spacing w:after="0"/>
            </w:pPr>
            <w:r>
              <w:rPr>
                <w:sz w:val="14"/>
              </w:rPr>
              <w:t>LTF</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E2F015F" w14:textId="77777777" w:rsidR="000E6BF1" w:rsidRDefault="00000000">
            <w:pPr>
              <w:spacing w:after="0"/>
            </w:pPr>
            <w:r>
              <w:rPr>
                <w:sz w:val="14"/>
              </w:rPr>
              <w:t>Iron sequestration</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C544738" w14:textId="77777777" w:rsidR="000E6BF1" w:rsidRDefault="00000000">
            <w:pPr>
              <w:spacing w:after="0"/>
            </w:pPr>
            <w:r>
              <w:rPr>
                <w:sz w:val="14"/>
              </w:rPr>
              <w:t>Binds iron with high affinity and can limit redox-active iron availability.</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83D018B" w14:textId="77777777" w:rsidR="000E6BF1" w:rsidRDefault="00000000">
            <w:pPr>
              <w:spacing w:after="0"/>
            </w:pPr>
            <w:r>
              <w:rPr>
                <w:sz w:val="14"/>
              </w:rPr>
              <w:t>Potentially protective compensation</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770EEF0" w14:textId="77777777" w:rsidR="000E6BF1" w:rsidRDefault="000E6BF1">
            <w:pPr>
              <w:spacing w:after="0"/>
            </w:pPr>
            <w:hyperlink r:id="rId83">
              <w:r>
                <w:rPr>
                  <w:color w:val="0563C1"/>
                  <w:u w:val="single"/>
                </w:rPr>
                <w:t>Peer-reviewed full text</w:t>
              </w:r>
            </w:hyperlink>
            <w:r w:rsidR="00000000">
              <w:rPr>
                <w:sz w:val="14"/>
              </w:rPr>
              <w:t xml:space="preserve"> </w:t>
            </w:r>
            <w:hyperlink r:id="rId84">
              <w:r>
                <w:rPr>
                  <w:color w:val="0563C1"/>
                  <w:u w:val="single"/>
                </w:rPr>
                <w:t>PMID 25873309</w:t>
              </w:r>
            </w:hyperlink>
          </w:p>
        </w:tc>
      </w:tr>
      <w:tr w:rsidR="000E6BF1" w14:paraId="4980A39B"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3E02CD7" w14:textId="77777777" w:rsidR="000E6BF1" w:rsidRDefault="00000000">
            <w:pPr>
              <w:spacing w:after="0"/>
            </w:pPr>
            <w:r>
              <w:rPr>
                <w:sz w:val="14"/>
              </w:rPr>
              <w:t>ABCC3</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A24E76E" w14:textId="77777777" w:rsidR="000E6BF1" w:rsidRDefault="00000000">
            <w:pPr>
              <w:spacing w:after="0"/>
            </w:pPr>
            <w:r>
              <w:rPr>
                <w:sz w:val="14"/>
              </w:rPr>
              <w:t>Conjugate efflux transporter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4CF5110" w14:textId="77777777" w:rsidR="000E6BF1" w:rsidRDefault="00000000">
            <w:pPr>
              <w:spacing w:after="0"/>
            </w:pPr>
            <w:r>
              <w:rPr>
                <w:sz w:val="14"/>
              </w:rPr>
              <w:t>Exports glucuronide, sulfate and glutathione conjugates and selected organic anions.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0658E15" w14:textId="77777777" w:rsidR="000E6BF1" w:rsidRDefault="00000000">
            <w:pPr>
              <w:spacing w:after="0"/>
            </w:pPr>
            <w:r>
              <w:rPr>
                <w:sz w:val="14"/>
              </w:rPr>
              <w:t>Potential detoxification support</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308891C" w14:textId="77777777" w:rsidR="000E6BF1" w:rsidRDefault="000E6BF1">
            <w:pPr>
              <w:spacing w:after="0"/>
            </w:pPr>
            <w:hyperlink r:id="rId85">
              <w:r>
                <w:rPr>
                  <w:color w:val="0563C1"/>
                  <w:u w:val="single"/>
                </w:rPr>
                <w:t>Peer-reviewed full text</w:t>
              </w:r>
            </w:hyperlink>
          </w:p>
        </w:tc>
      </w:tr>
      <w:tr w:rsidR="000E6BF1" w14:paraId="22AA03F1"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7114022" w14:textId="77777777" w:rsidR="000E6BF1" w:rsidRDefault="00000000">
            <w:pPr>
              <w:spacing w:after="0"/>
            </w:pPr>
            <w:r>
              <w:rPr>
                <w:sz w:val="14"/>
              </w:rPr>
              <w:t>NPC2</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BD6357D" w14:textId="77777777" w:rsidR="000E6BF1" w:rsidRDefault="00000000">
            <w:pPr>
              <w:spacing w:after="0"/>
            </w:pPr>
            <w:r>
              <w:rPr>
                <w:sz w:val="14"/>
              </w:rPr>
              <w:t>Lysosomal cholesterol transfer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3CECDC9" w14:textId="77777777" w:rsidR="000E6BF1" w:rsidRDefault="00000000">
            <w:pPr>
              <w:spacing w:after="0"/>
            </w:pPr>
            <w:r>
              <w:rPr>
                <w:sz w:val="14"/>
              </w:rPr>
              <w:t>Hands luminal cholesterol to NPC1 for export from lysosomes.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FB95589" w14:textId="77777777" w:rsidR="000E6BF1" w:rsidRDefault="00000000">
            <w:pPr>
              <w:spacing w:after="0"/>
            </w:pPr>
            <w:r>
              <w:rPr>
                <w:sz w:val="14"/>
              </w:rPr>
              <w:t>Protective if trafficking is functional</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413477A" w14:textId="77777777" w:rsidR="000E6BF1" w:rsidRDefault="000E6BF1">
            <w:pPr>
              <w:spacing w:after="0"/>
            </w:pPr>
            <w:hyperlink r:id="rId86">
              <w:r>
                <w:rPr>
                  <w:color w:val="0563C1"/>
                  <w:u w:val="single"/>
                </w:rPr>
                <w:t>PMID 15465426</w:t>
              </w:r>
            </w:hyperlink>
            <w:r w:rsidR="00000000">
              <w:rPr>
                <w:sz w:val="14"/>
              </w:rPr>
              <w:t xml:space="preserve"> </w:t>
            </w:r>
            <w:hyperlink r:id="rId87">
              <w:r>
                <w:rPr>
                  <w:color w:val="0563C1"/>
                  <w:u w:val="single"/>
                </w:rPr>
                <w:t>PMID 34592985</w:t>
              </w:r>
            </w:hyperlink>
          </w:p>
        </w:tc>
      </w:tr>
      <w:tr w:rsidR="000E6BF1" w14:paraId="790CAA84"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F65E853" w14:textId="77777777" w:rsidR="000E6BF1" w:rsidRDefault="00000000">
            <w:pPr>
              <w:spacing w:after="0"/>
            </w:pPr>
            <w:r>
              <w:rPr>
                <w:sz w:val="14"/>
              </w:rPr>
              <w:lastRenderedPageBreak/>
              <w:t>PSAP</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38EA5B3" w14:textId="77777777" w:rsidR="000E6BF1" w:rsidRDefault="00000000">
            <w:pPr>
              <w:spacing w:after="0"/>
            </w:pPr>
            <w:r>
              <w:rPr>
                <w:sz w:val="14"/>
              </w:rPr>
              <w:t>Saposin precursor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2778D16" w14:textId="77777777" w:rsidR="000E6BF1" w:rsidRDefault="00000000">
            <w:pPr>
              <w:spacing w:after="0"/>
            </w:pPr>
            <w:r>
              <w:rPr>
                <w:sz w:val="14"/>
              </w:rPr>
              <w:t>Generates saposins that activate lysosomal glycosphingolipid hydrolases; also chaperones GRN trafficking.</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F6C3C4A" w14:textId="77777777" w:rsidR="000E6BF1" w:rsidRDefault="00000000">
            <w:pPr>
              <w:spacing w:after="0"/>
            </w:pPr>
            <w:r>
              <w:rPr>
                <w:sz w:val="14"/>
              </w:rPr>
              <w:t>Protective lysosomal support</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651BEAC" w14:textId="77777777" w:rsidR="000E6BF1" w:rsidRDefault="000E6BF1">
            <w:pPr>
              <w:spacing w:after="0"/>
            </w:pPr>
            <w:hyperlink r:id="rId88">
              <w:r>
                <w:rPr>
                  <w:color w:val="0563C1"/>
                  <w:u w:val="single"/>
                </w:rPr>
                <w:t>PMID 34031600</w:t>
              </w:r>
            </w:hyperlink>
            <w:r w:rsidR="00000000">
              <w:rPr>
                <w:sz w:val="14"/>
              </w:rPr>
              <w:t xml:space="preserve"> </w:t>
            </w:r>
            <w:hyperlink r:id="rId89">
              <w:r>
                <w:rPr>
                  <w:color w:val="0563C1"/>
                  <w:u w:val="single"/>
                </w:rPr>
                <w:t>Peer-reviewed paper</w:t>
              </w:r>
            </w:hyperlink>
          </w:p>
        </w:tc>
      </w:tr>
      <w:tr w:rsidR="000E6BF1" w14:paraId="4F69BDF1"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5F68894" w14:textId="77777777" w:rsidR="000E6BF1" w:rsidRDefault="00000000">
            <w:pPr>
              <w:spacing w:after="0"/>
            </w:pPr>
            <w:r>
              <w:rPr>
                <w:sz w:val="14"/>
              </w:rPr>
              <w:t>TSPO</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DE29512" w14:textId="77777777" w:rsidR="000E6BF1" w:rsidRDefault="00000000">
            <w:pPr>
              <w:spacing w:after="0"/>
            </w:pPr>
            <w:r>
              <w:rPr>
                <w:sz w:val="14"/>
              </w:rPr>
              <w:t>Mitochondrial membrane stress node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87D9E64" w14:textId="77777777" w:rsidR="000E6BF1" w:rsidRDefault="00000000">
            <w:pPr>
              <w:spacing w:after="0"/>
            </w:pPr>
            <w:r>
              <w:rPr>
                <w:sz w:val="14"/>
              </w:rPr>
              <w:t>Outer-mitochondrial-membrane protein associated with lipid handling and stress responses; causal direction is context-dependent.</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6324DC7" w14:textId="77777777" w:rsidR="000E6BF1" w:rsidRDefault="00000000">
            <w:pPr>
              <w:spacing w:after="0"/>
            </w:pPr>
            <w:r>
              <w:rPr>
                <w:sz w:val="14"/>
              </w:rPr>
              <w:t>Marker/supporting node, not a flux readout</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2DE90E7" w14:textId="77777777" w:rsidR="000E6BF1" w:rsidRDefault="000E6BF1">
            <w:pPr>
              <w:spacing w:after="0"/>
            </w:pPr>
            <w:hyperlink r:id="rId90">
              <w:r>
                <w:rPr>
                  <w:color w:val="0563C1"/>
                  <w:u w:val="single"/>
                </w:rPr>
                <w:t>Peer-reviewed full text</w:t>
              </w:r>
            </w:hyperlink>
            <w:r w:rsidR="00000000">
              <w:rPr>
                <w:sz w:val="14"/>
              </w:rPr>
              <w:t xml:space="preserve"> </w:t>
            </w:r>
            <w:hyperlink r:id="rId91">
              <w:r>
                <w:rPr>
                  <w:color w:val="0563C1"/>
                  <w:u w:val="single"/>
                </w:rPr>
                <w:t>Peer-reviewed paper</w:t>
              </w:r>
            </w:hyperlink>
          </w:p>
        </w:tc>
      </w:tr>
      <w:tr w:rsidR="000E6BF1" w14:paraId="43A0D5F5"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6A8A018" w14:textId="77777777" w:rsidR="000E6BF1" w:rsidRDefault="00000000">
            <w:pPr>
              <w:spacing w:after="0"/>
            </w:pPr>
            <w:r>
              <w:rPr>
                <w:sz w:val="14"/>
              </w:rPr>
              <w:t>UCP2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E126E85" w14:textId="77777777" w:rsidR="000E6BF1" w:rsidRDefault="00000000">
            <w:pPr>
              <w:spacing w:after="0"/>
            </w:pPr>
            <w:r>
              <w:rPr>
                <w:sz w:val="14"/>
              </w:rPr>
              <w:t>Mitochondrial proton conductance</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426A7D4" w14:textId="77777777" w:rsidR="000E6BF1" w:rsidRDefault="00000000">
            <w:pPr>
              <w:spacing w:after="0"/>
            </w:pPr>
            <w:r>
              <w:rPr>
                <w:sz w:val="14"/>
              </w:rPr>
              <w:t>Can lower mitochondrial membrane potential and constrain mitochondrial ROS, with a possible efficiency cost.</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A013CBE" w14:textId="77777777" w:rsidR="000E6BF1" w:rsidRDefault="00000000">
            <w:pPr>
              <w:spacing w:after="0"/>
            </w:pPr>
            <w:r>
              <w:rPr>
                <w:sz w:val="14"/>
              </w:rPr>
              <w:t>Usually compensatory, context-dependent</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C841EDE" w14:textId="77777777" w:rsidR="000E6BF1" w:rsidRDefault="000E6BF1">
            <w:pPr>
              <w:spacing w:after="0"/>
            </w:pPr>
            <w:hyperlink r:id="rId92">
              <w:r>
                <w:rPr>
                  <w:color w:val="0563C1"/>
                  <w:u w:val="single"/>
                </w:rPr>
                <w:t>PMID 26846222</w:t>
              </w:r>
            </w:hyperlink>
            <w:r w:rsidR="00000000">
              <w:rPr>
                <w:sz w:val="14"/>
              </w:rPr>
              <w:t xml:space="preserve"> </w:t>
            </w:r>
            <w:hyperlink r:id="rId93">
              <w:r>
                <w:rPr>
                  <w:color w:val="0563C1"/>
                  <w:u w:val="single"/>
                </w:rPr>
                <w:t>PMID 28130201</w:t>
              </w:r>
            </w:hyperlink>
          </w:p>
        </w:tc>
      </w:tr>
      <w:tr w:rsidR="000E6BF1" w14:paraId="79CCFF89" w14:textId="77777777" w:rsidTr="00B21389">
        <w:trPr>
          <w:jc w:val="center"/>
        </w:trPr>
        <w:tc>
          <w:tcPr>
            <w:tcW w:w="82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C3CF166" w14:textId="77777777" w:rsidR="000E6BF1" w:rsidRDefault="00000000">
            <w:pPr>
              <w:spacing w:after="0"/>
            </w:pPr>
            <w:r>
              <w:rPr>
                <w:sz w:val="14"/>
              </w:rPr>
              <w:t>TMBIM6</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9057DEB" w14:textId="77777777" w:rsidR="000E6BF1" w:rsidRDefault="00000000">
            <w:pPr>
              <w:spacing w:after="0"/>
            </w:pPr>
            <w:r>
              <w:rPr>
                <w:sz w:val="14"/>
              </w:rPr>
              <w:t>ER Ca2+/stress regulator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2BC6C21" w14:textId="77777777" w:rsidR="000E6BF1" w:rsidRDefault="00000000">
            <w:pPr>
              <w:spacing w:after="0"/>
            </w:pPr>
            <w:r>
              <w:rPr>
                <w:sz w:val="14"/>
              </w:rPr>
              <w:t>Limits IRE1α-linked stress and modulates ER–mitochondrial Ca2+ handling.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18CD39B" w14:textId="77777777" w:rsidR="000E6BF1" w:rsidRDefault="00000000">
            <w:pPr>
              <w:spacing w:after="0"/>
            </w:pPr>
            <w:r>
              <w:rPr>
                <w:sz w:val="14"/>
              </w:rPr>
              <w:t>Potentially protective</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29E9BD4" w14:textId="77777777" w:rsidR="000E6BF1" w:rsidRDefault="000E6BF1">
            <w:pPr>
              <w:spacing w:after="0"/>
            </w:pPr>
            <w:hyperlink r:id="rId94">
              <w:r>
                <w:rPr>
                  <w:color w:val="0563C1"/>
                  <w:u w:val="single"/>
                </w:rPr>
                <w:t>Peer-reviewed paper</w:t>
              </w:r>
            </w:hyperlink>
            <w:r w:rsidR="00000000">
              <w:rPr>
                <w:sz w:val="14"/>
              </w:rPr>
              <w:t xml:space="preserve"> </w:t>
            </w:r>
            <w:hyperlink r:id="rId95">
              <w:r>
                <w:rPr>
                  <w:color w:val="0563C1"/>
                  <w:u w:val="single"/>
                </w:rPr>
                <w:t>Peer-reviewed paper</w:t>
              </w:r>
            </w:hyperlink>
          </w:p>
        </w:tc>
      </w:tr>
    </w:tbl>
    <w:p w14:paraId="48741DB6" w14:textId="77777777" w:rsidR="000E6BF1" w:rsidRDefault="00000000">
      <w:pPr>
        <w:pStyle w:val="Heading2"/>
      </w:pPr>
      <w:r>
        <w:t>4.4 What should be induced and what should be inhibited?</w:t>
      </w:r>
    </w:p>
    <w:tbl>
      <w:tblPr>
        <w:tblW w:w="11633" w:type="dxa"/>
        <w:jc w:val="center"/>
        <w:tblLayout w:type="fixed"/>
        <w:tblLook w:val="04A0" w:firstRow="1" w:lastRow="0" w:firstColumn="1" w:lastColumn="0" w:noHBand="0" w:noVBand="1"/>
      </w:tblPr>
      <w:tblGrid>
        <w:gridCol w:w="2057"/>
        <w:gridCol w:w="2592"/>
        <w:gridCol w:w="3744"/>
        <w:gridCol w:w="3240"/>
      </w:tblGrid>
      <w:tr w:rsidR="000E6BF1" w14:paraId="2D4205D3" w14:textId="77777777" w:rsidTr="008326B0">
        <w:trPr>
          <w:tblHeader/>
          <w:jc w:val="center"/>
        </w:trPr>
        <w:tc>
          <w:tcPr>
            <w:tcW w:w="2057"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9A49B2C" w14:textId="77777777" w:rsidR="000E6BF1" w:rsidRDefault="00000000">
            <w:pPr>
              <w:spacing w:after="0"/>
            </w:pPr>
            <w:r>
              <w:rPr>
                <w:b/>
                <w:color w:val="FFFFFF"/>
                <w:sz w:val="16"/>
              </w:rPr>
              <w:t>Node</w:t>
            </w:r>
          </w:p>
        </w:tc>
        <w:tc>
          <w:tcPr>
            <w:tcW w:w="259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AE1A879" w14:textId="77777777" w:rsidR="000E6BF1" w:rsidRDefault="00000000">
            <w:pPr>
              <w:spacing w:after="0"/>
            </w:pPr>
            <w:r>
              <w:rPr>
                <w:b/>
                <w:color w:val="FFFFFF"/>
                <w:sz w:val="16"/>
              </w:rPr>
              <w:t>Direction</w:t>
            </w:r>
          </w:p>
        </w:tc>
        <w:tc>
          <w:tcPr>
            <w:tcW w:w="374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E08FA5B" w14:textId="77777777" w:rsidR="000E6BF1" w:rsidRDefault="00000000">
            <w:pPr>
              <w:spacing w:after="0"/>
            </w:pPr>
            <w:r>
              <w:rPr>
                <w:b/>
                <w:color w:val="FFFFFF"/>
                <w:sz w:val="16"/>
              </w:rPr>
              <w:t>Rationale</w:t>
            </w:r>
          </w:p>
        </w:tc>
        <w:tc>
          <w:tcPr>
            <w:tcW w:w="3240"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9794B14" w14:textId="77777777" w:rsidR="000E6BF1" w:rsidRDefault="00000000">
            <w:pPr>
              <w:spacing w:after="0"/>
            </w:pPr>
            <w:r>
              <w:rPr>
                <w:b/>
                <w:color w:val="FFFFFF"/>
                <w:sz w:val="16"/>
              </w:rPr>
              <w:t>Practical grant use</w:t>
            </w:r>
          </w:p>
        </w:tc>
      </w:tr>
      <w:tr w:rsidR="000E6BF1" w14:paraId="092254D5" w14:textId="77777777" w:rsidTr="008326B0">
        <w:trPr>
          <w:jc w:val="center"/>
        </w:trPr>
        <w:tc>
          <w:tcPr>
            <w:tcW w:w="205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8E63509" w14:textId="77777777" w:rsidR="000E6BF1" w:rsidRDefault="00000000">
            <w:pPr>
              <w:spacing w:after="0"/>
            </w:pPr>
            <w:r>
              <w:rPr>
                <w:sz w:val="16"/>
              </w:rPr>
              <w:t>PGD / oxidative PPP</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28D7BC1" w14:textId="77777777" w:rsidR="000E6BF1" w:rsidRDefault="00000000">
            <w:pPr>
              <w:spacing w:after="0"/>
            </w:pPr>
            <w:r>
              <w:rPr>
                <w:sz w:val="16"/>
              </w:rPr>
              <w:t>Support</w:t>
            </w:r>
          </w:p>
        </w:tc>
        <w:tc>
          <w:tcPr>
            <w:tcW w:w="374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8D15AA7" w14:textId="77777777" w:rsidR="000E6BF1" w:rsidRDefault="00000000">
            <w:pPr>
              <w:spacing w:after="0"/>
            </w:pPr>
            <w:r>
              <w:rPr>
                <w:sz w:val="16"/>
              </w:rPr>
              <w:t>Tests whether compensatory NADPH supply is inadequate.</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28F93B4" w14:textId="77777777" w:rsidR="000E6BF1" w:rsidRDefault="00000000">
            <w:pPr>
              <w:spacing w:after="0"/>
            </w:pPr>
            <w:r>
              <w:rPr>
                <w:sz w:val="16"/>
              </w:rPr>
              <w:t>Increase PGD genetically or preserve G6P entry into PPP; require isotope flux and NADPH/GSH rescue.</w:t>
            </w:r>
          </w:p>
        </w:tc>
      </w:tr>
      <w:tr w:rsidR="000E6BF1" w14:paraId="76F9A826" w14:textId="77777777" w:rsidTr="008326B0">
        <w:trPr>
          <w:jc w:val="center"/>
        </w:trPr>
        <w:tc>
          <w:tcPr>
            <w:tcW w:w="2057"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51D2D59" w14:textId="77777777" w:rsidR="000E6BF1" w:rsidRDefault="00000000">
            <w:pPr>
              <w:spacing w:after="0"/>
            </w:pPr>
            <w:r>
              <w:rPr>
                <w:sz w:val="16"/>
              </w:rPr>
              <w:t>PSMB8–PFKFB3</w:t>
            </w:r>
          </w:p>
        </w:tc>
        <w:tc>
          <w:tcPr>
            <w:tcW w:w="25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B616B20" w14:textId="77777777" w:rsidR="000E6BF1" w:rsidRDefault="00000000">
            <w:pPr>
              <w:spacing w:after="0"/>
            </w:pPr>
            <w:r>
              <w:rPr>
                <w:sz w:val="16"/>
              </w:rPr>
              <w:t>Attenuate; comparator</w:t>
            </w:r>
          </w:p>
        </w:tc>
        <w:tc>
          <w:tcPr>
            <w:tcW w:w="374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3578283" w14:textId="77777777" w:rsidR="000E6BF1" w:rsidRDefault="00000000">
            <w:pPr>
              <w:spacing w:after="0"/>
            </w:pPr>
            <w:r>
              <w:rPr>
                <w:sz w:val="16"/>
              </w:rPr>
              <w:t>Directly established in MS/EAE neurons.</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F36DE43" w14:textId="77777777" w:rsidR="000E6BF1" w:rsidRDefault="00000000">
            <w:pPr>
              <w:spacing w:after="0"/>
            </w:pPr>
            <w:r>
              <w:rPr>
                <w:sz w:val="16"/>
              </w:rPr>
              <w:t>Use as a positive mechanistic comparator; do not make it the main novelty.</w:t>
            </w:r>
          </w:p>
        </w:tc>
      </w:tr>
      <w:tr w:rsidR="000E6BF1" w14:paraId="06D45BBE" w14:textId="77777777" w:rsidTr="008326B0">
        <w:trPr>
          <w:jc w:val="center"/>
        </w:trPr>
        <w:tc>
          <w:tcPr>
            <w:tcW w:w="205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2B4A4BA" w14:textId="77777777" w:rsidR="000E6BF1" w:rsidRDefault="00000000">
            <w:pPr>
              <w:spacing w:after="0"/>
            </w:pPr>
            <w:r>
              <w:rPr>
                <w:sz w:val="16"/>
              </w:rPr>
              <w:t>CYBB/NOX2 arm</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7205534" w14:textId="77777777" w:rsidR="000E6BF1" w:rsidRDefault="00000000">
            <w:pPr>
              <w:spacing w:after="0"/>
            </w:pPr>
            <w:r>
              <w:rPr>
                <w:sz w:val="16"/>
              </w:rPr>
              <w:t>Calibrated attenuation</w:t>
            </w:r>
          </w:p>
        </w:tc>
        <w:tc>
          <w:tcPr>
            <w:tcW w:w="374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E71795E" w14:textId="77777777" w:rsidR="000E6BF1" w:rsidRDefault="00000000">
            <w:pPr>
              <w:spacing w:after="0"/>
            </w:pPr>
            <w:r>
              <w:rPr>
                <w:sz w:val="16"/>
              </w:rPr>
              <w:t>Sustained activity may consume NADPH and raise ROS, but localized ROS can support growth signaling.</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249DDF2" w14:textId="77777777" w:rsidR="000E6BF1" w:rsidRDefault="00000000">
            <w:pPr>
              <w:spacing w:after="0"/>
            </w:pPr>
            <w:r>
              <w:rPr>
                <w:sz w:val="16"/>
              </w:rPr>
              <w:t>Use neuron-specific genetic proof and delayed/partial inhibition; avoid blanket NOX suppression.</w:t>
            </w:r>
          </w:p>
        </w:tc>
      </w:tr>
      <w:tr w:rsidR="000E6BF1" w14:paraId="70EA666E" w14:textId="77777777" w:rsidTr="008326B0">
        <w:trPr>
          <w:jc w:val="center"/>
        </w:trPr>
        <w:tc>
          <w:tcPr>
            <w:tcW w:w="2057"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BD03ECC" w14:textId="77777777" w:rsidR="000E6BF1" w:rsidRDefault="00000000">
            <w:pPr>
              <w:spacing w:after="0"/>
            </w:pPr>
            <w:r>
              <w:rPr>
                <w:sz w:val="16"/>
              </w:rPr>
              <w:t>XDH</w:t>
            </w:r>
          </w:p>
        </w:tc>
        <w:tc>
          <w:tcPr>
            <w:tcW w:w="25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F05E97C" w14:textId="77777777" w:rsidR="000E6BF1" w:rsidRDefault="00000000">
            <w:pPr>
              <w:spacing w:after="0"/>
            </w:pPr>
            <w:r>
              <w:rPr>
                <w:sz w:val="16"/>
              </w:rPr>
              <w:t>Attenuate if active</w:t>
            </w:r>
          </w:p>
        </w:tc>
        <w:tc>
          <w:tcPr>
            <w:tcW w:w="374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0DAF790" w14:textId="77777777" w:rsidR="000E6BF1" w:rsidRDefault="00000000">
            <w:pPr>
              <w:spacing w:after="0"/>
            </w:pPr>
            <w:r>
              <w:rPr>
                <w:sz w:val="16"/>
              </w:rPr>
              <w:t>Can add purine-derived ROS; EAE inhibition has protective evidence.</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B582E06" w14:textId="77777777" w:rsidR="000E6BF1" w:rsidRDefault="00000000">
            <w:pPr>
              <w:spacing w:after="0"/>
            </w:pPr>
            <w:r>
              <w:rPr>
                <w:sz w:val="16"/>
              </w:rPr>
              <w:t>Measure enzymatic conversion and urate/ROS before target selection.</w:t>
            </w:r>
          </w:p>
        </w:tc>
      </w:tr>
      <w:tr w:rsidR="000E6BF1" w14:paraId="33459164" w14:textId="77777777" w:rsidTr="008326B0">
        <w:trPr>
          <w:jc w:val="center"/>
        </w:trPr>
        <w:tc>
          <w:tcPr>
            <w:tcW w:w="205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B688A63" w14:textId="77777777" w:rsidR="000E6BF1" w:rsidRDefault="00000000">
            <w:pPr>
              <w:spacing w:after="0"/>
            </w:pPr>
            <w:r>
              <w:rPr>
                <w:sz w:val="16"/>
              </w:rPr>
              <w:t>NMNAT2</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491DEB2" w14:textId="77777777" w:rsidR="000E6BF1" w:rsidRDefault="00000000">
            <w:pPr>
              <w:spacing w:after="0"/>
            </w:pPr>
            <w:r>
              <w:rPr>
                <w:sz w:val="16"/>
              </w:rPr>
              <w:t>Support/monitor</w:t>
            </w:r>
          </w:p>
        </w:tc>
        <w:tc>
          <w:tcPr>
            <w:tcW w:w="374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B190758" w14:textId="77777777" w:rsidR="000E6BF1" w:rsidRDefault="00000000">
            <w:pPr>
              <w:spacing w:after="0"/>
            </w:pPr>
            <w:r>
              <w:rPr>
                <w:sz w:val="16"/>
              </w:rPr>
              <w:t>Axonal NAD-survival factor, biologically convergent but not a PPP enzyme.</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A3B62AE" w14:textId="77777777" w:rsidR="000E6BF1" w:rsidRDefault="00000000">
            <w:pPr>
              <w:spacing w:after="0"/>
            </w:pPr>
            <w:r>
              <w:rPr>
                <w:sz w:val="16"/>
              </w:rPr>
              <w:t>Treat as an axon-integrity readout or secondary rescue node.</w:t>
            </w:r>
          </w:p>
        </w:tc>
      </w:tr>
      <w:tr w:rsidR="000E6BF1" w14:paraId="02DD9922" w14:textId="77777777" w:rsidTr="008326B0">
        <w:trPr>
          <w:jc w:val="center"/>
        </w:trPr>
        <w:tc>
          <w:tcPr>
            <w:tcW w:w="2057"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EE77D8D" w14:textId="77777777" w:rsidR="000E6BF1" w:rsidRDefault="00000000">
            <w:pPr>
              <w:spacing w:after="0"/>
            </w:pPr>
            <w:r>
              <w:rPr>
                <w:sz w:val="16"/>
              </w:rPr>
              <w:t>HP/LTF/ABCC3/UCP2/TMBIM6</w:t>
            </w:r>
          </w:p>
        </w:tc>
        <w:tc>
          <w:tcPr>
            <w:tcW w:w="25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1C843FE" w14:textId="77777777" w:rsidR="000E6BF1" w:rsidRDefault="00000000">
            <w:pPr>
              <w:spacing w:after="0"/>
            </w:pPr>
            <w:r>
              <w:rPr>
                <w:sz w:val="16"/>
              </w:rPr>
              <w:t>Do not globally manipulate</w:t>
            </w:r>
          </w:p>
        </w:tc>
        <w:tc>
          <w:tcPr>
            <w:tcW w:w="374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AE542D6" w14:textId="77777777" w:rsidR="000E6BF1" w:rsidRDefault="00000000">
            <w:pPr>
              <w:spacing w:after="0"/>
            </w:pPr>
            <w:r>
              <w:rPr>
                <w:sz w:val="16"/>
              </w:rPr>
              <w:t>Likely buffering responses with cell- and context-dependent effects.</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841E43C" w14:textId="77777777" w:rsidR="000E6BF1" w:rsidRDefault="00000000">
            <w:pPr>
              <w:spacing w:after="0"/>
            </w:pPr>
            <w:r>
              <w:rPr>
                <w:sz w:val="16"/>
              </w:rPr>
              <w:t>Use as state/readout genes unless protein/activity data reveal a tractable bottleneck.</w:t>
            </w:r>
          </w:p>
        </w:tc>
      </w:tr>
    </w:tbl>
    <w:p w14:paraId="0A485DD5" w14:textId="77777777" w:rsidR="000E6BF1" w:rsidRDefault="00000000">
      <w:pPr>
        <w:pStyle w:val="Heading1"/>
      </w:pPr>
      <w:r>
        <w:lastRenderedPageBreak/>
        <w:t>5. Rank 2 detailed analysis: 36-gene PSAP-centered lysosomal module</w:t>
      </w:r>
    </w:p>
    <w:p w14:paraId="15447BDE" w14:textId="77777777" w:rsidR="000E6BF1" w:rsidRDefault="00000000">
      <w:pPr>
        <w:spacing w:after="60"/>
        <w:jc w:val="center"/>
      </w:pPr>
      <w:r>
        <w:rPr>
          <w:noProof/>
        </w:rPr>
        <w:drawing>
          <wp:inline distT="0" distB="0" distL="0" distR="0" wp14:anchorId="07D64FBA" wp14:editId="43BD4380">
            <wp:extent cx="6492240" cy="39253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ank2_all_genes.png"/>
                    <pic:cNvPicPr/>
                  </pic:nvPicPr>
                  <pic:blipFill>
                    <a:blip r:embed="rId96"/>
                    <a:stretch>
                      <a:fillRect/>
                    </a:stretch>
                  </pic:blipFill>
                  <pic:spPr>
                    <a:xfrm>
                      <a:off x="0" y="0"/>
                      <a:ext cx="6492240" cy="3925397"/>
                    </a:xfrm>
                    <a:prstGeom prst="rect">
                      <a:avLst/>
                    </a:prstGeom>
                  </pic:spPr>
                </pic:pic>
              </a:graphicData>
            </a:graphic>
          </wp:inline>
        </w:drawing>
      </w:r>
    </w:p>
    <w:p w14:paraId="7F50A2B1" w14:textId="77777777" w:rsidR="000E6BF1" w:rsidRDefault="00000000">
      <w:pPr>
        <w:pStyle w:val="Caption"/>
        <w:spacing w:after="140"/>
      </w:pPr>
      <w:r>
        <w:t>Figure 3. Rank 2 detailed map. All 36 genes are shown. PSAP, GRN, CTSD and NPC2 define the clearest lysosomal lipid/cholesterol core; trafficking genes determine whether cargo reaches and exits a competent lysosome.</w:t>
      </w:r>
    </w:p>
    <w:p w14:paraId="537E53F4" w14:textId="77777777" w:rsidR="000E6BF1" w:rsidRDefault="00000000">
      <w:pPr>
        <w:pStyle w:val="Heading2"/>
      </w:pPr>
      <w:r>
        <w:t>5.1 Overall pathway meaning</w:t>
      </w:r>
    </w:p>
    <w:p w14:paraId="30678C3C" w14:textId="77777777" w:rsidR="000E6BF1" w:rsidRDefault="00000000">
      <w:r>
        <w:t>Rank 2 is more than a generic lysosomal signature. It contains cargo entry, endosomal logistics, luminal hydrolases/cofactors and cholesterol export. This topology is what would be expected from a neuron attempting to process damaged membranes and oxidized lipid cargo. Human-neuron CRISPR screening provides direct causal evidence that PSAP loss lowers neuronal resistance to chronic oxidative stress by producing lipofuscin, iron trapping, ROS, lipid peroxidation and ferroptosis (</w:t>
      </w:r>
      <w:hyperlink r:id="rId97">
        <w:r w:rsidR="000E6BF1">
          <w:rPr>
            <w:color w:val="0563C1"/>
            <w:u w:val="single"/>
          </w:rPr>
          <w:t>Tian et al., Nature Neuroscience, 2021; PMID 34031600</w:t>
        </w:r>
      </w:hyperlink>
      <w:r>
        <w:t>). Dopamine-neuron studies further show that PSAP is required for lipid homeostasis and that PSAP delivery can protect against experimental neurodegeneration (</w:t>
      </w:r>
      <w:hyperlink r:id="rId98">
        <w:r w:rsidR="000E6BF1">
          <w:rPr>
            <w:color w:val="0563C1"/>
            <w:u w:val="single"/>
          </w:rPr>
          <w:t>He et al., Nature Communications, 2023; PMID 37726325</w:t>
        </w:r>
      </w:hyperlink>
      <w:r>
        <w:t>).</w:t>
      </w:r>
    </w:p>
    <w:p w14:paraId="0F7BB669" w14:textId="77777777" w:rsidR="000E6BF1" w:rsidRDefault="00000000">
      <w:r>
        <w:t>The upregulated state is most consistent with attempted protection, but it is not proof of successful flux. A lysosome that contains more CTSD, PSAP and trafficking proteins can still be acidic, substrate-loaded and functionally inadequate. The decisive distinction is whether lipids and iron are cleared over time. Neurons can also export peroxidized lipids and iron through autolysosomal exocytosis, providing a second lysosome-dependent protection route (</w:t>
      </w:r>
      <w:hyperlink r:id="rId99">
        <w:r w:rsidR="000E6BF1">
          <w:rPr>
            <w:color w:val="0563C1"/>
            <w:u w:val="single"/>
          </w:rPr>
          <w:t>Ralhan et al., Journal of Cell Biology, 2023; PMID 37036445</w:t>
        </w:r>
      </w:hyperlink>
      <w:r>
        <w:t>).</w:t>
      </w:r>
    </w:p>
    <w:p w14:paraId="1811A11B" w14:textId="77777777" w:rsidR="000E6BF1" w:rsidRDefault="00000000">
      <w:pPr>
        <w:pStyle w:val="Heading2"/>
      </w:pPr>
      <w:r>
        <w:t>5.2 Exact membership and functional grouping</w:t>
      </w:r>
    </w:p>
    <w:p w14:paraId="775E3CCE" w14:textId="77777777" w:rsidR="000E6BF1" w:rsidRDefault="00000000">
      <w:pPr>
        <w:pStyle w:val="ListBullet"/>
        <w:spacing w:after="40"/>
      </w:pPr>
      <w:r>
        <w:t>Cargo/lipid entry and sensing (5): APOBR, TREM2, MRC1, CD68, TSPO</w:t>
      </w:r>
    </w:p>
    <w:p w14:paraId="754FAD48" w14:textId="77777777" w:rsidR="000E6BF1" w:rsidRDefault="00000000">
      <w:pPr>
        <w:pStyle w:val="ListBullet"/>
        <w:spacing w:after="40"/>
      </w:pPr>
      <w:r>
        <w:t>Lysosomal lumen and catabolism (14): GRN, PSAP, NPC2, CTSD, NAGLU, LYZ2, IFI30, SLC15A3, CTSC, CTSH, CTSZ, LGMN, PLD4, PLBD1</w:t>
      </w:r>
    </w:p>
    <w:p w14:paraId="0CB7AC81" w14:textId="77777777" w:rsidR="000E6BF1" w:rsidRDefault="00000000">
      <w:pPr>
        <w:pStyle w:val="ListBullet"/>
        <w:spacing w:after="40"/>
      </w:pPr>
      <w:r>
        <w:t>Endolysosomal trafficking and logistics (15): ARRDC2, CYTH4, FGD2, IFITM1, IFITM3, ITM2C, LAPTM5, LRRK1, MS4A6C, MYO1F, MYO1G, RIN3, SYNGR2, TBC1D13, TSPAN14</w:t>
      </w:r>
    </w:p>
    <w:p w14:paraId="7D618263" w14:textId="77777777" w:rsidR="000E6BF1" w:rsidRDefault="00000000">
      <w:pPr>
        <w:pStyle w:val="ListBullet"/>
        <w:spacing w:after="40"/>
      </w:pPr>
      <w:r>
        <w:t>Adjacent, non-lysosomal proteolysis (2): CAPN3, CNDP2</w:t>
      </w:r>
    </w:p>
    <w:p w14:paraId="20D412A4" w14:textId="77777777" w:rsidR="000E6BF1" w:rsidRDefault="00000000">
      <w:pPr>
        <w:pStyle w:val="Heading2"/>
      </w:pPr>
      <w:r>
        <w:lastRenderedPageBreak/>
        <w:t>5.3 Gene-by-gene interpretation</w:t>
      </w:r>
    </w:p>
    <w:tbl>
      <w:tblPr>
        <w:tblW w:w="11250" w:type="dxa"/>
        <w:jc w:val="center"/>
        <w:tblLayout w:type="fixed"/>
        <w:tblLook w:val="04A0" w:firstRow="1" w:lastRow="0" w:firstColumn="1" w:lastColumn="0" w:noHBand="0" w:noVBand="1"/>
      </w:tblPr>
      <w:tblGrid>
        <w:gridCol w:w="914"/>
        <w:gridCol w:w="2074"/>
        <w:gridCol w:w="4248"/>
        <w:gridCol w:w="2232"/>
        <w:gridCol w:w="1782"/>
      </w:tblGrid>
      <w:tr w:rsidR="000E6BF1" w14:paraId="74232DD8" w14:textId="77777777" w:rsidTr="006A6FC3">
        <w:trPr>
          <w:tblHeade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2DBEF07" w14:textId="77777777" w:rsidR="000E6BF1" w:rsidRDefault="00000000">
            <w:pPr>
              <w:spacing w:after="0"/>
            </w:pPr>
            <w:r>
              <w:rPr>
                <w:b/>
                <w:color w:val="FFFFFF"/>
                <w:sz w:val="14"/>
              </w:rPr>
              <w:t>Gene</w:t>
            </w:r>
          </w:p>
        </w:tc>
        <w:tc>
          <w:tcPr>
            <w:tcW w:w="207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4A6DA407" w14:textId="77777777" w:rsidR="000E6BF1" w:rsidRDefault="00000000">
            <w:pPr>
              <w:spacing w:after="0"/>
            </w:pPr>
            <w:r>
              <w:rPr>
                <w:b/>
                <w:color w:val="FFFFFF"/>
                <w:sz w:val="14"/>
              </w:rPr>
              <w:t>Pathway placement</w:t>
            </w:r>
          </w:p>
        </w:tc>
        <w:tc>
          <w:tcPr>
            <w:tcW w:w="4248"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6B3A7B22" w14:textId="77777777" w:rsidR="000E6BF1" w:rsidRDefault="00000000">
            <w:pPr>
              <w:spacing w:after="0"/>
            </w:pPr>
            <w:r>
              <w:rPr>
                <w:b/>
                <w:color w:val="FFFFFF"/>
                <w:sz w:val="14"/>
              </w:rPr>
              <w:t>Peer-reviewed functional interpretation</w:t>
            </w:r>
          </w:p>
        </w:tc>
        <w:tc>
          <w:tcPr>
            <w:tcW w:w="223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3D92A8FC" w14:textId="77777777" w:rsidR="000E6BF1" w:rsidRDefault="00000000">
            <w:pPr>
              <w:spacing w:after="0"/>
            </w:pPr>
            <w:r>
              <w:rPr>
                <w:b/>
                <w:color w:val="FFFFFF"/>
                <w:sz w:val="14"/>
              </w:rPr>
              <w:t>Likely direction if activity rises</w:t>
            </w:r>
          </w:p>
        </w:tc>
        <w:tc>
          <w:tcPr>
            <w:tcW w:w="178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3E699919" w14:textId="77777777" w:rsidR="000E6BF1" w:rsidRDefault="00000000">
            <w:pPr>
              <w:spacing w:after="0"/>
            </w:pPr>
            <w:r>
              <w:rPr>
                <w:b/>
                <w:color w:val="FFFFFF"/>
                <w:sz w:val="14"/>
              </w:rPr>
              <w:t>Evidence links</w:t>
            </w:r>
          </w:p>
        </w:tc>
      </w:tr>
      <w:tr w:rsidR="000E6BF1" w14:paraId="0FBD3B62"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4A2A88A" w14:textId="77777777" w:rsidR="000E6BF1" w:rsidRDefault="00000000">
            <w:pPr>
              <w:spacing w:after="0"/>
            </w:pPr>
            <w:r>
              <w:rPr>
                <w:sz w:val="14"/>
              </w:rPr>
              <w:t>APOBR</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F286D5A" w14:textId="77777777" w:rsidR="000E6BF1" w:rsidRDefault="00000000">
            <w:pPr>
              <w:spacing w:after="0"/>
            </w:pPr>
            <w:r>
              <w:rPr>
                <w:sz w:val="14"/>
              </w:rPr>
              <w:t>Lipoprotein cargo uptake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CF810E0" w14:textId="77777777" w:rsidR="000E6BF1" w:rsidRDefault="00000000">
            <w:pPr>
              <w:spacing w:after="0"/>
            </w:pPr>
            <w:r>
              <w:rPr>
                <w:sz w:val="14"/>
              </w:rPr>
              <w:t>Receptor for apoB48-containing triglyceride-rich particles; can increase lipid delivery to endolysosomes.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3AC52E4" w14:textId="77777777" w:rsidR="000E6BF1" w:rsidRDefault="00000000">
            <w:pPr>
              <w:spacing w:after="0"/>
            </w:pPr>
            <w:r>
              <w:rPr>
                <w:sz w:val="14"/>
              </w:rPr>
              <w:t>Raises cargo load; benefit depends on clearance</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4F4D5DD" w14:textId="77777777" w:rsidR="000E6BF1" w:rsidRDefault="000E6BF1">
            <w:pPr>
              <w:spacing w:after="0"/>
            </w:pPr>
            <w:hyperlink r:id="rId100">
              <w:r>
                <w:rPr>
                  <w:color w:val="0563C1"/>
                  <w:u w:val="single"/>
                </w:rPr>
                <w:t>PMID 12177162</w:t>
              </w:r>
            </w:hyperlink>
          </w:p>
        </w:tc>
      </w:tr>
      <w:tr w:rsidR="000E6BF1" w14:paraId="7C2CBF0C"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99BC5A3" w14:textId="77777777" w:rsidR="000E6BF1" w:rsidRDefault="00000000">
            <w:pPr>
              <w:spacing w:after="0"/>
            </w:pPr>
            <w:r>
              <w:rPr>
                <w:sz w:val="14"/>
              </w:rPr>
              <w:t>TREM2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7F9F069" w14:textId="77777777" w:rsidR="000E6BF1" w:rsidRDefault="00000000">
            <w:pPr>
              <w:spacing w:after="0"/>
            </w:pPr>
            <w:r>
              <w:rPr>
                <w:sz w:val="14"/>
              </w:rPr>
              <w:t>Lipid sensing/receptor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A8898B9" w14:textId="77777777" w:rsidR="000E6BF1" w:rsidRDefault="00000000">
            <w:pPr>
              <w:spacing w:after="0"/>
            </w:pPr>
            <w:r>
              <w:rPr>
                <w:sz w:val="14"/>
              </w:rPr>
              <w:t>Recognizes lipid-associated ligands and supports endolysosomal adaptation.</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557F456" w14:textId="77777777" w:rsidR="000E6BF1" w:rsidRDefault="00000000">
            <w:pPr>
              <w:spacing w:after="0"/>
            </w:pPr>
            <w:r>
              <w:rPr>
                <w:sz w:val="14"/>
              </w:rPr>
              <w:t>Adaptive sensing, but not a metabolic enzyme</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A4535C5" w14:textId="77777777" w:rsidR="000E6BF1" w:rsidRDefault="000E6BF1">
            <w:pPr>
              <w:spacing w:after="0"/>
            </w:pPr>
            <w:hyperlink r:id="rId101">
              <w:r>
                <w:rPr>
                  <w:color w:val="0563C1"/>
                  <w:u w:val="single"/>
                </w:rPr>
                <w:t>Peer-reviewed full text</w:t>
              </w:r>
            </w:hyperlink>
            <w:r w:rsidR="00000000">
              <w:rPr>
                <w:sz w:val="14"/>
              </w:rPr>
              <w:t xml:space="preserve"> </w:t>
            </w:r>
            <w:hyperlink r:id="rId102">
              <w:r>
                <w:rPr>
                  <w:color w:val="0563C1"/>
                  <w:u w:val="single"/>
                </w:rPr>
                <w:t>Peer-reviewed paper</w:t>
              </w:r>
            </w:hyperlink>
          </w:p>
        </w:tc>
      </w:tr>
      <w:tr w:rsidR="000E6BF1" w14:paraId="6F55E8E3"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BAA328F" w14:textId="77777777" w:rsidR="000E6BF1" w:rsidRDefault="00000000">
            <w:pPr>
              <w:spacing w:after="0"/>
            </w:pPr>
            <w:r>
              <w:rPr>
                <w:sz w:val="14"/>
              </w:rPr>
              <w:t>MRC1</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B6273E3" w14:textId="77777777" w:rsidR="000E6BF1" w:rsidRDefault="00000000">
            <w:pPr>
              <w:spacing w:after="0"/>
            </w:pPr>
            <w:r>
              <w:rPr>
                <w:sz w:val="14"/>
              </w:rPr>
              <w:t>Glycoprotein uptake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B04A06E" w14:textId="77777777" w:rsidR="000E6BF1" w:rsidRDefault="00000000">
            <w:pPr>
              <w:spacing w:after="0"/>
            </w:pPr>
            <w:r>
              <w:rPr>
                <w:sz w:val="14"/>
              </w:rPr>
              <w:t>Mannose receptor internalizes glycosylated ligands for endosomal processing.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B8B9B69" w14:textId="77777777" w:rsidR="000E6BF1" w:rsidRDefault="00000000">
            <w:pPr>
              <w:spacing w:after="0"/>
            </w:pPr>
            <w:r>
              <w:rPr>
                <w:sz w:val="14"/>
              </w:rPr>
              <w:t>Raises degradative cargo load</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5D60A4C" w14:textId="77777777" w:rsidR="000E6BF1" w:rsidRDefault="000E6BF1">
            <w:pPr>
              <w:spacing w:after="0"/>
            </w:pPr>
            <w:hyperlink r:id="rId103">
              <w:r>
                <w:rPr>
                  <w:color w:val="0563C1"/>
                  <w:u w:val="single"/>
                </w:rPr>
                <w:t>PMID 34031600</w:t>
              </w:r>
            </w:hyperlink>
          </w:p>
        </w:tc>
      </w:tr>
      <w:tr w:rsidR="000E6BF1" w14:paraId="1FB8DDF1"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DD44027" w14:textId="77777777" w:rsidR="000E6BF1" w:rsidRDefault="00000000">
            <w:pPr>
              <w:spacing w:after="0"/>
            </w:pPr>
            <w:r>
              <w:rPr>
                <w:sz w:val="14"/>
              </w:rPr>
              <w:t>CD68</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2AE0363" w14:textId="77777777" w:rsidR="000E6BF1" w:rsidRDefault="00000000">
            <w:pPr>
              <w:spacing w:after="0"/>
            </w:pPr>
            <w:r>
              <w:rPr>
                <w:sz w:val="14"/>
              </w:rPr>
              <w:t>Endolysosomal membrane glycoprotein</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8C4EA65" w14:textId="77777777" w:rsidR="000E6BF1" w:rsidRDefault="00000000">
            <w:pPr>
              <w:spacing w:after="0"/>
            </w:pPr>
            <w:r>
              <w:rPr>
                <w:sz w:val="14"/>
              </w:rPr>
              <w:t>Associates with late endosomes/lysosomes and lipid-rich phagolysosomal compartments.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5610114" w14:textId="77777777" w:rsidR="000E6BF1" w:rsidRDefault="00000000">
            <w:pPr>
              <w:spacing w:after="0"/>
            </w:pPr>
            <w:r>
              <w:rPr>
                <w:sz w:val="14"/>
              </w:rPr>
              <w:t>Capacity marker/supporting node</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57334AF" w14:textId="77777777" w:rsidR="000E6BF1" w:rsidRDefault="000E6BF1">
            <w:pPr>
              <w:spacing w:after="0"/>
            </w:pPr>
            <w:hyperlink r:id="rId104">
              <w:r>
                <w:rPr>
                  <w:color w:val="0563C1"/>
                  <w:u w:val="single"/>
                </w:rPr>
                <w:t>PMID 34031600</w:t>
              </w:r>
            </w:hyperlink>
          </w:p>
        </w:tc>
      </w:tr>
      <w:tr w:rsidR="000E6BF1" w14:paraId="1A29A90A"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2271B27" w14:textId="77777777" w:rsidR="000E6BF1" w:rsidRDefault="00000000">
            <w:pPr>
              <w:spacing w:after="0"/>
            </w:pPr>
            <w:r>
              <w:rPr>
                <w:sz w:val="14"/>
              </w:rPr>
              <w:t>TSPO</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1496E47" w14:textId="77777777" w:rsidR="000E6BF1" w:rsidRDefault="00000000">
            <w:pPr>
              <w:spacing w:after="0"/>
            </w:pPr>
            <w:r>
              <w:rPr>
                <w:sz w:val="14"/>
              </w:rPr>
              <w:t>Mitochondrial membrane stress node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9185BBA" w14:textId="77777777" w:rsidR="000E6BF1" w:rsidRDefault="00000000">
            <w:pPr>
              <w:spacing w:after="0"/>
            </w:pPr>
            <w:r>
              <w:rPr>
                <w:sz w:val="14"/>
              </w:rPr>
              <w:t>Outer-mitochondrial-membrane protein associated with lipid handling and stress responses; causal direction is context-dependent.</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683E8C8" w14:textId="77777777" w:rsidR="000E6BF1" w:rsidRDefault="00000000">
            <w:pPr>
              <w:spacing w:after="0"/>
            </w:pPr>
            <w:r>
              <w:rPr>
                <w:sz w:val="14"/>
              </w:rPr>
              <w:t>Marker/supporting node, not a flux readout</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D86098F" w14:textId="77777777" w:rsidR="000E6BF1" w:rsidRDefault="000E6BF1">
            <w:pPr>
              <w:spacing w:after="0"/>
            </w:pPr>
            <w:hyperlink r:id="rId105">
              <w:r>
                <w:rPr>
                  <w:color w:val="0563C1"/>
                  <w:u w:val="single"/>
                </w:rPr>
                <w:t>Peer-reviewed full text</w:t>
              </w:r>
            </w:hyperlink>
            <w:r w:rsidR="00000000">
              <w:rPr>
                <w:sz w:val="14"/>
              </w:rPr>
              <w:t xml:space="preserve"> </w:t>
            </w:r>
            <w:hyperlink r:id="rId106">
              <w:r>
                <w:rPr>
                  <w:color w:val="0563C1"/>
                  <w:u w:val="single"/>
                </w:rPr>
                <w:t>Peer-reviewed paper</w:t>
              </w:r>
            </w:hyperlink>
          </w:p>
        </w:tc>
      </w:tr>
      <w:tr w:rsidR="000E6BF1" w14:paraId="490D4C18"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B46A24C" w14:textId="77777777" w:rsidR="000E6BF1" w:rsidRDefault="00000000">
            <w:pPr>
              <w:spacing w:after="0"/>
            </w:pPr>
            <w:r>
              <w:rPr>
                <w:sz w:val="14"/>
              </w:rPr>
              <w:t>GRN</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FCD2A41" w14:textId="77777777" w:rsidR="000E6BF1" w:rsidRDefault="00000000">
            <w:pPr>
              <w:spacing w:after="0"/>
            </w:pPr>
            <w:r>
              <w:rPr>
                <w:sz w:val="14"/>
              </w:rPr>
              <w:t>Lysosomal cofactor precursor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CDAE7FD" w14:textId="77777777" w:rsidR="000E6BF1" w:rsidRDefault="00000000">
            <w:pPr>
              <w:spacing w:after="0"/>
            </w:pPr>
            <w:r>
              <w:rPr>
                <w:sz w:val="14"/>
              </w:rPr>
              <w:t>Progranulin enters lysosomes, interacts with prosaposin and supports lysosomal enzyme/lipid homeostasis.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502AFCC" w14:textId="77777777" w:rsidR="000E6BF1" w:rsidRDefault="00000000">
            <w:pPr>
              <w:spacing w:after="0"/>
            </w:pPr>
            <w:r>
              <w:rPr>
                <w:sz w:val="14"/>
              </w:rPr>
              <w:t>Protective neuron-intrinsic capacity</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31F0B9D" w14:textId="77777777" w:rsidR="000E6BF1" w:rsidRDefault="000E6BF1">
            <w:pPr>
              <w:spacing w:after="0"/>
            </w:pPr>
            <w:hyperlink r:id="rId107">
              <w:r>
                <w:rPr>
                  <w:color w:val="0563C1"/>
                  <w:u w:val="single"/>
                </w:rPr>
                <w:t>Peer-reviewed paper</w:t>
              </w:r>
            </w:hyperlink>
            <w:r w:rsidR="00000000">
              <w:rPr>
                <w:sz w:val="14"/>
              </w:rPr>
              <w:t xml:space="preserve"> </w:t>
            </w:r>
            <w:hyperlink r:id="rId108">
              <w:r>
                <w:rPr>
                  <w:color w:val="0563C1"/>
                  <w:u w:val="single"/>
                </w:rPr>
                <w:t>Peer-reviewed paper</w:t>
              </w:r>
            </w:hyperlink>
          </w:p>
        </w:tc>
      </w:tr>
      <w:tr w:rsidR="000E6BF1" w14:paraId="0E013C59"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E2D0831" w14:textId="77777777" w:rsidR="000E6BF1" w:rsidRDefault="00000000">
            <w:pPr>
              <w:spacing w:after="0"/>
            </w:pPr>
            <w:r>
              <w:rPr>
                <w:sz w:val="14"/>
              </w:rPr>
              <w:t>PSAP</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0A0009D" w14:textId="77777777" w:rsidR="000E6BF1" w:rsidRDefault="00000000">
            <w:pPr>
              <w:spacing w:after="0"/>
            </w:pPr>
            <w:r>
              <w:rPr>
                <w:sz w:val="14"/>
              </w:rPr>
              <w:t>Saposin precursor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5446572" w14:textId="77777777" w:rsidR="000E6BF1" w:rsidRDefault="00000000">
            <w:pPr>
              <w:spacing w:after="0"/>
            </w:pPr>
            <w:r>
              <w:rPr>
                <w:sz w:val="14"/>
              </w:rPr>
              <w:t>Generates saposins that activate lysosomal glycosphingolipid hydrolases; also chaperones GRN trafficking.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BF49B29" w14:textId="77777777" w:rsidR="000E6BF1" w:rsidRDefault="00000000">
            <w:pPr>
              <w:spacing w:after="0"/>
            </w:pPr>
            <w:r>
              <w:rPr>
                <w:sz w:val="14"/>
              </w:rPr>
              <w:t>Protective lysosomal support</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1F13815" w14:textId="77777777" w:rsidR="000E6BF1" w:rsidRDefault="000E6BF1">
            <w:pPr>
              <w:spacing w:after="0"/>
            </w:pPr>
            <w:hyperlink r:id="rId109">
              <w:r>
                <w:rPr>
                  <w:color w:val="0563C1"/>
                  <w:u w:val="single"/>
                </w:rPr>
                <w:t>PMID 34031600</w:t>
              </w:r>
            </w:hyperlink>
            <w:r w:rsidR="00000000">
              <w:rPr>
                <w:sz w:val="14"/>
              </w:rPr>
              <w:t xml:space="preserve"> </w:t>
            </w:r>
            <w:hyperlink r:id="rId110">
              <w:r>
                <w:rPr>
                  <w:color w:val="0563C1"/>
                  <w:u w:val="single"/>
                </w:rPr>
                <w:t>Peer-reviewed paper</w:t>
              </w:r>
            </w:hyperlink>
          </w:p>
        </w:tc>
      </w:tr>
      <w:tr w:rsidR="000E6BF1" w14:paraId="03932ED6"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074D714" w14:textId="77777777" w:rsidR="000E6BF1" w:rsidRDefault="00000000">
            <w:pPr>
              <w:spacing w:after="0"/>
            </w:pPr>
            <w:r>
              <w:rPr>
                <w:sz w:val="14"/>
              </w:rPr>
              <w:t>NPC2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D6C15AB" w14:textId="77777777" w:rsidR="000E6BF1" w:rsidRDefault="00000000">
            <w:pPr>
              <w:spacing w:after="0"/>
            </w:pPr>
            <w:r>
              <w:rPr>
                <w:sz w:val="14"/>
              </w:rPr>
              <w:t>Lysosomal cholesterol transfer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688478B" w14:textId="77777777" w:rsidR="000E6BF1" w:rsidRDefault="00000000">
            <w:pPr>
              <w:spacing w:after="0"/>
            </w:pPr>
            <w:r>
              <w:rPr>
                <w:sz w:val="14"/>
              </w:rPr>
              <w:t>Hands luminal cholesterol to NPC1 for export from lysosomes.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52D743E" w14:textId="77777777" w:rsidR="000E6BF1" w:rsidRDefault="00000000">
            <w:pPr>
              <w:spacing w:after="0"/>
            </w:pPr>
            <w:r>
              <w:rPr>
                <w:sz w:val="14"/>
              </w:rPr>
              <w:t>Protective if trafficking is functional</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BD132B5" w14:textId="77777777" w:rsidR="000E6BF1" w:rsidRDefault="000E6BF1">
            <w:pPr>
              <w:spacing w:after="0"/>
            </w:pPr>
            <w:hyperlink r:id="rId111">
              <w:r>
                <w:rPr>
                  <w:color w:val="0563C1"/>
                  <w:u w:val="single"/>
                </w:rPr>
                <w:t>PMID 15465426</w:t>
              </w:r>
            </w:hyperlink>
            <w:r w:rsidR="00000000">
              <w:rPr>
                <w:sz w:val="14"/>
              </w:rPr>
              <w:t xml:space="preserve"> </w:t>
            </w:r>
            <w:hyperlink r:id="rId112">
              <w:r>
                <w:rPr>
                  <w:color w:val="0563C1"/>
                  <w:u w:val="single"/>
                </w:rPr>
                <w:t>PMID 34592985</w:t>
              </w:r>
            </w:hyperlink>
          </w:p>
        </w:tc>
      </w:tr>
      <w:tr w:rsidR="000E6BF1" w14:paraId="4E3D9942"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0787C7E" w14:textId="77777777" w:rsidR="000E6BF1" w:rsidRDefault="00000000">
            <w:pPr>
              <w:spacing w:after="0"/>
            </w:pPr>
            <w:r>
              <w:rPr>
                <w:sz w:val="14"/>
              </w:rPr>
              <w:t>CTSD</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94CC2D1" w14:textId="77777777" w:rsidR="000E6BF1" w:rsidRDefault="00000000">
            <w:pPr>
              <w:spacing w:after="0"/>
            </w:pPr>
            <w:r>
              <w:rPr>
                <w:sz w:val="14"/>
              </w:rPr>
              <w:t>Lysosomal aspartyl protease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0DAABFC" w14:textId="77777777" w:rsidR="000E6BF1" w:rsidRDefault="00000000">
            <w:pPr>
              <w:spacing w:after="0"/>
            </w:pPr>
            <w:r>
              <w:rPr>
                <w:sz w:val="14"/>
              </w:rPr>
              <w:t>Lysosomal aspartyl protease that supports luminal protein turnover and contributes to processing prosaposin into saposin cofactors. Controlled activity is required; lysosomal leakage is a distinct injury mechanism.</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004B725" w14:textId="77777777" w:rsidR="000E6BF1" w:rsidRDefault="00000000">
            <w:pPr>
              <w:spacing w:after="0"/>
            </w:pPr>
            <w:r>
              <w:rPr>
                <w:sz w:val="14"/>
              </w:rPr>
              <w:t>Protective at controlled lysosomal activity</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FF2BCB0" w14:textId="77777777" w:rsidR="000E6BF1" w:rsidRDefault="000E6BF1">
            <w:pPr>
              <w:spacing w:after="0"/>
            </w:pPr>
            <w:hyperlink r:id="rId113">
              <w:r>
                <w:rPr>
                  <w:color w:val="0563C1"/>
                  <w:u w:val="single"/>
                </w:rPr>
                <w:t>PMID 27114232</w:t>
              </w:r>
            </w:hyperlink>
            <w:r w:rsidR="00000000">
              <w:rPr>
                <w:sz w:val="14"/>
              </w:rPr>
              <w:t xml:space="preserve"> </w:t>
            </w:r>
            <w:hyperlink r:id="rId114">
              <w:r>
                <w:rPr>
                  <w:color w:val="0563C1"/>
                  <w:u w:val="single"/>
                </w:rPr>
                <w:t>Peer-reviewed paper</w:t>
              </w:r>
            </w:hyperlink>
          </w:p>
        </w:tc>
      </w:tr>
      <w:tr w:rsidR="000E6BF1" w14:paraId="2A6333BF"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C2D536B" w14:textId="77777777" w:rsidR="000E6BF1" w:rsidRDefault="00000000">
            <w:pPr>
              <w:spacing w:after="0"/>
            </w:pPr>
            <w:r>
              <w:rPr>
                <w:sz w:val="14"/>
              </w:rPr>
              <w:t>NAGLU</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1E5EC90" w14:textId="77777777" w:rsidR="000E6BF1" w:rsidRDefault="00000000">
            <w:pPr>
              <w:spacing w:after="0"/>
            </w:pPr>
            <w:r>
              <w:rPr>
                <w:sz w:val="14"/>
              </w:rPr>
              <w:t>Heparan-sulfate catabolism</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CB12F19" w14:textId="77777777" w:rsidR="000E6BF1" w:rsidRDefault="00000000">
            <w:pPr>
              <w:spacing w:after="0"/>
            </w:pPr>
            <w:r>
              <w:rPr>
                <w:sz w:val="14"/>
              </w:rPr>
              <w:t>Removes terminal N-acetylglucosamine residues during lysosomal glycosaminoglycan degradation.</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468A34E" w14:textId="77777777" w:rsidR="000E6BF1" w:rsidRDefault="00000000">
            <w:pPr>
              <w:spacing w:after="0"/>
            </w:pPr>
            <w:r>
              <w:rPr>
                <w:sz w:val="14"/>
              </w:rPr>
              <w:t>Protective substrate clearance</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D4DBD46" w14:textId="77777777" w:rsidR="000E6BF1" w:rsidRDefault="000E6BF1">
            <w:pPr>
              <w:spacing w:after="0"/>
            </w:pPr>
            <w:hyperlink r:id="rId115">
              <w:r>
                <w:rPr>
                  <w:color w:val="0563C1"/>
                  <w:u w:val="single"/>
                </w:rPr>
                <w:t>Peer-reviewed full text</w:t>
              </w:r>
            </w:hyperlink>
            <w:r w:rsidR="00000000">
              <w:rPr>
                <w:sz w:val="14"/>
              </w:rPr>
              <w:t xml:space="preserve"> </w:t>
            </w:r>
            <w:hyperlink r:id="rId116">
              <w:r>
                <w:rPr>
                  <w:color w:val="0563C1"/>
                  <w:u w:val="single"/>
                </w:rPr>
                <w:t>Peer-reviewed paper</w:t>
              </w:r>
            </w:hyperlink>
          </w:p>
        </w:tc>
      </w:tr>
      <w:tr w:rsidR="000E6BF1" w14:paraId="3D0B4EE9"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AC4F00B" w14:textId="77777777" w:rsidR="000E6BF1" w:rsidRDefault="00000000">
            <w:pPr>
              <w:spacing w:after="0"/>
            </w:pPr>
            <w:r>
              <w:rPr>
                <w:sz w:val="14"/>
              </w:rPr>
              <w:t>LYZ2</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0399EAE" w14:textId="77777777" w:rsidR="000E6BF1" w:rsidRDefault="00000000">
            <w:pPr>
              <w:spacing w:after="0"/>
            </w:pPr>
            <w:r>
              <w:rPr>
                <w:sz w:val="14"/>
              </w:rPr>
              <w:t>Glycan hydrolase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D893408" w14:textId="77777777" w:rsidR="000E6BF1" w:rsidRDefault="00000000">
            <w:pPr>
              <w:spacing w:after="0"/>
            </w:pPr>
            <w:r>
              <w:rPr>
                <w:sz w:val="14"/>
              </w:rPr>
              <w:t>Hydrolyzes β-1,4 linkages in peptidoglycan-like glycans; signals an inducible lysosomal hydrolase program.</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39DE0F0" w14:textId="77777777" w:rsidR="000E6BF1" w:rsidRDefault="00000000">
            <w:pPr>
              <w:spacing w:after="0"/>
            </w:pPr>
            <w:r>
              <w:rPr>
                <w:sz w:val="14"/>
              </w:rPr>
              <w:t>Likely capacity marker in neurons</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ACB1C58" w14:textId="77777777" w:rsidR="000E6BF1" w:rsidRDefault="000E6BF1">
            <w:pPr>
              <w:spacing w:after="0"/>
            </w:pPr>
            <w:hyperlink r:id="rId117">
              <w:r>
                <w:rPr>
                  <w:color w:val="0563C1"/>
                  <w:u w:val="single"/>
                </w:rPr>
                <w:t>Peer-reviewed full text</w:t>
              </w:r>
            </w:hyperlink>
          </w:p>
        </w:tc>
      </w:tr>
      <w:tr w:rsidR="000E6BF1" w14:paraId="3655ED34"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5DF0C8B" w14:textId="77777777" w:rsidR="000E6BF1" w:rsidRDefault="00000000">
            <w:pPr>
              <w:spacing w:after="0"/>
            </w:pPr>
            <w:r>
              <w:rPr>
                <w:sz w:val="14"/>
              </w:rPr>
              <w:t>IFI30</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8F130C7" w14:textId="77777777" w:rsidR="000E6BF1" w:rsidRDefault="00000000">
            <w:pPr>
              <w:spacing w:after="0"/>
            </w:pPr>
            <w:r>
              <w:rPr>
                <w:sz w:val="14"/>
              </w:rPr>
              <w:t>Lysosomal thiol reductase</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7E8F492" w14:textId="77777777" w:rsidR="000E6BF1" w:rsidRDefault="00000000">
            <w:pPr>
              <w:spacing w:after="0"/>
            </w:pPr>
            <w:r>
              <w:rPr>
                <w:sz w:val="14"/>
              </w:rPr>
              <w:t>Reduces disulfide bonds in endolysosomal proteins, facilitating proteolysis.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EFB5A4F" w14:textId="77777777" w:rsidR="000E6BF1" w:rsidRDefault="00000000">
            <w:pPr>
              <w:spacing w:after="0"/>
            </w:pPr>
            <w:r>
              <w:rPr>
                <w:sz w:val="14"/>
              </w:rPr>
              <w:t>Supports luminal protein turnover</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BC4574C" w14:textId="77777777" w:rsidR="000E6BF1" w:rsidRDefault="000E6BF1">
            <w:pPr>
              <w:spacing w:after="0"/>
            </w:pPr>
            <w:hyperlink r:id="rId118">
              <w:r>
                <w:rPr>
                  <w:color w:val="0563C1"/>
                  <w:u w:val="single"/>
                </w:rPr>
                <w:t>PMID 35253783</w:t>
              </w:r>
            </w:hyperlink>
          </w:p>
        </w:tc>
      </w:tr>
      <w:tr w:rsidR="000E6BF1" w14:paraId="6D8BF026"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979C1A1" w14:textId="77777777" w:rsidR="000E6BF1" w:rsidRDefault="00000000">
            <w:pPr>
              <w:spacing w:after="0"/>
            </w:pPr>
            <w:r>
              <w:rPr>
                <w:sz w:val="14"/>
              </w:rPr>
              <w:t>SLC15A3</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F05F9E1" w14:textId="77777777" w:rsidR="000E6BF1" w:rsidRDefault="00000000">
            <w:pPr>
              <w:spacing w:after="0"/>
            </w:pPr>
            <w:r>
              <w:rPr>
                <w:sz w:val="14"/>
              </w:rPr>
              <w:t>Endolysosomal peptide/histidine transporter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3501603" w14:textId="77777777" w:rsidR="000E6BF1" w:rsidRDefault="00000000">
            <w:pPr>
              <w:spacing w:after="0"/>
            </w:pPr>
            <w:r>
              <w:rPr>
                <w:sz w:val="14"/>
              </w:rPr>
              <w:t>Proton-coupled transporter moving histidine and selected dipeptides across endolysosomal membranes.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26952DF" w14:textId="77777777" w:rsidR="000E6BF1" w:rsidRDefault="00000000">
            <w:pPr>
              <w:spacing w:after="0"/>
            </w:pPr>
            <w:r>
              <w:rPr>
                <w:sz w:val="14"/>
              </w:rPr>
              <w:t>Supports metabolite recovery/signaling</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D9D106C" w14:textId="77777777" w:rsidR="000E6BF1" w:rsidRDefault="000E6BF1">
            <w:pPr>
              <w:spacing w:after="0"/>
            </w:pPr>
            <w:hyperlink r:id="rId119">
              <w:r>
                <w:rPr>
                  <w:color w:val="0563C1"/>
                  <w:u w:val="single"/>
                </w:rPr>
                <w:t>PMID 39719710</w:t>
              </w:r>
            </w:hyperlink>
          </w:p>
        </w:tc>
      </w:tr>
      <w:tr w:rsidR="000E6BF1" w14:paraId="0BF2A06B"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C88D7BE" w14:textId="77777777" w:rsidR="000E6BF1" w:rsidRDefault="00000000">
            <w:pPr>
              <w:spacing w:after="0"/>
            </w:pPr>
            <w:r>
              <w:rPr>
                <w:sz w:val="14"/>
              </w:rPr>
              <w:t>CTSC</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8C96A45" w14:textId="77777777" w:rsidR="000E6BF1" w:rsidRDefault="00000000">
            <w:pPr>
              <w:spacing w:after="0"/>
            </w:pPr>
            <w:r>
              <w:rPr>
                <w:sz w:val="14"/>
              </w:rPr>
              <w:t>Lysosomal cysteine protease</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1FE8F2B" w14:textId="77777777" w:rsidR="000E6BF1" w:rsidRDefault="00000000">
            <w:pPr>
              <w:spacing w:after="0"/>
            </w:pPr>
            <w:r>
              <w:rPr>
                <w:sz w:val="14"/>
              </w:rPr>
              <w:t>Dipeptidyl peptidase I removes N-terminal dipeptides and activates select proteases.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DC71DA5" w14:textId="77777777" w:rsidR="000E6BF1" w:rsidRDefault="00000000">
            <w:pPr>
              <w:spacing w:after="0"/>
            </w:pPr>
            <w:r>
              <w:rPr>
                <w:sz w:val="14"/>
              </w:rPr>
              <w:t>Capacity support; broad activation can be harmful</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AC8FF2F" w14:textId="77777777" w:rsidR="000E6BF1" w:rsidRDefault="000E6BF1">
            <w:pPr>
              <w:spacing w:after="0"/>
            </w:pPr>
            <w:hyperlink r:id="rId120">
              <w:r>
                <w:rPr>
                  <w:color w:val="0563C1"/>
                  <w:u w:val="single"/>
                </w:rPr>
                <w:t>PMID 39243987</w:t>
              </w:r>
            </w:hyperlink>
          </w:p>
        </w:tc>
      </w:tr>
      <w:tr w:rsidR="000E6BF1" w14:paraId="486906D3"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600E389" w14:textId="77777777" w:rsidR="000E6BF1" w:rsidRDefault="00000000">
            <w:pPr>
              <w:spacing w:after="0"/>
            </w:pPr>
            <w:r>
              <w:rPr>
                <w:sz w:val="14"/>
              </w:rPr>
              <w:t>CTSH</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B260797" w14:textId="77777777" w:rsidR="000E6BF1" w:rsidRDefault="00000000">
            <w:pPr>
              <w:spacing w:after="0"/>
            </w:pPr>
            <w:r>
              <w:rPr>
                <w:sz w:val="14"/>
              </w:rPr>
              <w:t>Lysosomal cysteine protease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CFDF969" w14:textId="77777777" w:rsidR="000E6BF1" w:rsidRDefault="00000000">
            <w:pPr>
              <w:spacing w:after="0"/>
            </w:pPr>
            <w:r>
              <w:rPr>
                <w:sz w:val="14"/>
              </w:rPr>
              <w:t>Functions as aminopeptidase/endopeptidase in protein turnover.</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655E48B" w14:textId="77777777" w:rsidR="000E6BF1" w:rsidRDefault="00000000">
            <w:pPr>
              <w:spacing w:after="0"/>
            </w:pPr>
            <w:r>
              <w:rPr>
                <w:sz w:val="14"/>
              </w:rPr>
              <w:t>Capacity support; context-dependent</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82D9990" w14:textId="77777777" w:rsidR="000E6BF1" w:rsidRDefault="000E6BF1">
            <w:pPr>
              <w:spacing w:after="0"/>
            </w:pPr>
            <w:hyperlink r:id="rId121">
              <w:r>
                <w:rPr>
                  <w:color w:val="0563C1"/>
                  <w:u w:val="single"/>
                </w:rPr>
                <w:t>Peer-reviewed paper</w:t>
              </w:r>
            </w:hyperlink>
            <w:r w:rsidR="00000000">
              <w:rPr>
                <w:sz w:val="14"/>
              </w:rPr>
              <w:t xml:space="preserve"> </w:t>
            </w:r>
            <w:hyperlink r:id="rId122">
              <w:r>
                <w:rPr>
                  <w:color w:val="0563C1"/>
                  <w:u w:val="single"/>
                </w:rPr>
                <w:t>PMID 18792018</w:t>
              </w:r>
            </w:hyperlink>
          </w:p>
        </w:tc>
      </w:tr>
      <w:tr w:rsidR="000E6BF1" w14:paraId="79F5A384"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0379A82" w14:textId="77777777" w:rsidR="000E6BF1" w:rsidRDefault="00000000">
            <w:pPr>
              <w:spacing w:after="0"/>
            </w:pPr>
            <w:r>
              <w:rPr>
                <w:sz w:val="14"/>
              </w:rPr>
              <w:t>CTSZ</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02F1623" w14:textId="77777777" w:rsidR="000E6BF1" w:rsidRDefault="00000000">
            <w:pPr>
              <w:spacing w:after="0"/>
            </w:pPr>
            <w:r>
              <w:rPr>
                <w:sz w:val="14"/>
              </w:rPr>
              <w:t>Lysosomal cysteine carboxypeptidase</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9711D4C" w14:textId="77777777" w:rsidR="000E6BF1" w:rsidRDefault="00000000">
            <w:pPr>
              <w:spacing w:after="0"/>
            </w:pPr>
            <w:r>
              <w:rPr>
                <w:sz w:val="14"/>
              </w:rPr>
              <w:t>Contributes to terminal peptide trimming and adhesion signaling.</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37DDA14" w14:textId="77777777" w:rsidR="000E6BF1" w:rsidRDefault="00000000">
            <w:pPr>
              <w:spacing w:after="0"/>
            </w:pPr>
            <w:r>
              <w:rPr>
                <w:sz w:val="14"/>
              </w:rPr>
              <w:t>Capacity support; context-dependent</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E241990" w14:textId="77777777" w:rsidR="000E6BF1" w:rsidRDefault="000E6BF1">
            <w:pPr>
              <w:spacing w:after="0"/>
            </w:pPr>
            <w:hyperlink r:id="rId123">
              <w:r>
                <w:rPr>
                  <w:color w:val="0563C1"/>
                  <w:u w:val="single"/>
                </w:rPr>
                <w:t>PMID 28486971</w:t>
              </w:r>
            </w:hyperlink>
          </w:p>
        </w:tc>
      </w:tr>
      <w:tr w:rsidR="000E6BF1" w14:paraId="48ADC3ED"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F8F090B" w14:textId="77777777" w:rsidR="000E6BF1" w:rsidRDefault="00000000">
            <w:pPr>
              <w:spacing w:after="0"/>
            </w:pPr>
            <w:r>
              <w:rPr>
                <w:sz w:val="14"/>
              </w:rPr>
              <w:t>LGMN</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D5AE236" w14:textId="77777777" w:rsidR="000E6BF1" w:rsidRDefault="00000000">
            <w:pPr>
              <w:spacing w:after="0"/>
            </w:pPr>
            <w:r>
              <w:rPr>
                <w:sz w:val="14"/>
              </w:rPr>
              <w:t>Lysosomal asparaginyl endopeptidase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2A4E4B7" w14:textId="77777777" w:rsidR="000E6BF1" w:rsidRDefault="00000000">
            <w:pPr>
              <w:spacing w:after="0"/>
            </w:pPr>
            <w:r>
              <w:rPr>
                <w:sz w:val="14"/>
              </w:rPr>
              <w:t>Cleaves proteins after asparagine and helps mature select lysosomal proteins.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AE73C0A" w14:textId="77777777" w:rsidR="000E6BF1" w:rsidRDefault="00000000">
            <w:pPr>
              <w:spacing w:after="0"/>
            </w:pPr>
            <w:r>
              <w:rPr>
                <w:sz w:val="14"/>
              </w:rPr>
              <w:t>Adaptive at controlled activity; leakage can injure</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3F71357" w14:textId="77777777" w:rsidR="000E6BF1" w:rsidRDefault="000E6BF1">
            <w:pPr>
              <w:spacing w:after="0"/>
            </w:pPr>
            <w:hyperlink r:id="rId124">
              <w:r>
                <w:rPr>
                  <w:color w:val="0563C1"/>
                  <w:u w:val="single"/>
                </w:rPr>
                <w:t>Peer-reviewed paper</w:t>
              </w:r>
            </w:hyperlink>
            <w:r w:rsidR="00000000">
              <w:rPr>
                <w:sz w:val="14"/>
              </w:rPr>
              <w:t xml:space="preserve"> </w:t>
            </w:r>
            <w:hyperlink r:id="rId125">
              <w:r>
                <w:rPr>
                  <w:color w:val="0563C1"/>
                  <w:u w:val="single"/>
                </w:rPr>
                <w:t>PMID 18792018</w:t>
              </w:r>
            </w:hyperlink>
          </w:p>
        </w:tc>
      </w:tr>
      <w:tr w:rsidR="000E6BF1" w14:paraId="18BB89D6"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D423456" w14:textId="77777777" w:rsidR="000E6BF1" w:rsidRDefault="00000000">
            <w:pPr>
              <w:spacing w:after="0"/>
            </w:pPr>
            <w:r>
              <w:rPr>
                <w:sz w:val="14"/>
              </w:rPr>
              <w:t>PLD4</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FDEADE4" w14:textId="77777777" w:rsidR="000E6BF1" w:rsidRDefault="00000000">
            <w:pPr>
              <w:spacing w:after="0"/>
            </w:pPr>
            <w:r>
              <w:rPr>
                <w:sz w:val="14"/>
              </w:rPr>
              <w:t>Lysosomal S,S-BMP synthesis and acid exonuclease activity</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CC1FE30" w14:textId="77777777" w:rsidR="000E6BF1" w:rsidRDefault="00000000">
            <w:pPr>
              <w:spacing w:after="0"/>
            </w:pPr>
            <w:r>
              <w:rPr>
                <w:sz w:val="14"/>
              </w:rPr>
              <w:t>Recent biochemical work shows that PLD4 contributes to synthesis of S,S-BMP, a lysosomal phospholipid that enables lipid degradation; separate work established acid exonuclease activity. The relative importance of these functions in neurons remains untested.</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94142BD" w14:textId="77777777" w:rsidR="000E6BF1" w:rsidRDefault="00000000">
            <w:pPr>
              <w:spacing w:after="0"/>
            </w:pPr>
            <w:r>
              <w:rPr>
                <w:sz w:val="14"/>
              </w:rPr>
              <w:t>Potentially adaptive; neuronal function requires direct testing</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7AA3B8E" w14:textId="77777777" w:rsidR="000E6BF1" w:rsidRDefault="000E6BF1">
            <w:pPr>
              <w:spacing w:after="0"/>
            </w:pPr>
            <w:hyperlink r:id="rId126">
              <w:r>
                <w:rPr>
                  <w:color w:val="0563C1"/>
                  <w:u w:val="single"/>
                </w:rPr>
                <w:t>PMID 39423811</w:t>
              </w:r>
            </w:hyperlink>
            <w:r w:rsidR="00000000">
              <w:rPr>
                <w:sz w:val="14"/>
              </w:rPr>
              <w:t xml:space="preserve"> </w:t>
            </w:r>
            <w:hyperlink r:id="rId127">
              <w:r>
                <w:rPr>
                  <w:color w:val="0563C1"/>
                  <w:u w:val="single"/>
                </w:rPr>
                <w:t>PMID 30111894</w:t>
              </w:r>
            </w:hyperlink>
          </w:p>
        </w:tc>
      </w:tr>
      <w:tr w:rsidR="000E6BF1" w14:paraId="1447F594"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DA382A6" w14:textId="77777777" w:rsidR="000E6BF1" w:rsidRDefault="00000000">
            <w:pPr>
              <w:spacing w:after="0"/>
            </w:pPr>
            <w:r>
              <w:rPr>
                <w:sz w:val="14"/>
              </w:rPr>
              <w:lastRenderedPageBreak/>
              <w:t>PLBD1</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4D80514" w14:textId="77777777" w:rsidR="000E6BF1" w:rsidRDefault="00000000">
            <w:pPr>
              <w:spacing w:after="0"/>
            </w:pPr>
            <w:r>
              <w:rPr>
                <w:sz w:val="14"/>
              </w:rPr>
              <w:t>Lysosomal leucine aminopeptidase (LyLAP)</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E47A3F6" w14:textId="77777777" w:rsidR="000E6BF1" w:rsidRDefault="00000000">
            <w:pPr>
              <w:spacing w:after="0"/>
            </w:pPr>
            <w:r>
              <w:rPr>
                <w:sz w:val="14"/>
              </w:rPr>
              <w:t>PLBD1/LyLAP can support lysosomal degradation of membrane proteins and lysosomal integrity in highly endocytic cells. Direct neuronal and EAE relevance is not established.</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D69EA15" w14:textId="77777777" w:rsidR="000E6BF1" w:rsidRDefault="00000000">
            <w:pPr>
              <w:spacing w:after="0"/>
            </w:pPr>
            <w:r>
              <w:rPr>
                <w:sz w:val="14"/>
              </w:rPr>
              <w:t>Potentially adaptive, but presently extrapolated from non-neuronal systems</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3462009" w14:textId="77777777" w:rsidR="000E6BF1" w:rsidRDefault="000E6BF1">
            <w:pPr>
              <w:spacing w:after="0"/>
            </w:pPr>
            <w:hyperlink r:id="rId128">
              <w:r>
                <w:rPr>
                  <w:color w:val="0563C1"/>
                  <w:u w:val="single"/>
                </w:rPr>
                <w:t>PMID 40146846</w:t>
              </w:r>
            </w:hyperlink>
          </w:p>
        </w:tc>
      </w:tr>
      <w:tr w:rsidR="000E6BF1" w14:paraId="2932AD08"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7A4EF5B" w14:textId="77777777" w:rsidR="000E6BF1" w:rsidRDefault="00000000">
            <w:pPr>
              <w:spacing w:after="0"/>
            </w:pPr>
            <w:r>
              <w:rPr>
                <w:sz w:val="14"/>
              </w:rPr>
              <w:t>ARRDC2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D7F3F8F" w14:textId="77777777" w:rsidR="000E6BF1" w:rsidRDefault="00000000">
            <w:pPr>
              <w:spacing w:after="0"/>
            </w:pPr>
            <w:r>
              <w:rPr>
                <w:sz w:val="14"/>
              </w:rPr>
              <w:t>Arrestin-domain trafficking adaptor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5B6586C" w14:textId="77777777" w:rsidR="000E6BF1" w:rsidRDefault="00000000">
            <w:pPr>
              <w:spacing w:after="0"/>
            </w:pPr>
            <w:r>
              <w:rPr>
                <w:sz w:val="14"/>
              </w:rPr>
              <w:t>Likely controls membrane-protein sorting; neuronal cargo and lysosomal specificity remain limited.</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F6AEA4C" w14:textId="77777777" w:rsidR="000E6BF1" w:rsidRDefault="00000000">
            <w:pPr>
              <w:spacing w:after="0"/>
            </w:pPr>
            <w:r>
              <w:rPr>
                <w:sz w:val="14"/>
              </w:rPr>
              <w:t>Supporting/indirect</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3AB2EE4" w14:textId="77777777" w:rsidR="000E6BF1" w:rsidRDefault="000E6BF1">
            <w:pPr>
              <w:spacing w:after="0"/>
            </w:pPr>
            <w:hyperlink r:id="rId129">
              <w:r>
                <w:rPr>
                  <w:color w:val="0563C1"/>
                  <w:u w:val="single"/>
                </w:rPr>
                <w:t>PMID 30344041</w:t>
              </w:r>
            </w:hyperlink>
          </w:p>
        </w:tc>
      </w:tr>
      <w:tr w:rsidR="000E6BF1" w14:paraId="278896D6"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824DB55" w14:textId="77777777" w:rsidR="000E6BF1" w:rsidRDefault="00000000">
            <w:pPr>
              <w:spacing w:after="0"/>
            </w:pPr>
            <w:r>
              <w:rPr>
                <w:sz w:val="14"/>
              </w:rPr>
              <w:t>CYTH4</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8FF1409" w14:textId="77777777" w:rsidR="000E6BF1" w:rsidRDefault="00000000">
            <w:pPr>
              <w:spacing w:after="0"/>
            </w:pPr>
            <w:r>
              <w:rPr>
                <w:sz w:val="14"/>
              </w:rPr>
              <w:t>ARF guanine-nucleotide exchange factor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CB07409" w14:textId="77777777" w:rsidR="000E6BF1" w:rsidRDefault="00000000">
            <w:pPr>
              <w:spacing w:after="0"/>
            </w:pPr>
            <w:r>
              <w:rPr>
                <w:sz w:val="14"/>
              </w:rPr>
              <w:t>Regulates membrane trafficking through ARF-family GTPases.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8606426" w14:textId="77777777" w:rsidR="000E6BF1" w:rsidRDefault="00000000">
            <w:pPr>
              <w:spacing w:after="0"/>
            </w:pPr>
            <w:r>
              <w:rPr>
                <w:sz w:val="14"/>
              </w:rPr>
              <w:t>Supporting logistics</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4EEC858" w14:textId="77777777" w:rsidR="000E6BF1" w:rsidRDefault="000E6BF1">
            <w:pPr>
              <w:spacing w:after="0"/>
            </w:pPr>
            <w:hyperlink r:id="rId130">
              <w:r>
                <w:rPr>
                  <w:color w:val="0563C1"/>
                  <w:u w:val="single"/>
                </w:rPr>
                <w:t>PMID 36351827</w:t>
              </w:r>
            </w:hyperlink>
          </w:p>
        </w:tc>
      </w:tr>
      <w:tr w:rsidR="000E6BF1" w14:paraId="58015DDB"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E0F526E" w14:textId="77777777" w:rsidR="000E6BF1" w:rsidRDefault="00000000">
            <w:pPr>
              <w:spacing w:after="0"/>
            </w:pPr>
            <w:r>
              <w:rPr>
                <w:sz w:val="14"/>
              </w:rPr>
              <w:t>FGD2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CDA12C3" w14:textId="77777777" w:rsidR="000E6BF1" w:rsidRDefault="00000000">
            <w:pPr>
              <w:spacing w:after="0"/>
            </w:pPr>
            <w:r>
              <w:rPr>
                <w:sz w:val="14"/>
              </w:rPr>
              <w:t>CDC42 exchange factor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50EA3A7" w14:textId="77777777" w:rsidR="000E6BF1" w:rsidRDefault="00000000">
            <w:pPr>
              <w:spacing w:after="0"/>
            </w:pPr>
            <w:r>
              <w:rPr>
                <w:sz w:val="14"/>
              </w:rPr>
              <w:t>Links phosphoinositide-rich membranes to actin-dependent vesicle trafficking.</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DA8E4DC" w14:textId="77777777" w:rsidR="000E6BF1" w:rsidRDefault="00000000">
            <w:pPr>
              <w:spacing w:after="0"/>
            </w:pPr>
            <w:r>
              <w:rPr>
                <w:sz w:val="14"/>
              </w:rPr>
              <w:t>Supporting logistics</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3607F52" w14:textId="77777777" w:rsidR="000E6BF1" w:rsidRDefault="000E6BF1">
            <w:pPr>
              <w:spacing w:after="0"/>
            </w:pPr>
            <w:hyperlink r:id="rId131">
              <w:r>
                <w:rPr>
                  <w:color w:val="0563C1"/>
                  <w:u w:val="single"/>
                </w:rPr>
                <w:t>PMID 36351827</w:t>
              </w:r>
            </w:hyperlink>
          </w:p>
        </w:tc>
      </w:tr>
      <w:tr w:rsidR="000E6BF1" w14:paraId="1E81B0C2"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77A7825" w14:textId="77777777" w:rsidR="000E6BF1" w:rsidRDefault="00000000">
            <w:pPr>
              <w:spacing w:after="0"/>
            </w:pPr>
            <w:r>
              <w:rPr>
                <w:sz w:val="14"/>
              </w:rPr>
              <w:t>IFITM1</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05FF843" w14:textId="77777777" w:rsidR="000E6BF1" w:rsidRDefault="00000000">
            <w:pPr>
              <w:spacing w:after="0"/>
            </w:pPr>
            <w:r>
              <w:rPr>
                <w:sz w:val="14"/>
              </w:rPr>
              <w:t>Endolysosomal membrane remodeling</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CC3ED7E" w14:textId="77777777" w:rsidR="000E6BF1" w:rsidRDefault="00000000">
            <w:pPr>
              <w:spacing w:after="0"/>
            </w:pPr>
            <w:r>
              <w:rPr>
                <w:sz w:val="14"/>
              </w:rPr>
              <w:t>Interferon-induced transmembrane protein that alters membrane fusion properties.</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37ADBBB" w14:textId="77777777" w:rsidR="000E6BF1" w:rsidRDefault="00000000">
            <w:pPr>
              <w:spacing w:after="0"/>
            </w:pPr>
            <w:r>
              <w:rPr>
                <w:sz w:val="14"/>
              </w:rPr>
              <w:t>Stress-associated logistics</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B4C706B" w14:textId="77777777" w:rsidR="000E6BF1" w:rsidRDefault="000E6BF1">
            <w:pPr>
              <w:spacing w:after="0"/>
            </w:pPr>
            <w:hyperlink r:id="rId132">
              <w:r>
                <w:rPr>
                  <w:color w:val="0563C1"/>
                  <w:u w:val="single"/>
                </w:rPr>
                <w:t>PMID 24588027</w:t>
              </w:r>
            </w:hyperlink>
          </w:p>
        </w:tc>
      </w:tr>
      <w:tr w:rsidR="000E6BF1" w14:paraId="0055DA5E"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066CDED" w14:textId="77777777" w:rsidR="000E6BF1" w:rsidRDefault="00000000">
            <w:pPr>
              <w:spacing w:after="0"/>
            </w:pPr>
            <w:r>
              <w:rPr>
                <w:sz w:val="14"/>
              </w:rPr>
              <w:t>IFITM3</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2F6F9EE" w14:textId="77777777" w:rsidR="000E6BF1" w:rsidRDefault="00000000">
            <w:pPr>
              <w:spacing w:after="0"/>
            </w:pPr>
            <w:r>
              <w:rPr>
                <w:sz w:val="14"/>
              </w:rPr>
              <w:t>Endolysosomal membrane remodeling</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7DEEA9D" w14:textId="77777777" w:rsidR="000E6BF1" w:rsidRDefault="00000000">
            <w:pPr>
              <w:spacing w:after="0"/>
            </w:pPr>
            <w:r>
              <w:rPr>
                <w:sz w:val="14"/>
              </w:rPr>
              <w:t>Restricts membrane fusion and can alter endosomal/lysosomal trafficking in neurons.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DDB69FE" w14:textId="77777777" w:rsidR="000E6BF1" w:rsidRDefault="00000000">
            <w:pPr>
              <w:spacing w:after="0"/>
            </w:pPr>
            <w:r>
              <w:rPr>
                <w:sz w:val="14"/>
              </w:rPr>
              <w:t>Stress-associated; direction context-dependent</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57E10C2" w14:textId="77777777" w:rsidR="000E6BF1" w:rsidRDefault="000E6BF1">
            <w:pPr>
              <w:spacing w:after="0"/>
            </w:pPr>
            <w:hyperlink r:id="rId133">
              <w:r>
                <w:rPr>
                  <w:color w:val="0563C1"/>
                  <w:u w:val="single"/>
                </w:rPr>
                <w:t>PMID 24588027</w:t>
              </w:r>
            </w:hyperlink>
          </w:p>
        </w:tc>
      </w:tr>
      <w:tr w:rsidR="000E6BF1" w14:paraId="04066F65"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8A6ED3C" w14:textId="77777777" w:rsidR="000E6BF1" w:rsidRDefault="00000000">
            <w:pPr>
              <w:spacing w:after="0"/>
            </w:pPr>
            <w:r>
              <w:rPr>
                <w:sz w:val="14"/>
              </w:rPr>
              <w:t>ITM2C</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6E813A1" w14:textId="77777777" w:rsidR="000E6BF1" w:rsidRDefault="00000000">
            <w:pPr>
              <w:spacing w:after="0"/>
            </w:pPr>
            <w:r>
              <w:rPr>
                <w:sz w:val="14"/>
              </w:rPr>
              <w:t>Membrane trafficking/proteostasis</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045E0E2" w14:textId="77777777" w:rsidR="000E6BF1" w:rsidRDefault="00000000">
            <w:pPr>
              <w:spacing w:after="0"/>
            </w:pPr>
            <w:r>
              <w:rPr>
                <w:sz w:val="14"/>
              </w:rPr>
              <w:t>BRI3-family membrane protein linked to secretory/endosomal processing.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3D0E5F7" w14:textId="77777777" w:rsidR="000E6BF1" w:rsidRDefault="00000000">
            <w:pPr>
              <w:spacing w:after="0"/>
            </w:pPr>
            <w:r>
              <w:rPr>
                <w:sz w:val="14"/>
              </w:rPr>
              <w:t>Supporting/indirect</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013007C" w14:textId="77777777" w:rsidR="000E6BF1" w:rsidRDefault="000E6BF1">
            <w:pPr>
              <w:spacing w:after="0"/>
            </w:pPr>
            <w:hyperlink r:id="rId134">
              <w:r>
                <w:rPr>
                  <w:color w:val="0563C1"/>
                  <w:u w:val="single"/>
                </w:rPr>
                <w:t>PMID 32376969</w:t>
              </w:r>
            </w:hyperlink>
          </w:p>
        </w:tc>
      </w:tr>
      <w:tr w:rsidR="000E6BF1" w14:paraId="5B60EE2E"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5EC3349" w14:textId="77777777" w:rsidR="000E6BF1" w:rsidRDefault="00000000">
            <w:pPr>
              <w:spacing w:after="0"/>
            </w:pPr>
            <w:r>
              <w:rPr>
                <w:sz w:val="14"/>
              </w:rPr>
              <w:t>LAPTM5</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17836D5" w14:textId="77777777" w:rsidR="000E6BF1" w:rsidRDefault="00000000">
            <w:pPr>
              <w:spacing w:after="0"/>
            </w:pPr>
            <w:r>
              <w:rPr>
                <w:sz w:val="14"/>
              </w:rPr>
              <w:t>Lysosomal transmembrane adaptor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BDC75E1" w14:textId="77777777" w:rsidR="000E6BF1" w:rsidRDefault="00000000">
            <w:pPr>
              <w:spacing w:after="0"/>
            </w:pPr>
            <w:r>
              <w:rPr>
                <w:sz w:val="14"/>
              </w:rPr>
              <w:t>Controls trafficking and turnover of selected membrane proteins in late endosomes/lysosomes.</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3A2ECD1" w14:textId="77777777" w:rsidR="000E6BF1" w:rsidRDefault="00000000">
            <w:pPr>
              <w:spacing w:after="0"/>
            </w:pPr>
            <w:r>
              <w:rPr>
                <w:sz w:val="14"/>
              </w:rPr>
              <w:t>Supporting logistics</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C63CA9E" w14:textId="77777777" w:rsidR="000E6BF1" w:rsidRDefault="000E6BF1">
            <w:pPr>
              <w:spacing w:after="0"/>
            </w:pPr>
            <w:hyperlink r:id="rId135">
              <w:r>
                <w:rPr>
                  <w:color w:val="0563C1"/>
                  <w:u w:val="single"/>
                </w:rPr>
                <w:t>Peer-reviewed full text</w:t>
              </w:r>
            </w:hyperlink>
            <w:r w:rsidR="00000000">
              <w:rPr>
                <w:sz w:val="14"/>
              </w:rPr>
              <w:t xml:space="preserve"> </w:t>
            </w:r>
            <w:hyperlink r:id="rId136">
              <w:r>
                <w:rPr>
                  <w:color w:val="0563C1"/>
                  <w:u w:val="single"/>
                </w:rPr>
                <w:t>Peer-reviewed paper</w:t>
              </w:r>
            </w:hyperlink>
          </w:p>
        </w:tc>
      </w:tr>
      <w:tr w:rsidR="000E6BF1" w14:paraId="59D5E965"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09E524C" w14:textId="77777777" w:rsidR="000E6BF1" w:rsidRDefault="00000000">
            <w:pPr>
              <w:spacing w:after="0"/>
            </w:pPr>
            <w:r>
              <w:rPr>
                <w:sz w:val="14"/>
              </w:rPr>
              <w:t>LRRK1</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4C8038D" w14:textId="77777777" w:rsidR="000E6BF1" w:rsidRDefault="00000000">
            <w:pPr>
              <w:spacing w:after="0"/>
            </w:pPr>
            <w:r>
              <w:rPr>
                <w:sz w:val="14"/>
              </w:rPr>
              <w:t>Endosomal kinase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83D1F2D" w14:textId="77777777" w:rsidR="000E6BF1" w:rsidRDefault="00000000">
            <w:pPr>
              <w:spacing w:after="0"/>
            </w:pPr>
            <w:r>
              <w:rPr>
                <w:sz w:val="14"/>
              </w:rPr>
              <w:t>Regulates dynein-dependent endosome positioning and cargo trafficking.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BE1CADA" w14:textId="77777777" w:rsidR="000E6BF1" w:rsidRDefault="00000000">
            <w:pPr>
              <w:spacing w:after="0"/>
            </w:pPr>
            <w:r>
              <w:rPr>
                <w:sz w:val="14"/>
              </w:rPr>
              <w:t>Supports organelle transport</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02FEE4D" w14:textId="77777777" w:rsidR="000E6BF1" w:rsidRDefault="000E6BF1">
            <w:pPr>
              <w:spacing w:after="0"/>
            </w:pPr>
            <w:hyperlink r:id="rId137">
              <w:r>
                <w:rPr>
                  <w:color w:val="0563C1"/>
                  <w:u w:val="single"/>
                </w:rPr>
                <w:t>PMID 34031600</w:t>
              </w:r>
            </w:hyperlink>
          </w:p>
        </w:tc>
      </w:tr>
      <w:tr w:rsidR="000E6BF1" w14:paraId="0E2D27C8"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E67B755" w14:textId="77777777" w:rsidR="000E6BF1" w:rsidRDefault="00000000">
            <w:pPr>
              <w:spacing w:after="0"/>
            </w:pPr>
            <w:r>
              <w:rPr>
                <w:sz w:val="14"/>
              </w:rPr>
              <w:t>MS4A6C</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BF12A71" w14:textId="77777777" w:rsidR="000E6BF1" w:rsidRDefault="00000000">
            <w:pPr>
              <w:spacing w:after="0"/>
            </w:pPr>
            <w:r>
              <w:rPr>
                <w:sz w:val="14"/>
              </w:rPr>
              <w:t>Multipass membrane protein</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DF626EA" w14:textId="77777777" w:rsidR="000E6BF1" w:rsidRDefault="00000000">
            <w:pPr>
              <w:spacing w:after="0"/>
            </w:pPr>
            <w:r>
              <w:rPr>
                <w:sz w:val="14"/>
              </w:rPr>
              <w:t>Associated with endolysosomal/immune-state membranes; direct substrate-level function is unresolved.</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73FAE36" w14:textId="77777777" w:rsidR="000E6BF1" w:rsidRDefault="00000000">
            <w:pPr>
              <w:spacing w:after="0"/>
            </w:pPr>
            <w:r>
              <w:rPr>
                <w:sz w:val="14"/>
              </w:rPr>
              <w:t>Supporting/uncertain</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10B00DF" w14:textId="77777777" w:rsidR="000E6BF1" w:rsidRDefault="000E6BF1">
            <w:pPr>
              <w:spacing w:after="0"/>
            </w:pPr>
            <w:hyperlink r:id="rId138">
              <w:r>
                <w:rPr>
                  <w:color w:val="0563C1"/>
                  <w:u w:val="single"/>
                </w:rPr>
                <w:t>PMID 30344041</w:t>
              </w:r>
            </w:hyperlink>
          </w:p>
        </w:tc>
      </w:tr>
      <w:tr w:rsidR="000E6BF1" w14:paraId="4B4AF5CF"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55BE30B" w14:textId="77777777" w:rsidR="000E6BF1" w:rsidRDefault="00000000">
            <w:pPr>
              <w:spacing w:after="0"/>
            </w:pPr>
            <w:r>
              <w:rPr>
                <w:sz w:val="14"/>
              </w:rPr>
              <w:t>MYO1F</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1221075" w14:textId="77777777" w:rsidR="000E6BF1" w:rsidRDefault="00000000">
            <w:pPr>
              <w:spacing w:after="0"/>
            </w:pPr>
            <w:r>
              <w:rPr>
                <w:sz w:val="14"/>
              </w:rPr>
              <w:t>Actin-based membrane motor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2DE5542" w14:textId="77777777" w:rsidR="000E6BF1" w:rsidRDefault="00000000">
            <w:pPr>
              <w:spacing w:after="0"/>
            </w:pPr>
            <w:r>
              <w:rPr>
                <w:sz w:val="14"/>
              </w:rPr>
              <w:t>Links cortical actin to membrane dynamics and vesicle movement.</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679AF60" w14:textId="77777777" w:rsidR="000E6BF1" w:rsidRDefault="00000000">
            <w:pPr>
              <w:spacing w:after="0"/>
            </w:pPr>
            <w:r>
              <w:rPr>
                <w:sz w:val="14"/>
              </w:rPr>
              <w:t>Supporting logistics</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549CD05" w14:textId="77777777" w:rsidR="000E6BF1" w:rsidRDefault="000E6BF1">
            <w:pPr>
              <w:spacing w:after="0"/>
            </w:pPr>
            <w:hyperlink r:id="rId139">
              <w:r>
                <w:rPr>
                  <w:color w:val="0563C1"/>
                  <w:u w:val="single"/>
                </w:rPr>
                <w:t>PMID 36351827</w:t>
              </w:r>
            </w:hyperlink>
          </w:p>
        </w:tc>
      </w:tr>
      <w:tr w:rsidR="000E6BF1" w14:paraId="7C635F2F"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5C4DA7F" w14:textId="77777777" w:rsidR="000E6BF1" w:rsidRDefault="00000000">
            <w:pPr>
              <w:spacing w:after="0"/>
            </w:pPr>
            <w:r>
              <w:rPr>
                <w:sz w:val="14"/>
              </w:rPr>
              <w:t>MYO1G</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BFEFAE0" w14:textId="77777777" w:rsidR="000E6BF1" w:rsidRDefault="00000000">
            <w:pPr>
              <w:spacing w:after="0"/>
            </w:pPr>
            <w:r>
              <w:rPr>
                <w:sz w:val="14"/>
              </w:rPr>
              <w:t>Actin-based membrane motor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FEB3AD1" w14:textId="77777777" w:rsidR="000E6BF1" w:rsidRDefault="00000000">
            <w:pPr>
              <w:spacing w:after="0"/>
            </w:pPr>
            <w:r>
              <w:rPr>
                <w:sz w:val="14"/>
              </w:rPr>
              <w:t>Supports membrane tension, endocytosis and vesicle positioning.</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E3C3CCB" w14:textId="77777777" w:rsidR="000E6BF1" w:rsidRDefault="00000000">
            <w:pPr>
              <w:spacing w:after="0"/>
            </w:pPr>
            <w:r>
              <w:rPr>
                <w:sz w:val="14"/>
              </w:rPr>
              <w:t>Supporting logistics</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7F4FB8F" w14:textId="77777777" w:rsidR="000E6BF1" w:rsidRDefault="000E6BF1">
            <w:pPr>
              <w:spacing w:after="0"/>
            </w:pPr>
            <w:hyperlink r:id="rId140">
              <w:r>
                <w:rPr>
                  <w:color w:val="0563C1"/>
                  <w:u w:val="single"/>
                </w:rPr>
                <w:t>PMID 36351827</w:t>
              </w:r>
            </w:hyperlink>
          </w:p>
        </w:tc>
      </w:tr>
      <w:tr w:rsidR="000E6BF1" w14:paraId="651828AF"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B477DCC" w14:textId="77777777" w:rsidR="000E6BF1" w:rsidRDefault="00000000">
            <w:pPr>
              <w:spacing w:after="0"/>
            </w:pPr>
            <w:r>
              <w:rPr>
                <w:sz w:val="14"/>
              </w:rPr>
              <w:t>RIN3</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0B1A7FE" w14:textId="77777777" w:rsidR="000E6BF1" w:rsidRDefault="00000000">
            <w:pPr>
              <w:spacing w:after="0"/>
            </w:pPr>
            <w:r>
              <w:rPr>
                <w:sz w:val="14"/>
              </w:rPr>
              <w:t>RAB5 exchange factor</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A868D8B" w14:textId="77777777" w:rsidR="000E6BF1" w:rsidRDefault="00000000">
            <w:pPr>
              <w:spacing w:after="0"/>
            </w:pPr>
            <w:r>
              <w:rPr>
                <w:sz w:val="14"/>
              </w:rPr>
              <w:t>Promotes early-endosome RAB5 activation and endocytic trafficking.</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6F0F845" w14:textId="77777777" w:rsidR="000E6BF1" w:rsidRDefault="00000000">
            <w:pPr>
              <w:spacing w:after="0"/>
            </w:pPr>
            <w:r>
              <w:rPr>
                <w:sz w:val="14"/>
              </w:rPr>
              <w:t>Supports cargo delivery</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57142B1" w14:textId="77777777" w:rsidR="000E6BF1" w:rsidRDefault="000E6BF1">
            <w:pPr>
              <w:spacing w:after="0"/>
            </w:pPr>
            <w:hyperlink r:id="rId141">
              <w:r>
                <w:rPr>
                  <w:color w:val="0563C1"/>
                  <w:u w:val="single"/>
                </w:rPr>
                <w:t>PMID 34031600</w:t>
              </w:r>
            </w:hyperlink>
          </w:p>
        </w:tc>
      </w:tr>
      <w:tr w:rsidR="000E6BF1" w14:paraId="0AF20007"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ADDBE1A" w14:textId="77777777" w:rsidR="000E6BF1" w:rsidRDefault="00000000">
            <w:pPr>
              <w:spacing w:after="0"/>
            </w:pPr>
            <w:r>
              <w:rPr>
                <w:sz w:val="14"/>
              </w:rPr>
              <w:t>SYNGR2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7D2E74D" w14:textId="77777777" w:rsidR="000E6BF1" w:rsidRDefault="00000000">
            <w:pPr>
              <w:spacing w:after="0"/>
            </w:pPr>
            <w:r>
              <w:rPr>
                <w:sz w:val="14"/>
              </w:rPr>
              <w:t>Vesicle membrane protein</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100588D" w14:textId="77777777" w:rsidR="000E6BF1" w:rsidRDefault="00000000">
            <w:pPr>
              <w:spacing w:after="0"/>
            </w:pPr>
            <w:r>
              <w:rPr>
                <w:sz w:val="14"/>
              </w:rPr>
              <w:t>Synaptogyrin-family protein associated with vesicle organization and trafficking.</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552026D" w14:textId="77777777" w:rsidR="000E6BF1" w:rsidRDefault="00000000">
            <w:pPr>
              <w:spacing w:after="0"/>
            </w:pPr>
            <w:r>
              <w:rPr>
                <w:sz w:val="14"/>
              </w:rPr>
              <w:t>Supporting logistics</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633C3FA" w14:textId="77777777" w:rsidR="000E6BF1" w:rsidRDefault="000E6BF1">
            <w:pPr>
              <w:spacing w:after="0"/>
            </w:pPr>
            <w:hyperlink r:id="rId142">
              <w:r>
                <w:rPr>
                  <w:color w:val="0563C1"/>
                  <w:u w:val="single"/>
                </w:rPr>
                <w:t>PMID 30344041</w:t>
              </w:r>
            </w:hyperlink>
          </w:p>
        </w:tc>
      </w:tr>
      <w:tr w:rsidR="000E6BF1" w14:paraId="56B36F76"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0F7B47C" w14:textId="77777777" w:rsidR="000E6BF1" w:rsidRDefault="00000000">
            <w:pPr>
              <w:spacing w:after="0"/>
            </w:pPr>
            <w:r>
              <w:rPr>
                <w:sz w:val="14"/>
              </w:rPr>
              <w:t>TBC1D13</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9D3A568" w14:textId="77777777" w:rsidR="000E6BF1" w:rsidRDefault="00000000">
            <w:pPr>
              <w:spacing w:after="0"/>
            </w:pPr>
            <w:r>
              <w:rPr>
                <w:sz w:val="14"/>
              </w:rPr>
              <w:t>RAB GTPase-activating protein</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77D4EA4" w14:textId="77777777" w:rsidR="000E6BF1" w:rsidRDefault="00000000">
            <w:pPr>
              <w:spacing w:after="0"/>
            </w:pPr>
            <w:r>
              <w:rPr>
                <w:sz w:val="14"/>
              </w:rPr>
              <w:t>Likely terminates selected RAB signals during endomembrane trafficking; exact neuronal substrate remains uncertain.</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D3EAFEF" w14:textId="77777777" w:rsidR="000E6BF1" w:rsidRDefault="00000000">
            <w:pPr>
              <w:spacing w:after="0"/>
            </w:pPr>
            <w:r>
              <w:rPr>
                <w:sz w:val="14"/>
              </w:rPr>
              <w:t>Supporting/uncertain</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8F0532C" w14:textId="77777777" w:rsidR="000E6BF1" w:rsidRDefault="000E6BF1">
            <w:pPr>
              <w:spacing w:after="0"/>
            </w:pPr>
            <w:hyperlink r:id="rId143">
              <w:r>
                <w:rPr>
                  <w:color w:val="0563C1"/>
                  <w:u w:val="single"/>
                </w:rPr>
                <w:t>PMID 34031600</w:t>
              </w:r>
            </w:hyperlink>
          </w:p>
        </w:tc>
      </w:tr>
      <w:tr w:rsidR="000E6BF1" w14:paraId="34690F97"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CC7EFB6" w14:textId="77777777" w:rsidR="000E6BF1" w:rsidRDefault="00000000">
            <w:pPr>
              <w:spacing w:after="0"/>
            </w:pPr>
            <w:r>
              <w:rPr>
                <w:sz w:val="14"/>
              </w:rPr>
              <w:t>TSPAN14</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D43FDE5" w14:textId="77777777" w:rsidR="000E6BF1" w:rsidRDefault="00000000">
            <w:pPr>
              <w:spacing w:after="0"/>
            </w:pPr>
            <w:r>
              <w:rPr>
                <w:sz w:val="14"/>
              </w:rPr>
              <w:t>Tetraspanin trafficking regulator</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4701FCC" w14:textId="77777777" w:rsidR="000E6BF1" w:rsidRDefault="00000000">
            <w:pPr>
              <w:spacing w:after="0"/>
            </w:pPr>
            <w:r>
              <w:rPr>
                <w:sz w:val="14"/>
              </w:rPr>
              <w:t>TspanC8 family member controlling ADAM10 maturation and membrane trafficking.</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C809447" w14:textId="77777777" w:rsidR="000E6BF1" w:rsidRDefault="00000000">
            <w:pPr>
              <w:spacing w:after="0"/>
            </w:pPr>
            <w:r>
              <w:rPr>
                <w:sz w:val="14"/>
              </w:rPr>
              <w:t>Cross-organelle supporting node</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BC51FFD" w14:textId="77777777" w:rsidR="000E6BF1" w:rsidRDefault="000E6BF1">
            <w:pPr>
              <w:spacing w:after="0"/>
            </w:pPr>
            <w:hyperlink r:id="rId144">
              <w:r>
                <w:rPr>
                  <w:color w:val="0563C1"/>
                  <w:u w:val="single"/>
                </w:rPr>
                <w:t>PMID 32376969</w:t>
              </w:r>
            </w:hyperlink>
          </w:p>
        </w:tc>
      </w:tr>
      <w:tr w:rsidR="000E6BF1" w14:paraId="5CE4232A"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D87F629" w14:textId="77777777" w:rsidR="000E6BF1" w:rsidRDefault="00000000">
            <w:pPr>
              <w:spacing w:after="0"/>
            </w:pPr>
            <w:r>
              <w:rPr>
                <w:sz w:val="14"/>
              </w:rPr>
              <w:t>CAPN3</w:t>
            </w:r>
          </w:p>
        </w:tc>
        <w:tc>
          <w:tcPr>
            <w:tcW w:w="207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3FB68B9" w14:textId="77777777" w:rsidR="000E6BF1" w:rsidRDefault="00000000">
            <w:pPr>
              <w:spacing w:after="0"/>
            </w:pPr>
            <w:r>
              <w:rPr>
                <w:sz w:val="14"/>
              </w:rPr>
              <w:t>Cytosolic Ca2+-dependent protease</w:t>
            </w:r>
          </w:p>
        </w:tc>
        <w:tc>
          <w:tcPr>
            <w:tcW w:w="424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EED5546" w14:textId="77777777" w:rsidR="000E6BF1" w:rsidRDefault="00000000">
            <w:pPr>
              <w:spacing w:after="0"/>
            </w:pPr>
            <w:r>
              <w:rPr>
                <w:sz w:val="14"/>
              </w:rPr>
              <w:t>Calpain-family protease; not a canonical lysosomal enzyme.</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1ED56FD" w14:textId="77777777" w:rsidR="000E6BF1" w:rsidRDefault="00000000">
            <w:pPr>
              <w:spacing w:after="0"/>
            </w:pPr>
            <w:r>
              <w:rPr>
                <w:sz w:val="14"/>
              </w:rPr>
              <w:t>Adjacent; excess activity may injure</w:t>
            </w:r>
          </w:p>
        </w:tc>
        <w:tc>
          <w:tcPr>
            <w:tcW w:w="178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92F0BCA" w14:textId="77777777" w:rsidR="000E6BF1" w:rsidRDefault="000E6BF1">
            <w:pPr>
              <w:spacing w:after="0"/>
            </w:pPr>
            <w:hyperlink r:id="rId145">
              <w:r>
                <w:rPr>
                  <w:color w:val="0563C1"/>
                  <w:u w:val="single"/>
                </w:rPr>
                <w:t>PMID 34549305</w:t>
              </w:r>
            </w:hyperlink>
          </w:p>
        </w:tc>
      </w:tr>
      <w:tr w:rsidR="000E6BF1" w14:paraId="719ED601" w14:textId="77777777" w:rsidTr="006A6FC3">
        <w:trPr>
          <w:jc w:val="center"/>
        </w:trPr>
        <w:tc>
          <w:tcPr>
            <w:tcW w:w="91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725F9D8" w14:textId="77777777" w:rsidR="000E6BF1" w:rsidRDefault="00000000">
            <w:pPr>
              <w:spacing w:after="0"/>
            </w:pPr>
            <w:r>
              <w:rPr>
                <w:sz w:val="14"/>
              </w:rPr>
              <w:t>CNDP2</w:t>
            </w:r>
          </w:p>
        </w:tc>
        <w:tc>
          <w:tcPr>
            <w:tcW w:w="207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6EEA969" w14:textId="77777777" w:rsidR="000E6BF1" w:rsidRDefault="00000000">
            <w:pPr>
              <w:spacing w:after="0"/>
            </w:pPr>
            <w:r>
              <w:rPr>
                <w:sz w:val="14"/>
              </w:rPr>
              <w:t>Cytosolic dipeptidase</w:t>
            </w:r>
          </w:p>
        </w:tc>
        <w:tc>
          <w:tcPr>
            <w:tcW w:w="424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CE60818" w14:textId="77777777" w:rsidR="000E6BF1" w:rsidRDefault="00000000">
            <w:pPr>
              <w:spacing w:after="0"/>
            </w:pPr>
            <w:r>
              <w:rPr>
                <w:sz w:val="14"/>
              </w:rPr>
              <w:t>Hydrolyzes cytosolic dipeptides including carnosine-related substrates; not lysosomal.</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FD17097" w14:textId="77777777" w:rsidR="000E6BF1" w:rsidRDefault="00000000">
            <w:pPr>
              <w:spacing w:after="0"/>
            </w:pPr>
            <w:r>
              <w:rPr>
                <w:sz w:val="14"/>
              </w:rPr>
              <w:t>Adjacent amino-acid turnover</w:t>
            </w:r>
          </w:p>
        </w:tc>
        <w:tc>
          <w:tcPr>
            <w:tcW w:w="178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0D90B9A" w14:textId="77777777" w:rsidR="000E6BF1" w:rsidRDefault="000E6BF1">
            <w:pPr>
              <w:spacing w:after="0"/>
            </w:pPr>
            <w:hyperlink r:id="rId146">
              <w:r>
                <w:rPr>
                  <w:color w:val="0563C1"/>
                  <w:u w:val="single"/>
                </w:rPr>
                <w:t>Peer-reviewed paper</w:t>
              </w:r>
            </w:hyperlink>
          </w:p>
        </w:tc>
      </w:tr>
    </w:tbl>
    <w:p w14:paraId="7584D401" w14:textId="77777777" w:rsidR="000E6BF1" w:rsidRDefault="00000000">
      <w:pPr>
        <w:pStyle w:val="Heading2"/>
      </w:pPr>
      <w:r>
        <w:t>5.4 Why PSAP is the best primary intervention</w:t>
      </w:r>
    </w:p>
    <w:p w14:paraId="03C61D15" w14:textId="77777777" w:rsidR="000E6BF1" w:rsidRDefault="00000000">
      <w:pPr>
        <w:pStyle w:val="ListBullet"/>
        <w:spacing w:after="40"/>
      </w:pPr>
      <w:r>
        <w:t>PSAP has direct causal relevance to lipid homeostasis and oxidative-stress survival in human neurons, unlike many supporting trafficking genes.</w:t>
      </w:r>
    </w:p>
    <w:p w14:paraId="625665B3" w14:textId="77777777" w:rsidR="000E6BF1" w:rsidRDefault="00000000">
      <w:pPr>
        <w:pStyle w:val="ListBullet"/>
        <w:spacing w:after="40"/>
      </w:pPr>
      <w:r>
        <w:t>PSAP sits at the biochemical center of glycosphingolipid degradation and also interacts with GRN trafficking, so it connects multiple Rank 2 components.</w:t>
      </w:r>
    </w:p>
    <w:p w14:paraId="27887146" w14:textId="77777777" w:rsidR="000E6BF1" w:rsidRDefault="00000000">
      <w:pPr>
        <w:pStyle w:val="ListBullet"/>
        <w:spacing w:after="40"/>
      </w:pPr>
      <w:r>
        <w:t>AAV-mediated PSAP delivery has shown neuroprotection in rodent neurodegeneration models, supporting feasibility for the laboratory’s AAV2–RGC platform.</w:t>
      </w:r>
    </w:p>
    <w:p w14:paraId="386E5DD3" w14:textId="77777777" w:rsidR="000E6BF1" w:rsidRDefault="00000000">
      <w:pPr>
        <w:pStyle w:val="ListBullet"/>
        <w:spacing w:after="40"/>
      </w:pPr>
      <w:r>
        <w:t>PSAP is more neuron-focused and mechanistically cleaner than systemic GRN manipulation, which strongly changes immune antigen presentation in EAE.</w:t>
      </w:r>
    </w:p>
    <w:p w14:paraId="7D1247DB" w14:textId="77777777" w:rsidR="000E6BF1" w:rsidRDefault="00000000">
      <w:pPr>
        <w:pStyle w:val="ListBullet"/>
        <w:spacing w:after="40"/>
      </w:pPr>
      <w:r>
        <w:t>PSAP permits clear epistasis: if benefit requires CTSD processing and NPC2-mediated export, the pathway interpretation is strengthened; if benefit persists without them, extracellular prosaposin–GPR37 signaling may be involved instead.</w:t>
      </w:r>
    </w:p>
    <w:p w14:paraId="415BA574" w14:textId="77777777" w:rsidR="000E6BF1" w:rsidRDefault="00000000">
      <w:pPr>
        <w:pStyle w:val="Heading2"/>
      </w:pPr>
      <w:r>
        <w:t>5.5 GRN conflict and compartment specificity</w:t>
      </w:r>
    </w:p>
    <w:p w14:paraId="73E72795" w14:textId="77777777" w:rsidR="000E6BF1" w:rsidRDefault="00000000">
      <w:r>
        <w:t xml:space="preserve">GRN/progranulin is biologically relevant but is a less clean primary intervention. Progranulin is present in MS tissue and CSF, including neuronal expression, but levels and cellular sources vary with lesion activity </w:t>
      </w:r>
      <w:r>
        <w:lastRenderedPageBreak/>
        <w:t>(</w:t>
      </w:r>
      <w:hyperlink r:id="rId147">
        <w:r w:rsidR="000E6BF1">
          <w:rPr>
            <w:color w:val="0563C1"/>
            <w:u w:val="single"/>
          </w:rPr>
          <w:t>Vercellino et al., Multiple Sclerosis Journal, 2011; PMID 21613335</w:t>
        </w:r>
      </w:hyperlink>
      <w:r>
        <w:t>). In EAE, antibody-mediated depletion aggravated disease, whereas germline Grn deficiency produced resistance by altering hematopoietic antigen presentation; bone-marrow replacement restored susceptibility (</w:t>
      </w:r>
      <w:hyperlink r:id="rId148">
        <w:r w:rsidR="000E6BF1">
          <w:rPr>
            <w:color w:val="0563C1"/>
            <w:u w:val="single"/>
          </w:rPr>
          <w:t>Schmitz et al., Cellular &amp; Molecular Immunology, 2020; PMID 31467413</w:t>
        </w:r>
      </w:hyperlink>
      <w:r>
        <w:t>). These apparently opposing findings are not a contradiction once compartment is considered: systemic GRN affects immunity, while lysosomal GRN can support neurons. The grant should therefore use neuron-restricted perturbation and avoid extrapolating systemic EAE outcomes to neuronal metabolism.</w:t>
      </w:r>
    </w:p>
    <w:p w14:paraId="05E6742C" w14:textId="77777777" w:rsidR="000E6BF1" w:rsidRDefault="00000000">
      <w:pPr>
        <w:pStyle w:val="Heading2"/>
      </w:pPr>
      <w:r>
        <w:t>5.6 Lysosomal versus extracellular PSAP mechanisms</w:t>
      </w:r>
    </w:p>
    <w:p w14:paraId="750364F8" w14:textId="77777777" w:rsidR="000E6BF1" w:rsidRDefault="00000000">
      <w:r>
        <w:t>Prosaposin can act inside lysosomes as the saposin precursor and outside cells as a neurotrophic ligand for GPR37/GPR37L1. Prosaptide studies show neuroprotection and peripheral neurite/nerve regeneration (</w:t>
      </w:r>
      <w:hyperlink r:id="rId149">
        <w:r w:rsidR="000E6BF1">
          <w:rPr>
            <w:color w:val="0563C1"/>
            <w:u w:val="single"/>
          </w:rPr>
          <w:t>Meyer et al., Proceedings of the National Academy of Sciences USA, 2013; PMID 23690594</w:t>
        </w:r>
      </w:hyperlink>
      <w:r>
        <w:t>) (</w:t>
      </w:r>
      <w:hyperlink r:id="rId150">
        <w:r w:rsidR="000E6BF1">
          <w:rPr>
            <w:color w:val="0563C1"/>
            <w:u w:val="single"/>
          </w:rPr>
          <w:t>Campana et al., Journal of the Peripheral Nervous System, 2000; PMID 11442168</w:t>
        </w:r>
      </w:hyperlink>
      <w:r>
        <w:t>) (</w:t>
      </w:r>
      <w:hyperlink r:id="rId151">
        <w:r w:rsidR="000E6BF1">
          <w:rPr>
            <w:color w:val="0563C1"/>
            <w:u w:val="single"/>
          </w:rPr>
          <w:t>Jolivalt et al., Journal of Neuropathology &amp; Experimental Neurology, 2008; PMID 18596543</w:t>
        </w:r>
      </w:hyperlink>
      <w:r>
        <w:t>). The proposed MS mechanism is specifically lysosomal lipid/iron defense. Experiments should therefore separate intracellular PSAP processing from secreted prosaposin signaling—for example by measuring saposin production, lysosomal localization and GPR37 dependence.</w:t>
      </w:r>
    </w:p>
    <w:p w14:paraId="1E4565A6" w14:textId="77777777" w:rsidR="000E6BF1" w:rsidRDefault="00000000">
      <w:pPr>
        <w:pStyle w:val="Heading1"/>
      </w:pPr>
      <w:r>
        <w:t>6. Effects on neuronal health, injury and regeneration</w:t>
      </w:r>
    </w:p>
    <w:tbl>
      <w:tblPr>
        <w:tblW w:w="11777" w:type="dxa"/>
        <w:jc w:val="center"/>
        <w:tblLayout w:type="fixed"/>
        <w:tblLook w:val="04A0" w:firstRow="1" w:lastRow="0" w:firstColumn="1" w:lastColumn="0" w:noHBand="0" w:noVBand="1"/>
      </w:tblPr>
      <w:tblGrid>
        <w:gridCol w:w="2057"/>
        <w:gridCol w:w="3888"/>
        <w:gridCol w:w="3240"/>
        <w:gridCol w:w="2592"/>
      </w:tblGrid>
      <w:tr w:rsidR="000E6BF1" w14:paraId="11EF63E3" w14:textId="77777777" w:rsidTr="006A6FC3">
        <w:trPr>
          <w:tblHeader/>
          <w:jc w:val="center"/>
        </w:trPr>
        <w:tc>
          <w:tcPr>
            <w:tcW w:w="2057"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675945FA" w14:textId="77777777" w:rsidR="000E6BF1" w:rsidRDefault="00000000">
            <w:pPr>
              <w:spacing w:after="0"/>
            </w:pPr>
            <w:r>
              <w:rPr>
                <w:b/>
                <w:color w:val="FFFFFF"/>
                <w:sz w:val="16"/>
              </w:rPr>
              <w:t>Outcome</w:t>
            </w:r>
          </w:p>
        </w:tc>
        <w:tc>
          <w:tcPr>
            <w:tcW w:w="3888"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66DE7C42" w14:textId="77777777" w:rsidR="000E6BF1" w:rsidRDefault="00000000">
            <w:pPr>
              <w:spacing w:after="0"/>
            </w:pPr>
            <w:r>
              <w:rPr>
                <w:b/>
                <w:color w:val="FFFFFF"/>
                <w:sz w:val="16"/>
              </w:rPr>
              <w:t>Mechanistic expectation</w:t>
            </w:r>
          </w:p>
        </w:tc>
        <w:tc>
          <w:tcPr>
            <w:tcW w:w="3240"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051D429" w14:textId="77777777" w:rsidR="000E6BF1" w:rsidRDefault="00000000">
            <w:pPr>
              <w:spacing w:after="0"/>
            </w:pPr>
            <w:r>
              <w:rPr>
                <w:b/>
                <w:color w:val="FFFFFF"/>
                <w:sz w:val="16"/>
              </w:rPr>
              <w:t>Required readout</w:t>
            </w:r>
          </w:p>
        </w:tc>
        <w:tc>
          <w:tcPr>
            <w:tcW w:w="259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E44D6C0" w14:textId="77777777" w:rsidR="000E6BF1" w:rsidRDefault="00000000">
            <w:pPr>
              <w:spacing w:after="0"/>
            </w:pPr>
            <w:r>
              <w:rPr>
                <w:b/>
                <w:color w:val="FFFFFF"/>
                <w:sz w:val="16"/>
              </w:rPr>
              <w:t>Evidence level</w:t>
            </w:r>
          </w:p>
        </w:tc>
      </w:tr>
      <w:tr w:rsidR="000E6BF1" w14:paraId="6E81F8C9" w14:textId="77777777" w:rsidTr="006A6FC3">
        <w:trPr>
          <w:jc w:val="center"/>
        </w:trPr>
        <w:tc>
          <w:tcPr>
            <w:tcW w:w="205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7D7BF0D" w14:textId="77777777" w:rsidR="000E6BF1" w:rsidRDefault="00000000">
            <w:pPr>
              <w:spacing w:after="0"/>
            </w:pPr>
            <w:r>
              <w:rPr>
                <w:sz w:val="16"/>
              </w:rPr>
              <w:t>Neuronal survival</w:t>
            </w:r>
          </w:p>
        </w:tc>
        <w:tc>
          <w:tcPr>
            <w:tcW w:w="388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AC9296C" w14:textId="77777777" w:rsidR="000E6BF1" w:rsidRDefault="00000000">
            <w:pPr>
              <w:spacing w:after="0"/>
            </w:pPr>
            <w:r>
              <w:rPr>
                <w:sz w:val="16"/>
              </w:rPr>
              <w:t>Adequate NADPH/GSH/GPX4 and PSAP-dependent lysosomal clearance reduce lipid-peroxide and iron stress.</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246C397" w14:textId="77777777" w:rsidR="000E6BF1" w:rsidRDefault="00000000">
            <w:pPr>
              <w:spacing w:after="0"/>
            </w:pPr>
            <w:r>
              <w:rPr>
                <w:sz w:val="16"/>
              </w:rPr>
              <w:t>Ferroptosis rescue; viability; βIII-tubulin+ cell counts; membrane integrity</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FCA49E6" w14:textId="77777777" w:rsidR="000E6BF1" w:rsidRDefault="00000000">
            <w:pPr>
              <w:spacing w:after="0"/>
            </w:pPr>
            <w:r>
              <w:rPr>
                <w:sz w:val="16"/>
              </w:rPr>
              <w:t>Strong mechanistic basis</w:t>
            </w:r>
          </w:p>
        </w:tc>
      </w:tr>
      <w:tr w:rsidR="000E6BF1" w14:paraId="354DE2C5" w14:textId="77777777" w:rsidTr="006A6FC3">
        <w:trPr>
          <w:jc w:val="center"/>
        </w:trPr>
        <w:tc>
          <w:tcPr>
            <w:tcW w:w="2057"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B321702" w14:textId="77777777" w:rsidR="000E6BF1" w:rsidRDefault="00000000">
            <w:pPr>
              <w:spacing w:after="0"/>
            </w:pPr>
            <w:r>
              <w:rPr>
                <w:sz w:val="16"/>
              </w:rPr>
              <w:t>Axon maintenance</w:t>
            </w:r>
          </w:p>
        </w:tc>
        <w:tc>
          <w:tcPr>
            <w:tcW w:w="388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BA94F11" w14:textId="77777777" w:rsidR="000E6BF1" w:rsidRDefault="00000000">
            <w:pPr>
              <w:spacing w:after="0"/>
            </w:pPr>
            <w:r>
              <w:rPr>
                <w:sz w:val="16"/>
              </w:rPr>
              <w:t>Membrane redox stability, lysosomal transport and NMNAT2-dependent NAD metabolism preserve long axons.</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94B0083" w14:textId="77777777" w:rsidR="000E6BF1" w:rsidRDefault="00000000">
            <w:pPr>
              <w:spacing w:after="0"/>
            </w:pPr>
            <w:r>
              <w:rPr>
                <w:sz w:val="16"/>
              </w:rPr>
              <w:t>Neurite fragmentation; swellings; NMNAT2/SARM1 markers; optic-nerve axon counts</w:t>
            </w:r>
          </w:p>
        </w:tc>
        <w:tc>
          <w:tcPr>
            <w:tcW w:w="25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D5F8A6A" w14:textId="77777777" w:rsidR="000E6BF1" w:rsidRDefault="00000000">
            <w:pPr>
              <w:spacing w:after="0"/>
            </w:pPr>
            <w:r>
              <w:rPr>
                <w:sz w:val="16"/>
              </w:rPr>
              <w:t>Strong for preservation; direct PSAP–EAE proof absent</w:t>
            </w:r>
          </w:p>
        </w:tc>
      </w:tr>
      <w:tr w:rsidR="000E6BF1" w14:paraId="4ECB94E1" w14:textId="77777777" w:rsidTr="006A6FC3">
        <w:trPr>
          <w:jc w:val="center"/>
        </w:trPr>
        <w:tc>
          <w:tcPr>
            <w:tcW w:w="205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8016661" w14:textId="77777777" w:rsidR="000E6BF1" w:rsidRDefault="00000000">
            <w:pPr>
              <w:spacing w:after="0"/>
            </w:pPr>
            <w:r>
              <w:rPr>
                <w:sz w:val="16"/>
              </w:rPr>
              <w:t>Mitochondrial function</w:t>
            </w:r>
          </w:p>
        </w:tc>
        <w:tc>
          <w:tcPr>
            <w:tcW w:w="388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8C13D4D" w14:textId="77777777" w:rsidR="000E6BF1" w:rsidRDefault="00000000">
            <w:pPr>
              <w:spacing w:after="0"/>
            </w:pPr>
            <w:r>
              <w:rPr>
                <w:sz w:val="16"/>
              </w:rPr>
              <w:t>Reduced lipid oxidation and organelle stress should preserve respiration and ATP reserve; PSAP lipid remodeling may alter mitochondrial membranes indirectly.</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859974D" w14:textId="77777777" w:rsidR="000E6BF1" w:rsidRDefault="00000000">
            <w:pPr>
              <w:spacing w:after="0"/>
            </w:pPr>
            <w:r>
              <w:rPr>
                <w:sz w:val="16"/>
              </w:rPr>
              <w:t>Seahorse OCR; membrane potential; mitochondrial ROS; targeted lipidomics</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00E4721" w14:textId="77777777" w:rsidR="000E6BF1" w:rsidRDefault="00000000">
            <w:pPr>
              <w:spacing w:after="0"/>
            </w:pPr>
            <w:r>
              <w:rPr>
                <w:sz w:val="16"/>
              </w:rPr>
              <w:t>Moderate; test rather than assume</w:t>
            </w:r>
          </w:p>
        </w:tc>
      </w:tr>
      <w:tr w:rsidR="000E6BF1" w14:paraId="3E98C577" w14:textId="77777777" w:rsidTr="006A6FC3">
        <w:trPr>
          <w:jc w:val="center"/>
        </w:trPr>
        <w:tc>
          <w:tcPr>
            <w:tcW w:w="2057"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31B580C" w14:textId="77777777" w:rsidR="000E6BF1" w:rsidRDefault="00000000">
            <w:pPr>
              <w:spacing w:after="0"/>
            </w:pPr>
            <w:r>
              <w:rPr>
                <w:sz w:val="16"/>
              </w:rPr>
              <w:t>Synaptic/dendritic integrity</w:t>
            </w:r>
          </w:p>
        </w:tc>
        <w:tc>
          <w:tcPr>
            <w:tcW w:w="388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B0DBC2B" w14:textId="77777777" w:rsidR="000E6BF1" w:rsidRDefault="00000000">
            <w:pPr>
              <w:spacing w:after="0"/>
            </w:pPr>
            <w:r>
              <w:rPr>
                <w:sz w:val="16"/>
              </w:rPr>
              <w:t>Oxidized membranes and lysosomal transport failure can impair vesicle cycling and dendritic stability before cell death.</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8F8A88B" w14:textId="77777777" w:rsidR="000E6BF1" w:rsidRDefault="00000000">
            <w:pPr>
              <w:spacing w:after="0"/>
            </w:pPr>
            <w:r>
              <w:rPr>
                <w:sz w:val="16"/>
              </w:rPr>
              <w:t>Thy1-H-YFP dendrites; synaptic markers; high-content morphology</w:t>
            </w:r>
          </w:p>
        </w:tc>
        <w:tc>
          <w:tcPr>
            <w:tcW w:w="25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666BE20" w14:textId="77777777" w:rsidR="000E6BF1" w:rsidRDefault="00000000">
            <w:pPr>
              <w:spacing w:after="0"/>
            </w:pPr>
            <w:r>
              <w:rPr>
                <w:sz w:val="16"/>
              </w:rPr>
              <w:t>Plausible and measurable</w:t>
            </w:r>
          </w:p>
        </w:tc>
      </w:tr>
      <w:tr w:rsidR="000E6BF1" w14:paraId="531FA694" w14:textId="77777777" w:rsidTr="006A6FC3">
        <w:trPr>
          <w:jc w:val="center"/>
        </w:trPr>
        <w:tc>
          <w:tcPr>
            <w:tcW w:w="2057"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5DC3908" w14:textId="77777777" w:rsidR="000E6BF1" w:rsidRDefault="00000000">
            <w:pPr>
              <w:spacing w:after="0"/>
            </w:pPr>
            <w:r>
              <w:rPr>
                <w:sz w:val="16"/>
              </w:rPr>
              <w:t>True axon regeneration</w:t>
            </w:r>
          </w:p>
        </w:tc>
        <w:tc>
          <w:tcPr>
            <w:tcW w:w="388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C84905D" w14:textId="77777777" w:rsidR="000E6BF1" w:rsidRDefault="00000000">
            <w:pPr>
              <w:spacing w:after="0"/>
            </w:pPr>
            <w:r>
              <w:rPr>
                <w:sz w:val="16"/>
              </w:rPr>
              <w:t>A permissive redox/lysosomal state may enable regrowth, and prosaptides have peripheral neuritogenic evidence.</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4A34349" w14:textId="77777777" w:rsidR="000E6BF1" w:rsidRDefault="00000000">
            <w:pPr>
              <w:spacing w:after="0"/>
            </w:pPr>
            <w:r>
              <w:rPr>
                <w:sz w:val="16"/>
              </w:rPr>
              <w:t>Regrowth after defined axotomy/optic nerve crush; CTB tracing beyond lesion</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65918F7" w14:textId="77777777" w:rsidR="000E6BF1" w:rsidRDefault="00000000">
            <w:pPr>
              <w:spacing w:after="0"/>
            </w:pPr>
            <w:r>
              <w:rPr>
                <w:sz w:val="16"/>
              </w:rPr>
              <w:t>Exploratory; not established in CNS EAE</w:t>
            </w:r>
          </w:p>
        </w:tc>
      </w:tr>
    </w:tbl>
    <w:p w14:paraId="00465682" w14:textId="77777777" w:rsidR="000E6BF1" w:rsidRDefault="00000000">
      <w:pPr>
        <w:pStyle w:val="Heading2"/>
      </w:pPr>
      <w:r>
        <w:t>6.1 Injury prevention is not the same as regeneration</w:t>
      </w:r>
    </w:p>
    <w:p w14:paraId="25716B6E" w14:textId="77777777" w:rsidR="000E6BF1" w:rsidRDefault="00000000">
      <w:r>
        <w:t>The proposed pathway has a strong basis for neuronal survival and axon preservation. The evidence for true CNS axon regeneration is weaker. NMNAT2 is essential for axon maintenance and development (</w:t>
      </w:r>
      <w:hyperlink r:id="rId152">
        <w:r w:rsidR="000E6BF1">
          <w:rPr>
            <w:color w:val="0563C1"/>
            <w:u w:val="single"/>
          </w:rPr>
          <w:t>Gilley and Coleman, PLoS Biology, 2010; PMID 20126265</w:t>
        </w:r>
      </w:hyperlink>
      <w:r>
        <w:t>) (</w:t>
      </w:r>
      <w:hyperlink r:id="rId153">
        <w:r w:rsidR="000E6BF1">
          <w:rPr>
            <w:color w:val="0563C1"/>
            <w:u w:val="single"/>
          </w:rPr>
          <w:t>Gilley et al., PLoS Biology, 2013; PMID 23946398</w:t>
        </w:r>
      </w:hyperlink>
      <w:r>
        <w:t>), and controlled redox signaling can support regeneration in other injury models (</w:t>
      </w:r>
      <w:hyperlink r:id="rId154">
        <w:r w:rsidR="000E6BF1">
          <w:rPr>
            <w:color w:val="0563C1"/>
            <w:u w:val="single"/>
          </w:rPr>
          <w:t>De Virgiliis et al., Nature Communications, 2020; PMID 33349630</w:t>
        </w:r>
      </w:hyperlink>
      <w:r>
        <w:t>). However, preserving RGC number, OCT thickness or optic-nerve axon density during EAE demonstrates neuroprotection, not regeneration. A regeneration claim requires a defined lesion and demonstration of new axon growth beyond it.</w:t>
      </w:r>
    </w:p>
    <w:tbl>
      <w:tblPr>
        <w:tblW w:w="0" w:type="auto"/>
        <w:jc w:val="center"/>
        <w:tblLayout w:type="fixed"/>
        <w:tblLook w:val="04A0" w:firstRow="1" w:lastRow="0" w:firstColumn="1" w:lastColumn="0" w:noHBand="0" w:noVBand="1"/>
      </w:tblPr>
      <w:tblGrid>
        <w:gridCol w:w="10368"/>
      </w:tblGrid>
      <w:tr w:rsidR="000E6BF1" w14:paraId="00C38ED8" w14:textId="77777777">
        <w:trPr>
          <w:cantSplit/>
          <w:jc w:val="center"/>
        </w:trPr>
        <w:tc>
          <w:tcPr>
            <w:tcW w:w="10368" w:type="dxa"/>
            <w:tcBorders>
              <w:top w:val="single" w:sz="10" w:space="0" w:color="C47A18"/>
              <w:left w:val="single" w:sz="10" w:space="0" w:color="C47A18"/>
              <w:bottom w:val="single" w:sz="10" w:space="0" w:color="C47A18"/>
              <w:right w:val="single" w:sz="10" w:space="0" w:color="C47A18"/>
            </w:tcBorders>
            <w:shd w:val="clear" w:color="auto" w:fill="FFF4E2"/>
            <w:tcMar>
              <w:top w:w="120" w:type="dxa"/>
              <w:left w:w="140" w:type="dxa"/>
              <w:bottom w:w="120" w:type="dxa"/>
              <w:right w:w="140" w:type="dxa"/>
            </w:tcMar>
          </w:tcPr>
          <w:p w14:paraId="0B332944" w14:textId="77777777" w:rsidR="000E6BF1" w:rsidRDefault="00000000">
            <w:pPr>
              <w:spacing w:after="60"/>
            </w:pPr>
            <w:r>
              <w:rPr>
                <w:b/>
                <w:color w:val="C47A18"/>
              </w:rPr>
              <w:t>Recommended wording</w:t>
            </w:r>
          </w:p>
          <w:p w14:paraId="44C2D072" w14:textId="77777777" w:rsidR="000E6BF1" w:rsidRDefault="00000000">
            <w:pPr>
              <w:spacing w:after="0"/>
            </w:pPr>
            <w:r>
              <w:t>Primary claim: preserve neuronal and axonal integrity during inflammatory injury. Secondary exploratory claim: determine whether improved redox and lysosomal lipid homeostasis also increases intrinsic regrowth capacity after a defined axonal lesion.</w:t>
            </w:r>
          </w:p>
        </w:tc>
      </w:tr>
    </w:tbl>
    <w:p w14:paraId="694B9762" w14:textId="77777777" w:rsidR="000E6BF1" w:rsidRDefault="000E6BF1">
      <w:pPr>
        <w:spacing w:after="20"/>
      </w:pPr>
    </w:p>
    <w:p w14:paraId="13FB7D2C" w14:textId="77777777" w:rsidR="000E6BF1" w:rsidRDefault="00000000">
      <w:pPr>
        <w:pStyle w:val="Heading1"/>
      </w:pPr>
      <w:r>
        <w:lastRenderedPageBreak/>
        <w:t>7. Novelty, importance and the defensible MS/EAE gap</w:t>
      </w:r>
    </w:p>
    <w:p w14:paraId="31FDB583" w14:textId="77777777" w:rsidR="000E6BF1" w:rsidRDefault="00000000">
      <w:r>
        <w:t>The clinical importance is high because disability accumulation in MS includes progression that is not explained by overt relapses, and current treatment success is greater for relapsing inflammatory activity than for the neuronal mechanisms sustaining progression (</w:t>
      </w:r>
      <w:hyperlink r:id="rId155">
        <w:r w:rsidR="000E6BF1">
          <w:rPr>
            <w:color w:val="0563C1"/>
            <w:u w:val="single"/>
          </w:rPr>
          <w:t>Hauser and Cree, American Journal of Medicine, 2020; PMID 32682869</w:t>
        </w:r>
      </w:hyperlink>
      <w:r>
        <w:t>). The project is therefore best positioned under disease progression and neuroprotection, while retaining inflammation as the upstream exposure.</w:t>
      </w:r>
    </w:p>
    <w:tbl>
      <w:tblPr>
        <w:tblW w:w="11854" w:type="dxa"/>
        <w:jc w:val="center"/>
        <w:tblLayout w:type="fixed"/>
        <w:tblLook w:val="04A0" w:firstRow="1" w:lastRow="0" w:firstColumn="1" w:lastColumn="0" w:noHBand="0" w:noVBand="1"/>
      </w:tblPr>
      <w:tblGrid>
        <w:gridCol w:w="3775"/>
        <w:gridCol w:w="3240"/>
        <w:gridCol w:w="1023"/>
        <w:gridCol w:w="3816"/>
      </w:tblGrid>
      <w:tr w:rsidR="000E6BF1" w14:paraId="77D4C0F9" w14:textId="77777777" w:rsidTr="00E26DEA">
        <w:trPr>
          <w:tblHeader/>
          <w:jc w:val="center"/>
        </w:trPr>
        <w:tc>
          <w:tcPr>
            <w:tcW w:w="3775"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6D2922BA" w14:textId="77777777" w:rsidR="000E6BF1" w:rsidRDefault="00000000">
            <w:pPr>
              <w:spacing w:after="0"/>
            </w:pPr>
            <w:r>
              <w:rPr>
                <w:b/>
                <w:color w:val="FFFFFF"/>
                <w:sz w:val="16"/>
              </w:rPr>
              <w:t>Claim</w:t>
            </w:r>
          </w:p>
        </w:tc>
        <w:tc>
          <w:tcPr>
            <w:tcW w:w="3240"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E2625FD" w14:textId="77777777" w:rsidR="000E6BF1" w:rsidRDefault="00000000">
            <w:pPr>
              <w:spacing w:after="0"/>
            </w:pPr>
            <w:r>
              <w:rPr>
                <w:b/>
                <w:color w:val="FFFFFF"/>
                <w:sz w:val="16"/>
              </w:rPr>
              <w:t>Current evidence status</w:t>
            </w:r>
          </w:p>
        </w:tc>
        <w:tc>
          <w:tcPr>
            <w:tcW w:w="1023"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788C54D1" w14:textId="77777777" w:rsidR="000E6BF1" w:rsidRDefault="00000000">
            <w:pPr>
              <w:spacing w:after="0"/>
            </w:pPr>
            <w:r>
              <w:rPr>
                <w:b/>
                <w:color w:val="FFFFFF"/>
                <w:sz w:val="16"/>
              </w:rPr>
              <w:t>Novelty*</w:t>
            </w:r>
          </w:p>
        </w:tc>
        <w:tc>
          <w:tcPr>
            <w:tcW w:w="381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3A9EC412" w14:textId="77777777" w:rsidR="000E6BF1" w:rsidRDefault="00000000">
            <w:pPr>
              <w:spacing w:after="0"/>
            </w:pPr>
            <w:r>
              <w:rPr>
                <w:b/>
                <w:color w:val="FFFFFF"/>
                <w:sz w:val="16"/>
              </w:rPr>
              <w:t>Grant interpretation</w:t>
            </w:r>
          </w:p>
        </w:tc>
      </w:tr>
      <w:tr w:rsidR="000E6BF1" w14:paraId="37520277" w14:textId="77777777" w:rsidTr="00E26DEA">
        <w:trPr>
          <w:jc w:val="center"/>
        </w:trPr>
        <w:tc>
          <w:tcPr>
            <w:tcW w:w="3775"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7FC19E0" w14:textId="77777777" w:rsidR="000E6BF1" w:rsidRDefault="00000000">
            <w:pPr>
              <w:spacing w:after="0"/>
            </w:pPr>
            <w:r>
              <w:rPr>
                <w:sz w:val="16"/>
              </w:rPr>
              <w:t>Neuronal PSMB8–PFKFB3 glycolytic reprogramming in MS/EAE</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D79854F" w14:textId="77777777" w:rsidR="000E6BF1" w:rsidRDefault="00000000">
            <w:pPr>
              <w:spacing w:after="0"/>
            </w:pPr>
            <w:r>
              <w:rPr>
                <w:sz w:val="16"/>
              </w:rPr>
              <w:t>Directly established</w:t>
            </w:r>
          </w:p>
        </w:tc>
        <w:tc>
          <w:tcPr>
            <w:tcW w:w="1023"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9FC06DC" w14:textId="77777777" w:rsidR="000E6BF1" w:rsidRDefault="00000000">
            <w:pPr>
              <w:spacing w:after="0"/>
            </w:pPr>
            <w:r>
              <w:rPr>
                <w:sz w:val="16"/>
              </w:rPr>
              <w:t>2/5</w:t>
            </w:r>
          </w:p>
        </w:tc>
        <w:tc>
          <w:tcPr>
            <w:tcW w:w="381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49FF39F" w14:textId="77777777" w:rsidR="000E6BF1" w:rsidRDefault="00000000">
            <w:pPr>
              <w:spacing w:after="0"/>
            </w:pPr>
            <w:r>
              <w:rPr>
                <w:sz w:val="16"/>
              </w:rPr>
              <w:t>Essential anchor and comparator, but not a new standalone mechanism after Woo et al. 2025.</w:t>
            </w:r>
          </w:p>
        </w:tc>
      </w:tr>
      <w:tr w:rsidR="000E6BF1" w14:paraId="7071B922" w14:textId="77777777" w:rsidTr="00E26DEA">
        <w:trPr>
          <w:jc w:val="center"/>
        </w:trPr>
        <w:tc>
          <w:tcPr>
            <w:tcW w:w="3775"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03551B1" w14:textId="77777777" w:rsidR="000E6BF1" w:rsidRDefault="00000000">
            <w:pPr>
              <w:spacing w:after="0"/>
            </w:pPr>
            <w:r>
              <w:rPr>
                <w:sz w:val="16"/>
              </w:rPr>
              <w:t>Neuronal ferroptosis contributes to EAE</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88BD18F" w14:textId="77777777" w:rsidR="000E6BF1" w:rsidRDefault="00000000">
            <w:pPr>
              <w:spacing w:after="0"/>
            </w:pPr>
            <w:r>
              <w:rPr>
                <w:sz w:val="16"/>
              </w:rPr>
              <w:t>Direct evidence now exists</w:t>
            </w:r>
          </w:p>
        </w:tc>
        <w:tc>
          <w:tcPr>
            <w:tcW w:w="1023"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6F3481F" w14:textId="77777777" w:rsidR="000E6BF1" w:rsidRDefault="00000000">
            <w:pPr>
              <w:spacing w:after="0"/>
            </w:pPr>
            <w:r>
              <w:rPr>
                <w:sz w:val="16"/>
              </w:rPr>
              <w:t>2/5</w:t>
            </w:r>
          </w:p>
        </w:tc>
        <w:tc>
          <w:tcPr>
            <w:tcW w:w="381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E2299C3" w14:textId="77777777" w:rsidR="000E6BF1" w:rsidRDefault="00000000">
            <w:pPr>
              <w:spacing w:after="0"/>
            </w:pPr>
            <w:r>
              <w:rPr>
                <w:sz w:val="16"/>
              </w:rPr>
              <w:t>Important outcome, but generic neuronal ferroptosis is no longer the principal novelty.</w:t>
            </w:r>
          </w:p>
        </w:tc>
      </w:tr>
      <w:tr w:rsidR="000E6BF1" w14:paraId="7C5B2E7E" w14:textId="77777777" w:rsidTr="00E26DEA">
        <w:trPr>
          <w:jc w:val="center"/>
        </w:trPr>
        <w:tc>
          <w:tcPr>
            <w:tcW w:w="3775"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5D851C0" w14:textId="77777777" w:rsidR="000E6BF1" w:rsidRDefault="00000000">
            <w:pPr>
              <w:spacing w:after="0"/>
            </w:pPr>
            <w:r>
              <w:rPr>
                <w:sz w:val="16"/>
              </w:rPr>
              <w:t>PGD induction is quantitatively insufficient relative to NOX2/XDH demand</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6C50B17" w14:textId="77777777" w:rsidR="000E6BF1" w:rsidRDefault="00000000">
            <w:pPr>
              <w:spacing w:after="0"/>
            </w:pPr>
            <w:r>
              <w:rPr>
                <w:sz w:val="16"/>
              </w:rPr>
              <w:t>Untested in EAE neurons</w:t>
            </w:r>
          </w:p>
        </w:tc>
        <w:tc>
          <w:tcPr>
            <w:tcW w:w="1023"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047511D" w14:textId="77777777" w:rsidR="000E6BF1" w:rsidRDefault="00000000">
            <w:pPr>
              <w:spacing w:after="0"/>
            </w:pPr>
            <w:r>
              <w:rPr>
                <w:sz w:val="16"/>
              </w:rPr>
              <w:t>4.5/5</w:t>
            </w:r>
          </w:p>
        </w:tc>
        <w:tc>
          <w:tcPr>
            <w:tcW w:w="381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AFFA49F" w14:textId="77777777" w:rsidR="000E6BF1" w:rsidRDefault="00000000">
            <w:pPr>
              <w:spacing w:after="0"/>
            </w:pPr>
            <w:r>
              <w:rPr>
                <w:sz w:val="16"/>
              </w:rPr>
              <w:t>New supply-versus-demand mechanism grounded in the 33-gene module and testable by isotope flux.</w:t>
            </w:r>
          </w:p>
        </w:tc>
      </w:tr>
      <w:tr w:rsidR="000E6BF1" w14:paraId="18263361" w14:textId="77777777" w:rsidTr="00E26DEA">
        <w:trPr>
          <w:jc w:val="center"/>
        </w:trPr>
        <w:tc>
          <w:tcPr>
            <w:tcW w:w="3775"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1138398" w14:textId="77777777" w:rsidR="000E6BF1" w:rsidRDefault="00000000">
            <w:pPr>
              <w:spacing w:after="0"/>
            </w:pPr>
            <w:r>
              <w:rPr>
                <w:sz w:val="16"/>
              </w:rPr>
              <w:t>PSAP-centered lysosomal lipid/iron defense in MS/EAE neurons</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4AC46BE" w14:textId="77777777" w:rsidR="000E6BF1" w:rsidRDefault="00000000">
            <w:pPr>
              <w:spacing w:after="0"/>
            </w:pPr>
            <w:r>
              <w:rPr>
                <w:sz w:val="16"/>
              </w:rPr>
              <w:t>Established in human neurons/PD; not tested in MS/EAE</w:t>
            </w:r>
          </w:p>
        </w:tc>
        <w:tc>
          <w:tcPr>
            <w:tcW w:w="1023"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022CFC7" w14:textId="77777777" w:rsidR="000E6BF1" w:rsidRDefault="00000000">
            <w:pPr>
              <w:spacing w:after="0"/>
            </w:pPr>
            <w:r>
              <w:rPr>
                <w:sz w:val="16"/>
              </w:rPr>
              <w:t>5/5</w:t>
            </w:r>
          </w:p>
        </w:tc>
        <w:tc>
          <w:tcPr>
            <w:tcW w:w="381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289B660" w14:textId="77777777" w:rsidR="000E6BF1" w:rsidRDefault="00000000">
            <w:pPr>
              <w:spacing w:after="0"/>
            </w:pPr>
            <w:r>
              <w:rPr>
                <w:sz w:val="16"/>
              </w:rPr>
              <w:t>Strong novelty with direct neuron-functional precedent and a clear intervention.</w:t>
            </w:r>
          </w:p>
        </w:tc>
      </w:tr>
      <w:tr w:rsidR="000E6BF1" w14:paraId="09271E8B" w14:textId="77777777" w:rsidTr="00E26DEA">
        <w:trPr>
          <w:jc w:val="center"/>
        </w:trPr>
        <w:tc>
          <w:tcPr>
            <w:tcW w:w="3775"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C8DD40D" w14:textId="77777777" w:rsidR="000E6BF1" w:rsidRDefault="00000000">
            <w:pPr>
              <w:spacing w:after="0"/>
            </w:pPr>
            <w:r>
              <w:rPr>
                <w:sz w:val="16"/>
              </w:rPr>
              <w:t>Sequential coupling: NADPH failure → oxidized lipid delivery → PSAP defense</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80CB8F6" w14:textId="77777777" w:rsidR="000E6BF1" w:rsidRDefault="00000000">
            <w:pPr>
              <w:spacing w:after="0"/>
            </w:pPr>
            <w:r>
              <w:rPr>
                <w:sz w:val="16"/>
              </w:rPr>
              <w:t>No direct MS/EAE study identified</w:t>
            </w:r>
          </w:p>
        </w:tc>
        <w:tc>
          <w:tcPr>
            <w:tcW w:w="1023"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B207EB8" w14:textId="77777777" w:rsidR="000E6BF1" w:rsidRDefault="00000000">
            <w:pPr>
              <w:spacing w:after="0"/>
            </w:pPr>
            <w:r>
              <w:rPr>
                <w:sz w:val="16"/>
              </w:rPr>
              <w:t>5/5</w:t>
            </w:r>
          </w:p>
        </w:tc>
        <w:tc>
          <w:tcPr>
            <w:tcW w:w="381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8AA5262" w14:textId="77777777" w:rsidR="000E6BF1" w:rsidRDefault="00000000">
            <w:pPr>
              <w:spacing w:after="0"/>
            </w:pPr>
            <w:r>
              <w:rPr>
                <w:sz w:val="16"/>
              </w:rPr>
              <w:t>Highest conceptual novelty; integrates two independently coherent modules.</w:t>
            </w:r>
          </w:p>
        </w:tc>
      </w:tr>
      <w:tr w:rsidR="000E6BF1" w14:paraId="75D4ACAB" w14:textId="77777777" w:rsidTr="00E26DEA">
        <w:trPr>
          <w:jc w:val="center"/>
        </w:trPr>
        <w:tc>
          <w:tcPr>
            <w:tcW w:w="3775"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CCB8307" w14:textId="77777777" w:rsidR="000E6BF1" w:rsidRDefault="00000000">
            <w:pPr>
              <w:spacing w:after="0"/>
            </w:pPr>
            <w:r>
              <w:rPr>
                <w:sz w:val="16"/>
              </w:rPr>
              <w:t>Shared mechanism across RGCs and motor neurons</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66E76C9" w14:textId="77777777" w:rsidR="000E6BF1" w:rsidRDefault="00000000">
            <w:pPr>
              <w:spacing w:after="0"/>
            </w:pPr>
            <w:r>
              <w:rPr>
                <w:sz w:val="16"/>
              </w:rPr>
              <w:t>Preliminary signature supports it</w:t>
            </w:r>
          </w:p>
        </w:tc>
        <w:tc>
          <w:tcPr>
            <w:tcW w:w="1023"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6CFF5A8" w14:textId="77777777" w:rsidR="000E6BF1" w:rsidRDefault="00000000">
            <w:pPr>
              <w:spacing w:after="0"/>
            </w:pPr>
            <w:r>
              <w:rPr>
                <w:sz w:val="16"/>
              </w:rPr>
              <w:t>4/5</w:t>
            </w:r>
          </w:p>
        </w:tc>
        <w:tc>
          <w:tcPr>
            <w:tcW w:w="381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30FF270" w14:textId="77777777" w:rsidR="000E6BF1" w:rsidRDefault="00000000">
            <w:pPr>
              <w:spacing w:after="0"/>
            </w:pPr>
            <w:r>
              <w:rPr>
                <w:sz w:val="16"/>
              </w:rPr>
              <w:t>Suggests anatomical generalizability rather than a single-neuron subtype effect.</w:t>
            </w:r>
          </w:p>
        </w:tc>
      </w:tr>
      <w:tr w:rsidR="000E6BF1" w14:paraId="1A080AF2" w14:textId="77777777" w:rsidTr="00E26DEA">
        <w:trPr>
          <w:jc w:val="center"/>
        </w:trPr>
        <w:tc>
          <w:tcPr>
            <w:tcW w:w="3775"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AF1113B" w14:textId="77777777" w:rsidR="000E6BF1" w:rsidRDefault="00000000">
            <w:pPr>
              <w:spacing w:after="0"/>
            </w:pPr>
            <w:r>
              <w:rPr>
                <w:sz w:val="16"/>
              </w:rPr>
              <w:t>Neuron-specific AAV2-PSAP therapy in EAE</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D2F010B" w14:textId="77777777" w:rsidR="000E6BF1" w:rsidRDefault="00000000">
            <w:pPr>
              <w:spacing w:after="0"/>
            </w:pPr>
            <w:r>
              <w:rPr>
                <w:sz w:val="16"/>
              </w:rPr>
              <w:t>No direct study identified</w:t>
            </w:r>
          </w:p>
        </w:tc>
        <w:tc>
          <w:tcPr>
            <w:tcW w:w="1023"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F47B92B" w14:textId="77777777" w:rsidR="000E6BF1" w:rsidRDefault="00000000">
            <w:pPr>
              <w:spacing w:after="0"/>
            </w:pPr>
            <w:r>
              <w:rPr>
                <w:sz w:val="16"/>
              </w:rPr>
              <w:t>5/5</w:t>
            </w:r>
          </w:p>
        </w:tc>
        <w:tc>
          <w:tcPr>
            <w:tcW w:w="381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D978CF9" w14:textId="77777777" w:rsidR="000E6BF1" w:rsidRDefault="00000000">
            <w:pPr>
              <w:spacing w:after="0"/>
            </w:pPr>
            <w:r>
              <w:rPr>
                <w:sz w:val="16"/>
              </w:rPr>
              <w:t>Strong translational novelty and aligned with available laboratory expertise.</w:t>
            </w:r>
          </w:p>
        </w:tc>
      </w:tr>
      <w:tr w:rsidR="000E6BF1" w14:paraId="77D5CD8F" w14:textId="77777777" w:rsidTr="00E26DEA">
        <w:trPr>
          <w:jc w:val="center"/>
        </w:trPr>
        <w:tc>
          <w:tcPr>
            <w:tcW w:w="3775"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1989B43" w14:textId="77777777" w:rsidR="000E6BF1" w:rsidRDefault="00000000">
            <w:pPr>
              <w:spacing w:after="0"/>
            </w:pPr>
            <w:r>
              <w:rPr>
                <w:sz w:val="16"/>
              </w:rPr>
              <w:t>PSAP-driven CNS axon regeneration in EAE</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6893FC5" w14:textId="77777777" w:rsidR="000E6BF1" w:rsidRDefault="00000000">
            <w:pPr>
              <w:spacing w:after="0"/>
            </w:pPr>
            <w:r>
              <w:rPr>
                <w:sz w:val="16"/>
              </w:rPr>
              <w:t>Indirect peripheral/prosaptide evidence only</w:t>
            </w:r>
          </w:p>
        </w:tc>
        <w:tc>
          <w:tcPr>
            <w:tcW w:w="1023"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A6027A8" w14:textId="77777777" w:rsidR="000E6BF1" w:rsidRDefault="00000000">
            <w:pPr>
              <w:spacing w:after="0"/>
            </w:pPr>
            <w:r>
              <w:rPr>
                <w:sz w:val="16"/>
              </w:rPr>
              <w:t>3/5</w:t>
            </w:r>
          </w:p>
        </w:tc>
        <w:tc>
          <w:tcPr>
            <w:tcW w:w="381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5DE2F9F" w14:textId="77777777" w:rsidR="000E6BF1" w:rsidRDefault="00000000">
            <w:pPr>
              <w:spacing w:after="0"/>
            </w:pPr>
            <w:r>
              <w:rPr>
                <w:sz w:val="16"/>
              </w:rPr>
              <w:t>Novel but high-risk; present as exploratory, not as an established premise.</w:t>
            </w:r>
          </w:p>
        </w:tc>
      </w:tr>
    </w:tbl>
    <w:p w14:paraId="603BEF3E" w14:textId="77777777" w:rsidR="000E6BF1" w:rsidRDefault="00000000">
      <w:pPr>
        <w:pStyle w:val="Smallnote"/>
      </w:pPr>
      <w:r>
        <w:t>*Novelty scores are structured judgments (1 = established in MS/EAE; 5 = no direct MS/EAE test identified but supported by strong adjacent biology). They are not bibliometric measurements.</w:t>
      </w:r>
    </w:p>
    <w:p w14:paraId="765606F2" w14:textId="77777777" w:rsidR="000E6BF1" w:rsidRDefault="00000000">
      <w:pPr>
        <w:pStyle w:val="Heading2"/>
      </w:pPr>
      <w:r>
        <w:t>7.1 The gap in one clear paragraph</w:t>
      </w:r>
    </w:p>
    <w:tbl>
      <w:tblPr>
        <w:tblW w:w="0" w:type="auto"/>
        <w:jc w:val="center"/>
        <w:tblLayout w:type="fixed"/>
        <w:tblLook w:val="04A0" w:firstRow="1" w:lastRow="0" w:firstColumn="1" w:lastColumn="0" w:noHBand="0" w:noVBand="1"/>
      </w:tblPr>
      <w:tblGrid>
        <w:gridCol w:w="10368"/>
      </w:tblGrid>
      <w:tr w:rsidR="000E6BF1" w14:paraId="3AC9A255" w14:textId="77777777">
        <w:trPr>
          <w:cantSplit/>
          <w:jc w:val="center"/>
        </w:trPr>
        <w:tc>
          <w:tcPr>
            <w:tcW w:w="10368" w:type="dxa"/>
            <w:tcBorders>
              <w:top w:val="single" w:sz="10" w:space="0" w:color="16796F"/>
              <w:left w:val="single" w:sz="10" w:space="0" w:color="16796F"/>
              <w:bottom w:val="single" w:sz="10" w:space="0" w:color="16796F"/>
              <w:right w:val="single" w:sz="10" w:space="0" w:color="16796F"/>
            </w:tcBorders>
            <w:shd w:val="clear" w:color="auto" w:fill="E8F5E9"/>
            <w:tcMar>
              <w:top w:w="120" w:type="dxa"/>
              <w:left w:w="140" w:type="dxa"/>
              <w:bottom w:w="120" w:type="dxa"/>
              <w:right w:w="140" w:type="dxa"/>
            </w:tcMar>
          </w:tcPr>
          <w:p w14:paraId="5D55618E" w14:textId="77777777" w:rsidR="000E6BF1" w:rsidRDefault="00000000">
            <w:pPr>
              <w:spacing w:after="60"/>
            </w:pPr>
            <w:r>
              <w:rPr>
                <w:b/>
                <w:color w:val="16796F"/>
              </w:rPr>
              <w:t>Defensible novelty statement</w:t>
            </w:r>
          </w:p>
          <w:p w14:paraId="2F8C774D" w14:textId="77777777" w:rsidR="000E6BF1" w:rsidRDefault="00000000">
            <w:pPr>
              <w:spacing w:after="0"/>
            </w:pPr>
            <w:r>
              <w:t>Although neuronal glycolytic reprogramming and ferroptosis have been demonstrated in MS/EAE, it remains unknown why some inflamed neurons resist lipid-peroxidation injury while others progress to axonal degeneration. Our preliminary data identify a shared neuronal response in RGCs and motor neurons that combines PGD-dependent NADPH supply, a broad NADPH-consuming oxidase program and a PSAP–GRN–CTSD–NPC2 lysosomal lipid pathway. We will test the new hypothesis that inadequate reducing-power supply increases oxidized-lipid delivery to lysosomes and that PSAP-dependent lipid/iron clearance is the adaptive checkpoint that determines neuronal survival.</w:t>
            </w:r>
          </w:p>
        </w:tc>
      </w:tr>
    </w:tbl>
    <w:p w14:paraId="64657D27" w14:textId="77777777" w:rsidR="000E6BF1" w:rsidRDefault="000E6BF1">
      <w:pPr>
        <w:spacing w:after="20"/>
      </w:pPr>
    </w:p>
    <w:p w14:paraId="247F3F0D" w14:textId="77777777" w:rsidR="000E6BF1" w:rsidRDefault="00000000">
      <w:pPr>
        <w:pStyle w:val="Heading2"/>
      </w:pPr>
      <w:r>
        <w:t>7.2 Claims to avoid</w:t>
      </w:r>
    </w:p>
    <w:p w14:paraId="40A28F31" w14:textId="77777777" w:rsidR="000E6BF1" w:rsidRDefault="00000000">
      <w:pPr>
        <w:pStyle w:val="ListBullet"/>
        <w:spacing w:after="40"/>
      </w:pPr>
      <w:r>
        <w:t>“All 33 Rank 1 genes are harmful.” They are not; the module contains both demand and compensation.</w:t>
      </w:r>
    </w:p>
    <w:p w14:paraId="375C30DB" w14:textId="77777777" w:rsidR="000E6BF1" w:rsidRDefault="00000000">
      <w:pPr>
        <w:pStyle w:val="ListBullet"/>
        <w:spacing w:after="40"/>
      </w:pPr>
      <w:r>
        <w:t>“All 36 Rank 2 genes are protective.” Induction can indicate overload, and several supporting genes have limited direct neuronal evidence.</w:t>
      </w:r>
    </w:p>
    <w:p w14:paraId="66CB042B" w14:textId="77777777" w:rsidR="000E6BF1" w:rsidRDefault="00000000">
      <w:pPr>
        <w:pStyle w:val="ListBullet"/>
        <w:spacing w:after="40"/>
      </w:pPr>
      <w:r>
        <w:t>“PGD upregulation proves increased PPP flux.” It does not.</w:t>
      </w:r>
    </w:p>
    <w:p w14:paraId="156BD1D2" w14:textId="77777777" w:rsidR="000E6BF1" w:rsidRDefault="00000000">
      <w:pPr>
        <w:pStyle w:val="ListBullet"/>
        <w:spacing w:after="40"/>
      </w:pPr>
      <w:r>
        <w:t>“Neuronal ferroptosis in EAE is new.” Direct evidence now exists.</w:t>
      </w:r>
    </w:p>
    <w:p w14:paraId="645D23DA" w14:textId="77777777" w:rsidR="000E6BF1" w:rsidRDefault="00000000">
      <w:pPr>
        <w:pStyle w:val="ListBullet"/>
        <w:spacing w:after="40"/>
      </w:pPr>
      <w:r>
        <w:t>“PSAP is proven to regenerate CNS axons in EAE.” It is not; regeneration remains exploratory.</w:t>
      </w:r>
    </w:p>
    <w:p w14:paraId="643555BC" w14:textId="77777777" w:rsidR="000E6BF1" w:rsidRDefault="00000000">
      <w:pPr>
        <w:pStyle w:val="ListBullet"/>
        <w:spacing w:after="40"/>
      </w:pPr>
      <w:r>
        <w:t>“Systemic GRN effects reveal neuron-intrinsic GRN function.” They do not because immune antigen presentation strongly changes EAE severity.</w:t>
      </w:r>
    </w:p>
    <w:p w14:paraId="6D26EA95" w14:textId="77777777" w:rsidR="000E6BF1" w:rsidRDefault="00000000">
      <w:pPr>
        <w:pStyle w:val="Heading1"/>
      </w:pPr>
      <w:r>
        <w:lastRenderedPageBreak/>
        <w:t>8. Grant hypothesis, aims and intervention logic</w:t>
      </w:r>
    </w:p>
    <w:p w14:paraId="09023571" w14:textId="77777777" w:rsidR="000E6BF1" w:rsidRDefault="00000000">
      <w:pPr>
        <w:pStyle w:val="Heading2"/>
      </w:pPr>
      <w:r>
        <w:t>8.1 Proposed title</w:t>
      </w:r>
    </w:p>
    <w:tbl>
      <w:tblPr>
        <w:tblW w:w="0" w:type="auto"/>
        <w:jc w:val="center"/>
        <w:tblLayout w:type="fixed"/>
        <w:tblLook w:val="04A0" w:firstRow="1" w:lastRow="0" w:firstColumn="1" w:lastColumn="0" w:noHBand="0" w:noVBand="1"/>
      </w:tblPr>
      <w:tblGrid>
        <w:gridCol w:w="10368"/>
      </w:tblGrid>
      <w:tr w:rsidR="000E6BF1" w14:paraId="52DCCA3F" w14:textId="77777777">
        <w:trPr>
          <w:cantSplit/>
          <w:jc w:val="center"/>
        </w:trPr>
        <w:tc>
          <w:tcPr>
            <w:tcW w:w="10368" w:type="dxa"/>
            <w:tcBorders>
              <w:top w:val="single" w:sz="10" w:space="0" w:color="2F6B9A"/>
              <w:left w:val="single" w:sz="10" w:space="0" w:color="2F6B9A"/>
              <w:bottom w:val="single" w:sz="10" w:space="0" w:color="2F6B9A"/>
              <w:right w:val="single" w:sz="10" w:space="0" w:color="2F6B9A"/>
            </w:tcBorders>
            <w:shd w:val="clear" w:color="auto" w:fill="EAF2F8"/>
            <w:tcMar>
              <w:top w:w="120" w:type="dxa"/>
              <w:left w:w="140" w:type="dxa"/>
              <w:bottom w:w="120" w:type="dxa"/>
              <w:right w:w="140" w:type="dxa"/>
            </w:tcMar>
          </w:tcPr>
          <w:p w14:paraId="34C8E553" w14:textId="77777777" w:rsidR="000E6BF1" w:rsidRDefault="00000000">
            <w:pPr>
              <w:spacing w:after="60"/>
            </w:pPr>
            <w:r>
              <w:rPr>
                <w:b/>
                <w:color w:val="2F6B9A"/>
              </w:rPr>
              <w:t>Targeting a PSAP-centered lysosomal defense to protect neurons from inflammation-induced redox and lipid metabolic stress in multiple sclerosis</w:t>
            </w:r>
          </w:p>
          <w:p w14:paraId="1A12809D" w14:textId="77777777" w:rsidR="000E6BF1" w:rsidRDefault="00000000">
            <w:pPr>
              <w:spacing w:after="0"/>
            </w:pPr>
            <w:r>
              <w:t>This title keeps the intervention and neuronal outcome visible while placing inflammation upstream and metabolism at the center.</w:t>
            </w:r>
          </w:p>
        </w:tc>
      </w:tr>
    </w:tbl>
    <w:p w14:paraId="7B47AA1A" w14:textId="77777777" w:rsidR="000E6BF1" w:rsidRDefault="000E6BF1">
      <w:pPr>
        <w:spacing w:after="20"/>
      </w:pPr>
    </w:p>
    <w:p w14:paraId="075591C6" w14:textId="77777777" w:rsidR="000E6BF1" w:rsidRDefault="00000000">
      <w:pPr>
        <w:pStyle w:val="Heading2"/>
      </w:pPr>
      <w:r>
        <w:t>8.2 Central hypothesis</w:t>
      </w:r>
    </w:p>
    <w:tbl>
      <w:tblPr>
        <w:tblW w:w="0" w:type="auto"/>
        <w:jc w:val="center"/>
        <w:tblLayout w:type="fixed"/>
        <w:tblLook w:val="04A0" w:firstRow="1" w:lastRow="0" w:firstColumn="1" w:lastColumn="0" w:noHBand="0" w:noVBand="1"/>
      </w:tblPr>
      <w:tblGrid>
        <w:gridCol w:w="10368"/>
      </w:tblGrid>
      <w:tr w:rsidR="000E6BF1" w14:paraId="06E020AE" w14:textId="77777777">
        <w:trPr>
          <w:cantSplit/>
          <w:jc w:val="center"/>
        </w:trPr>
        <w:tc>
          <w:tcPr>
            <w:tcW w:w="10368" w:type="dxa"/>
            <w:tcBorders>
              <w:top w:val="single" w:sz="10" w:space="0" w:color="16796F"/>
              <w:left w:val="single" w:sz="10" w:space="0" w:color="16796F"/>
              <w:bottom w:val="single" w:sz="10" w:space="0" w:color="16796F"/>
              <w:right w:val="single" w:sz="10" w:space="0" w:color="16796F"/>
            </w:tcBorders>
            <w:shd w:val="clear" w:color="auto" w:fill="E8F5E9"/>
            <w:tcMar>
              <w:top w:w="120" w:type="dxa"/>
              <w:left w:w="140" w:type="dxa"/>
              <w:bottom w:w="120" w:type="dxa"/>
              <w:right w:w="140" w:type="dxa"/>
            </w:tcMar>
          </w:tcPr>
          <w:p w14:paraId="78C602D0" w14:textId="77777777" w:rsidR="000E6BF1" w:rsidRDefault="00000000">
            <w:pPr>
              <w:spacing w:after="60"/>
            </w:pPr>
            <w:r>
              <w:rPr>
                <w:b/>
                <w:color w:val="16796F"/>
              </w:rPr>
              <w:t>Central hypothesis</w:t>
            </w:r>
          </w:p>
          <w:p w14:paraId="5F66D401" w14:textId="77777777" w:rsidR="000E6BF1" w:rsidRDefault="00000000">
            <w:pPr>
              <w:spacing w:after="0"/>
            </w:pPr>
            <w:r>
              <w:t>Inflammatory signaling creates a neuronal NADPH supply–demand imbalance by diverting glucose away from the oxidative PPP while increasing oxidant-generating demand. The resulting failure of glutathione/GPX4-dependent lipid-peroxide repair increases lysosomal delivery of oxidized lipids and iron. A PSAP-centered lysosomal response is induced as an adaptive defense, but sustained stress can exceed this capacity. Enhancing neuronal PSAP, alone or together with restoration of PGD-dependent NADPH production, will reduce lysosomal lipid/iron burden, raise the ferroptosis threshold and preserve neuronal and axonal integrity during EAE.</w:t>
            </w:r>
          </w:p>
        </w:tc>
      </w:tr>
    </w:tbl>
    <w:p w14:paraId="5F525F6B" w14:textId="77777777" w:rsidR="000E6BF1" w:rsidRDefault="000E6BF1">
      <w:pPr>
        <w:spacing w:after="20"/>
      </w:pPr>
    </w:p>
    <w:p w14:paraId="76236C27" w14:textId="77777777" w:rsidR="000E6BF1" w:rsidRDefault="00000000">
      <w:pPr>
        <w:pStyle w:val="Heading2"/>
      </w:pPr>
      <w:r>
        <w:t>8.3 Specific aims</w:t>
      </w:r>
    </w:p>
    <w:p w14:paraId="47F8FDAB" w14:textId="77777777" w:rsidR="000E6BF1" w:rsidRDefault="00000000">
      <w:r>
        <w:rPr>
          <w:b/>
          <w:color w:val="173B63"/>
        </w:rPr>
        <w:t xml:space="preserve">Aim 1. Define the neuronal redox–lysosomal metabolic state in EAE and human MS. </w:t>
      </w:r>
      <w:r>
        <w:t>Confirm the 33- and 36-gene modules in RGC and motor-neuron data; use the expanded human MS single-nucleus datasets as supportive validation; verify selected proteins/localization; quantify basal redox, lipid and lysosomal phenotypes. Single-cell analysis remains a validation component, not the experimental center of the grant.</w:t>
      </w:r>
    </w:p>
    <w:p w14:paraId="3628595F" w14:textId="77777777" w:rsidR="000E6BF1" w:rsidRDefault="00000000">
      <w:r>
        <w:rPr>
          <w:b/>
          <w:color w:val="173B63"/>
        </w:rPr>
        <w:t xml:space="preserve">Aim 2. Establish causality between PGD-dependent NADPH supply, oxidized-lipid burden and PSAP-dependent lysosomal defense. </w:t>
      </w:r>
      <w:r>
        <w:t>Use purified primary neurons challenged with defined inflammatory factors or PBMC-conditioned media. Perturb PSAP and PGD alone and together; use CTSD/NPC2 epistasis and ferroptosis-rescue controls. Determine whether upstream redox failure predicts downstream lysosomal lipid/iron accumulation.</w:t>
      </w:r>
    </w:p>
    <w:p w14:paraId="44F95998" w14:textId="77777777" w:rsidR="000E6BF1" w:rsidRDefault="00000000">
      <w:r>
        <w:rPr>
          <w:b/>
          <w:color w:val="173B63"/>
        </w:rPr>
        <w:t xml:space="preserve">Aim 3. Test whether neuron-specific PSAP enhancement preserves RGCs and axons during EAE. </w:t>
      </w:r>
      <w:r>
        <w:t>Use intravitreal AAV2-PSAP, with an appropriate control vector, before or at a clearly defined disease stage. Measure OCT, optomotor response, RGC survival, optic-nerve axon pathology and pathway-resolving redox/lysosomal readouts. A PGD arm can be reserved for mechanistic extension if Aim 2 demonstrates synergy.</w:t>
      </w:r>
    </w:p>
    <w:p w14:paraId="2CEEEC05" w14:textId="77777777" w:rsidR="000E6BF1" w:rsidRDefault="00000000">
      <w:pPr>
        <w:spacing w:after="60"/>
        <w:jc w:val="center"/>
      </w:pPr>
      <w:r>
        <w:rPr>
          <w:noProof/>
        </w:rPr>
        <w:lastRenderedPageBreak/>
        <w:drawing>
          <wp:inline distT="0" distB="0" distL="0" distR="0" wp14:anchorId="4ED3506D" wp14:editId="1BC15804">
            <wp:extent cx="6492240" cy="3673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experimental_logic.png"/>
                    <pic:cNvPicPr/>
                  </pic:nvPicPr>
                  <pic:blipFill>
                    <a:blip r:embed="rId156"/>
                    <a:stretch>
                      <a:fillRect/>
                    </a:stretch>
                  </pic:blipFill>
                  <pic:spPr>
                    <a:xfrm>
                      <a:off x="0" y="0"/>
                      <a:ext cx="6492240" cy="3673704"/>
                    </a:xfrm>
                    <a:prstGeom prst="rect">
                      <a:avLst/>
                    </a:prstGeom>
                  </pic:spPr>
                </pic:pic>
              </a:graphicData>
            </a:graphic>
          </wp:inline>
        </w:drawing>
      </w:r>
    </w:p>
    <w:p w14:paraId="64E14073" w14:textId="77777777" w:rsidR="000E6BF1" w:rsidRDefault="00000000">
      <w:pPr>
        <w:pStyle w:val="Caption"/>
        <w:spacing w:after="140"/>
      </w:pPr>
      <w:r>
        <w:t>Figure 4. Experimental strategy. Human single-cell/nucleus data provide translational validation, whereas causal conclusions come from purified-neuron metabolism, genetic epistasis and neuron-targeted EAE experiments.</w:t>
      </w:r>
    </w:p>
    <w:p w14:paraId="3072644E" w14:textId="77777777" w:rsidR="000E6BF1" w:rsidRDefault="00000000">
      <w:pPr>
        <w:pStyle w:val="Heading2"/>
      </w:pPr>
      <w:r>
        <w:t>8.4 Minimal intervention matrix</w:t>
      </w:r>
    </w:p>
    <w:tbl>
      <w:tblPr>
        <w:tblW w:w="11278" w:type="dxa"/>
        <w:jc w:val="center"/>
        <w:tblLayout w:type="fixed"/>
        <w:tblLook w:val="04A0" w:firstRow="1" w:lastRow="0" w:firstColumn="1" w:lastColumn="0" w:noHBand="0" w:noVBand="1"/>
      </w:tblPr>
      <w:tblGrid>
        <w:gridCol w:w="2430"/>
        <w:gridCol w:w="1864"/>
        <w:gridCol w:w="2592"/>
        <w:gridCol w:w="4392"/>
      </w:tblGrid>
      <w:tr w:rsidR="000E6BF1" w14:paraId="6BC479F0" w14:textId="77777777" w:rsidTr="00530131">
        <w:trPr>
          <w:tblHeader/>
          <w:jc w:val="center"/>
        </w:trPr>
        <w:tc>
          <w:tcPr>
            <w:tcW w:w="2430"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F7EC6B9" w14:textId="77777777" w:rsidR="000E6BF1" w:rsidRDefault="00000000">
            <w:pPr>
              <w:spacing w:after="0"/>
            </w:pPr>
            <w:r>
              <w:rPr>
                <w:b/>
                <w:color w:val="FFFFFF"/>
                <w:sz w:val="17"/>
              </w:rPr>
              <w:t>Condition</w:t>
            </w:r>
          </w:p>
        </w:tc>
        <w:tc>
          <w:tcPr>
            <w:tcW w:w="186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D9A7E80" w14:textId="77777777" w:rsidR="000E6BF1" w:rsidRDefault="00000000">
            <w:pPr>
              <w:spacing w:after="0"/>
            </w:pPr>
            <w:r>
              <w:rPr>
                <w:b/>
                <w:color w:val="FFFFFF"/>
                <w:sz w:val="17"/>
              </w:rPr>
              <w:t>PGD/PPP</w:t>
            </w:r>
          </w:p>
        </w:tc>
        <w:tc>
          <w:tcPr>
            <w:tcW w:w="259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1AF3BF6E" w14:textId="77777777" w:rsidR="000E6BF1" w:rsidRDefault="00000000">
            <w:pPr>
              <w:spacing w:after="0"/>
            </w:pPr>
            <w:r>
              <w:rPr>
                <w:b/>
                <w:color w:val="FFFFFF"/>
                <w:sz w:val="17"/>
              </w:rPr>
              <w:t>PSAP axis</w:t>
            </w:r>
          </w:p>
        </w:tc>
        <w:tc>
          <w:tcPr>
            <w:tcW w:w="439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1403AB04" w14:textId="77777777" w:rsidR="000E6BF1" w:rsidRDefault="00000000">
            <w:pPr>
              <w:spacing w:after="0"/>
            </w:pPr>
            <w:r>
              <w:rPr>
                <w:b/>
                <w:color w:val="FFFFFF"/>
                <w:sz w:val="17"/>
              </w:rPr>
              <w:t>Question answered</w:t>
            </w:r>
          </w:p>
        </w:tc>
      </w:tr>
      <w:tr w:rsidR="000E6BF1" w14:paraId="7F8041EF" w14:textId="77777777" w:rsidTr="00530131">
        <w:trPr>
          <w:jc w:val="center"/>
        </w:trPr>
        <w:tc>
          <w:tcPr>
            <w:tcW w:w="243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B86E2F2" w14:textId="77777777" w:rsidR="000E6BF1" w:rsidRDefault="00000000">
            <w:pPr>
              <w:spacing w:after="0"/>
            </w:pPr>
            <w:r>
              <w:rPr>
                <w:sz w:val="17"/>
              </w:rPr>
              <w:t>Control</w:t>
            </w:r>
          </w:p>
        </w:tc>
        <w:tc>
          <w:tcPr>
            <w:tcW w:w="186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0BD5A5F" w14:textId="77777777" w:rsidR="000E6BF1" w:rsidRDefault="00000000">
            <w:pPr>
              <w:spacing w:after="0"/>
            </w:pPr>
            <w:r>
              <w:rPr>
                <w:sz w:val="17"/>
              </w:rPr>
              <w:t>baseline</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B40BD1C" w14:textId="77777777" w:rsidR="000E6BF1" w:rsidRDefault="00000000">
            <w:pPr>
              <w:spacing w:after="0"/>
            </w:pPr>
            <w:r>
              <w:rPr>
                <w:sz w:val="17"/>
              </w:rPr>
              <w:t>baseline</w:t>
            </w:r>
          </w:p>
        </w:tc>
        <w:tc>
          <w:tcPr>
            <w:tcW w:w="43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DA3C9C4" w14:textId="77777777" w:rsidR="000E6BF1" w:rsidRDefault="00000000">
            <w:pPr>
              <w:spacing w:after="0"/>
            </w:pPr>
            <w:r>
              <w:rPr>
                <w:sz w:val="17"/>
              </w:rPr>
              <w:t>Defines healthy flux and organelle state.</w:t>
            </w:r>
          </w:p>
        </w:tc>
      </w:tr>
      <w:tr w:rsidR="000E6BF1" w14:paraId="34C41A9F" w14:textId="77777777" w:rsidTr="00530131">
        <w:trPr>
          <w:jc w:val="center"/>
        </w:trPr>
        <w:tc>
          <w:tcPr>
            <w:tcW w:w="243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66E76F1" w14:textId="77777777" w:rsidR="000E6BF1" w:rsidRDefault="00000000">
            <w:pPr>
              <w:spacing w:after="0"/>
            </w:pPr>
            <w:r>
              <w:rPr>
                <w:sz w:val="17"/>
              </w:rPr>
              <w:t>Inflammation</w:t>
            </w:r>
          </w:p>
        </w:tc>
        <w:tc>
          <w:tcPr>
            <w:tcW w:w="186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6D5E4FB" w14:textId="77777777" w:rsidR="000E6BF1" w:rsidRDefault="00000000">
            <w:pPr>
              <w:spacing w:after="0"/>
            </w:pPr>
            <w:r>
              <w:rPr>
                <w:sz w:val="17"/>
              </w:rPr>
              <w:t>endogenous</w:t>
            </w:r>
          </w:p>
        </w:tc>
        <w:tc>
          <w:tcPr>
            <w:tcW w:w="25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6BE142D" w14:textId="77777777" w:rsidR="000E6BF1" w:rsidRDefault="00000000">
            <w:pPr>
              <w:spacing w:after="0"/>
            </w:pPr>
            <w:r>
              <w:rPr>
                <w:sz w:val="17"/>
              </w:rPr>
              <w:t>endogenous</w:t>
            </w:r>
          </w:p>
        </w:tc>
        <w:tc>
          <w:tcPr>
            <w:tcW w:w="43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518D584" w14:textId="77777777" w:rsidR="000E6BF1" w:rsidRDefault="00000000">
            <w:pPr>
              <w:spacing w:after="0"/>
            </w:pPr>
            <w:r>
              <w:rPr>
                <w:sz w:val="17"/>
              </w:rPr>
              <w:t>Establishes NADPH, lipid-ROS, lysosome and survival phenotype.</w:t>
            </w:r>
          </w:p>
        </w:tc>
      </w:tr>
      <w:tr w:rsidR="000E6BF1" w14:paraId="08E0D231" w14:textId="77777777" w:rsidTr="00530131">
        <w:trPr>
          <w:jc w:val="center"/>
        </w:trPr>
        <w:tc>
          <w:tcPr>
            <w:tcW w:w="243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23E0E4A" w14:textId="77777777" w:rsidR="000E6BF1" w:rsidRDefault="00000000">
            <w:pPr>
              <w:spacing w:after="0"/>
            </w:pPr>
            <w:r>
              <w:rPr>
                <w:sz w:val="17"/>
              </w:rPr>
              <w:t>Inflammation + PSAP gain</w:t>
            </w:r>
          </w:p>
        </w:tc>
        <w:tc>
          <w:tcPr>
            <w:tcW w:w="186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1B7267F" w14:textId="77777777" w:rsidR="000E6BF1" w:rsidRDefault="00000000">
            <w:pPr>
              <w:spacing w:after="0"/>
            </w:pPr>
            <w:r>
              <w:rPr>
                <w:sz w:val="17"/>
              </w:rPr>
              <w:t>endogenous</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A4C820B" w14:textId="77777777" w:rsidR="000E6BF1" w:rsidRDefault="00000000">
            <w:pPr>
              <w:spacing w:after="0"/>
            </w:pPr>
            <w:r>
              <w:rPr>
                <w:sz w:val="17"/>
              </w:rPr>
              <w:t>increased</w:t>
            </w:r>
          </w:p>
        </w:tc>
        <w:tc>
          <w:tcPr>
            <w:tcW w:w="43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425CAC6" w14:textId="77777777" w:rsidR="000E6BF1" w:rsidRDefault="00000000">
            <w:pPr>
              <w:spacing w:after="0"/>
            </w:pPr>
            <w:r>
              <w:rPr>
                <w:sz w:val="17"/>
              </w:rPr>
              <w:t>Tests downstream lysosomal defense.</w:t>
            </w:r>
          </w:p>
        </w:tc>
      </w:tr>
      <w:tr w:rsidR="000E6BF1" w14:paraId="59A1ED54" w14:textId="77777777" w:rsidTr="00530131">
        <w:trPr>
          <w:jc w:val="center"/>
        </w:trPr>
        <w:tc>
          <w:tcPr>
            <w:tcW w:w="243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3EC677C" w14:textId="77777777" w:rsidR="000E6BF1" w:rsidRDefault="00000000">
            <w:pPr>
              <w:spacing w:after="0"/>
            </w:pPr>
            <w:r>
              <w:rPr>
                <w:sz w:val="17"/>
              </w:rPr>
              <w:t>Inflammation + PGD support</w:t>
            </w:r>
          </w:p>
        </w:tc>
        <w:tc>
          <w:tcPr>
            <w:tcW w:w="186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F4AD70B" w14:textId="77777777" w:rsidR="000E6BF1" w:rsidRDefault="00000000">
            <w:pPr>
              <w:spacing w:after="0"/>
            </w:pPr>
            <w:r>
              <w:rPr>
                <w:sz w:val="17"/>
              </w:rPr>
              <w:t>increased</w:t>
            </w:r>
          </w:p>
        </w:tc>
        <w:tc>
          <w:tcPr>
            <w:tcW w:w="25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528700D" w14:textId="77777777" w:rsidR="000E6BF1" w:rsidRDefault="00000000">
            <w:pPr>
              <w:spacing w:after="0"/>
            </w:pPr>
            <w:r>
              <w:rPr>
                <w:sz w:val="17"/>
              </w:rPr>
              <w:t>endogenous</w:t>
            </w:r>
          </w:p>
        </w:tc>
        <w:tc>
          <w:tcPr>
            <w:tcW w:w="43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B5F7F42" w14:textId="77777777" w:rsidR="000E6BF1" w:rsidRDefault="00000000">
            <w:pPr>
              <w:spacing w:after="0"/>
            </w:pPr>
            <w:r>
              <w:rPr>
                <w:sz w:val="17"/>
              </w:rPr>
              <w:t>Tests upstream reducing-power limitation.</w:t>
            </w:r>
          </w:p>
        </w:tc>
      </w:tr>
      <w:tr w:rsidR="000E6BF1" w14:paraId="531917BD" w14:textId="77777777" w:rsidTr="00530131">
        <w:trPr>
          <w:jc w:val="center"/>
        </w:trPr>
        <w:tc>
          <w:tcPr>
            <w:tcW w:w="243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41A8E00" w14:textId="77777777" w:rsidR="000E6BF1" w:rsidRDefault="00000000">
            <w:pPr>
              <w:spacing w:after="0"/>
            </w:pPr>
            <w:r>
              <w:rPr>
                <w:sz w:val="17"/>
              </w:rPr>
              <w:t>Inflammation + PSAP + PGD</w:t>
            </w:r>
          </w:p>
        </w:tc>
        <w:tc>
          <w:tcPr>
            <w:tcW w:w="186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9C671B6" w14:textId="77777777" w:rsidR="000E6BF1" w:rsidRDefault="00000000">
            <w:pPr>
              <w:spacing w:after="0"/>
            </w:pPr>
            <w:r>
              <w:rPr>
                <w:sz w:val="17"/>
              </w:rPr>
              <w:t>increased</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D05398B" w14:textId="77777777" w:rsidR="000E6BF1" w:rsidRDefault="00000000">
            <w:pPr>
              <w:spacing w:after="0"/>
            </w:pPr>
            <w:r>
              <w:rPr>
                <w:sz w:val="17"/>
              </w:rPr>
              <w:t>increased</w:t>
            </w:r>
          </w:p>
        </w:tc>
        <w:tc>
          <w:tcPr>
            <w:tcW w:w="43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C7D6F06" w14:textId="77777777" w:rsidR="000E6BF1" w:rsidRDefault="00000000">
            <w:pPr>
              <w:spacing w:after="0"/>
            </w:pPr>
            <w:r>
              <w:rPr>
                <w:sz w:val="17"/>
              </w:rPr>
              <w:t>Tests sequential/synergistic mechanism.</w:t>
            </w:r>
          </w:p>
        </w:tc>
      </w:tr>
      <w:tr w:rsidR="000E6BF1" w14:paraId="391AB3BD" w14:textId="77777777" w:rsidTr="00530131">
        <w:trPr>
          <w:jc w:val="center"/>
        </w:trPr>
        <w:tc>
          <w:tcPr>
            <w:tcW w:w="243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4B09058" w14:textId="77777777" w:rsidR="000E6BF1" w:rsidRDefault="00000000">
            <w:pPr>
              <w:spacing w:after="0"/>
            </w:pPr>
            <w:r>
              <w:rPr>
                <w:sz w:val="17"/>
              </w:rPr>
              <w:t>Inflammation + PSAP loss</w:t>
            </w:r>
          </w:p>
        </w:tc>
        <w:tc>
          <w:tcPr>
            <w:tcW w:w="186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49E3BEA" w14:textId="77777777" w:rsidR="000E6BF1" w:rsidRDefault="00000000">
            <w:pPr>
              <w:spacing w:after="0"/>
            </w:pPr>
            <w:r>
              <w:rPr>
                <w:sz w:val="17"/>
              </w:rPr>
              <w:t>endogenous</w:t>
            </w:r>
          </w:p>
        </w:tc>
        <w:tc>
          <w:tcPr>
            <w:tcW w:w="25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56D3F79" w14:textId="77777777" w:rsidR="000E6BF1" w:rsidRDefault="00000000">
            <w:pPr>
              <w:spacing w:after="0"/>
            </w:pPr>
            <w:r>
              <w:rPr>
                <w:sz w:val="17"/>
              </w:rPr>
              <w:t>reduced</w:t>
            </w:r>
          </w:p>
        </w:tc>
        <w:tc>
          <w:tcPr>
            <w:tcW w:w="439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B28D908" w14:textId="77777777" w:rsidR="000E6BF1" w:rsidRDefault="00000000">
            <w:pPr>
              <w:spacing w:after="0"/>
            </w:pPr>
            <w:r>
              <w:rPr>
                <w:sz w:val="17"/>
              </w:rPr>
              <w:t>Tests necessity and should sensitize to lipid/iron stress.</w:t>
            </w:r>
          </w:p>
        </w:tc>
      </w:tr>
      <w:tr w:rsidR="000E6BF1" w14:paraId="4294BE46" w14:textId="77777777" w:rsidTr="00530131">
        <w:trPr>
          <w:jc w:val="center"/>
        </w:trPr>
        <w:tc>
          <w:tcPr>
            <w:tcW w:w="243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06E3D77" w14:textId="77777777" w:rsidR="000E6BF1" w:rsidRDefault="00000000">
            <w:pPr>
              <w:spacing w:after="0"/>
            </w:pPr>
            <w:r>
              <w:rPr>
                <w:sz w:val="17"/>
              </w:rPr>
              <w:t>PSAP gain + CTSD or NPC2 interference</w:t>
            </w:r>
          </w:p>
        </w:tc>
        <w:tc>
          <w:tcPr>
            <w:tcW w:w="186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038D5F9" w14:textId="77777777" w:rsidR="000E6BF1" w:rsidRDefault="00000000">
            <w:pPr>
              <w:spacing w:after="0"/>
            </w:pPr>
            <w:r>
              <w:rPr>
                <w:sz w:val="17"/>
              </w:rPr>
              <w:t>endogenous</w:t>
            </w:r>
          </w:p>
        </w:tc>
        <w:tc>
          <w:tcPr>
            <w:tcW w:w="25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F757FD6" w14:textId="77777777" w:rsidR="000E6BF1" w:rsidRDefault="00000000">
            <w:pPr>
              <w:spacing w:after="0"/>
            </w:pPr>
            <w:r>
              <w:rPr>
                <w:sz w:val="17"/>
              </w:rPr>
              <w:t>pathway interrupted</w:t>
            </w:r>
          </w:p>
        </w:tc>
        <w:tc>
          <w:tcPr>
            <w:tcW w:w="439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9B5E812" w14:textId="77777777" w:rsidR="000E6BF1" w:rsidRDefault="00000000">
            <w:pPr>
              <w:spacing w:after="0"/>
            </w:pPr>
            <w:r>
              <w:rPr>
                <w:sz w:val="17"/>
              </w:rPr>
              <w:t>Determines whether PSAP benefit requires lysosomal processing/cholesterol export.</w:t>
            </w:r>
          </w:p>
        </w:tc>
      </w:tr>
    </w:tbl>
    <w:p w14:paraId="5F54650F" w14:textId="77777777" w:rsidR="000E6BF1" w:rsidRDefault="00000000">
      <w:pPr>
        <w:pStyle w:val="Heading1"/>
      </w:pPr>
      <w:r>
        <w:t>9. Experiments, metabolic readouts and interpretation rules</w:t>
      </w:r>
    </w:p>
    <w:p w14:paraId="43B5E44A" w14:textId="77777777" w:rsidR="000E6BF1" w:rsidRDefault="00000000">
      <w:pPr>
        <w:pStyle w:val="Heading2"/>
      </w:pPr>
      <w:r>
        <w:t>9.1 Aim 1: transcript-to-function validation</w:t>
      </w:r>
    </w:p>
    <w:tbl>
      <w:tblPr>
        <w:tblW w:w="11836" w:type="dxa"/>
        <w:jc w:val="center"/>
        <w:tblLayout w:type="fixed"/>
        <w:tblLook w:val="04A0" w:firstRow="1" w:lastRow="0" w:firstColumn="1" w:lastColumn="0" w:noHBand="0" w:noVBand="1"/>
      </w:tblPr>
      <w:tblGrid>
        <w:gridCol w:w="2476"/>
        <w:gridCol w:w="5904"/>
        <w:gridCol w:w="3456"/>
      </w:tblGrid>
      <w:tr w:rsidR="000E6BF1" w14:paraId="66662827" w14:textId="77777777" w:rsidTr="0004237B">
        <w:trPr>
          <w:tblHeader/>
          <w:jc w:val="center"/>
        </w:trPr>
        <w:tc>
          <w:tcPr>
            <w:tcW w:w="247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3403BDAE" w14:textId="77777777" w:rsidR="000E6BF1" w:rsidRDefault="00000000">
            <w:pPr>
              <w:spacing w:after="0"/>
            </w:pPr>
            <w:r>
              <w:rPr>
                <w:b/>
                <w:color w:val="FFFFFF"/>
                <w:sz w:val="17"/>
              </w:rPr>
              <w:t>Layer</w:t>
            </w:r>
          </w:p>
        </w:tc>
        <w:tc>
          <w:tcPr>
            <w:tcW w:w="590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E908B0A" w14:textId="77777777" w:rsidR="000E6BF1" w:rsidRDefault="00000000">
            <w:pPr>
              <w:spacing w:after="0"/>
            </w:pPr>
            <w:r>
              <w:rPr>
                <w:b/>
                <w:color w:val="FFFFFF"/>
                <w:sz w:val="17"/>
              </w:rPr>
              <w:t>Analysis</w:t>
            </w:r>
          </w:p>
        </w:tc>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A32B567" w14:textId="77777777" w:rsidR="000E6BF1" w:rsidRDefault="00000000">
            <w:pPr>
              <w:spacing w:after="0"/>
            </w:pPr>
            <w:r>
              <w:rPr>
                <w:b/>
                <w:color w:val="FFFFFF"/>
                <w:sz w:val="17"/>
              </w:rPr>
              <w:t>What it can establish</w:t>
            </w:r>
          </w:p>
        </w:tc>
      </w:tr>
      <w:tr w:rsidR="000E6BF1" w14:paraId="35B2E8D0" w14:textId="77777777" w:rsidTr="0004237B">
        <w:trPr>
          <w:jc w:val="center"/>
        </w:trPr>
        <w:tc>
          <w:tcPr>
            <w:tcW w:w="247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81F440B" w14:textId="77777777" w:rsidR="000E6BF1" w:rsidRDefault="00000000">
            <w:pPr>
              <w:spacing w:after="0"/>
            </w:pPr>
            <w:r>
              <w:rPr>
                <w:sz w:val="17"/>
              </w:rPr>
              <w:t>Mouse neuronal transcriptomics</w:t>
            </w:r>
          </w:p>
        </w:tc>
        <w:tc>
          <w:tcPr>
            <w:tcW w:w="590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2825F11" w14:textId="77777777" w:rsidR="000E6BF1" w:rsidRDefault="00000000">
            <w:pPr>
              <w:spacing w:after="0"/>
            </w:pPr>
            <w:r>
              <w:rPr>
                <w:sz w:val="17"/>
              </w:rPr>
              <w:t>Preserve all 215 common genes; calculate module scores for Rank 1 and Rank 2; display gene-level direction without FDR-based removal.</w:t>
            </w:r>
          </w:p>
        </w:tc>
        <w:tc>
          <w:tcPr>
            <w:tcW w:w="34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E85FFCB" w14:textId="77777777" w:rsidR="000E6BF1" w:rsidRDefault="00000000">
            <w:pPr>
              <w:spacing w:after="0"/>
            </w:pPr>
            <w:r>
              <w:rPr>
                <w:sz w:val="17"/>
              </w:rPr>
              <w:t>Reproducibility and module coherence.</w:t>
            </w:r>
          </w:p>
        </w:tc>
      </w:tr>
      <w:tr w:rsidR="000E6BF1" w14:paraId="749B1143" w14:textId="77777777" w:rsidTr="0004237B">
        <w:trPr>
          <w:jc w:val="center"/>
        </w:trPr>
        <w:tc>
          <w:tcPr>
            <w:tcW w:w="247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B9A33C7" w14:textId="77777777" w:rsidR="000E6BF1" w:rsidRDefault="00000000">
            <w:pPr>
              <w:spacing w:after="0"/>
            </w:pPr>
            <w:r>
              <w:rPr>
                <w:sz w:val="17"/>
              </w:rPr>
              <w:t>ATAC-seq</w:t>
            </w:r>
          </w:p>
        </w:tc>
        <w:tc>
          <w:tcPr>
            <w:tcW w:w="590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5C12651" w14:textId="77777777" w:rsidR="000E6BF1" w:rsidRDefault="00000000">
            <w:pPr>
              <w:spacing w:after="0"/>
            </w:pPr>
            <w:r>
              <w:rPr>
                <w:sz w:val="17"/>
              </w:rPr>
              <w:t>Test accessibility at PGD, PSAP, GRN, CTSD, NPC2 and redox-module regulatory regions; integrate with previously identified transcription factors.</w:t>
            </w:r>
          </w:p>
        </w:tc>
        <w:tc>
          <w:tcPr>
            <w:tcW w:w="34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DE7E723" w14:textId="77777777" w:rsidR="000E6BF1" w:rsidRDefault="00000000">
            <w:pPr>
              <w:spacing w:after="0"/>
            </w:pPr>
            <w:r>
              <w:rPr>
                <w:sz w:val="17"/>
              </w:rPr>
              <w:t>Regulatory plausibility, not enzyme activity.</w:t>
            </w:r>
          </w:p>
        </w:tc>
      </w:tr>
      <w:tr w:rsidR="000E6BF1" w14:paraId="6BEC3651" w14:textId="77777777" w:rsidTr="0004237B">
        <w:trPr>
          <w:jc w:val="center"/>
        </w:trPr>
        <w:tc>
          <w:tcPr>
            <w:tcW w:w="247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BF238BD" w14:textId="77777777" w:rsidR="000E6BF1" w:rsidRDefault="00000000">
            <w:pPr>
              <w:spacing w:after="0"/>
            </w:pPr>
            <w:r>
              <w:rPr>
                <w:sz w:val="17"/>
              </w:rPr>
              <w:t>Human MS neuronal snRNA-seq</w:t>
            </w:r>
          </w:p>
        </w:tc>
        <w:tc>
          <w:tcPr>
            <w:tcW w:w="590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6779F2D" w14:textId="77777777" w:rsidR="000E6BF1" w:rsidRDefault="00000000">
            <w:pPr>
              <w:spacing w:after="0"/>
            </w:pPr>
            <w:r>
              <w:rPr>
                <w:sz w:val="17"/>
              </w:rPr>
              <w:t>Score neurons across control, active/chronic-active lesion context and MS subtype; meta-analyze direction across datasets; limit to validation.</w:t>
            </w:r>
          </w:p>
        </w:tc>
        <w:tc>
          <w:tcPr>
            <w:tcW w:w="34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6224636" w14:textId="77777777" w:rsidR="000E6BF1" w:rsidRDefault="00000000">
            <w:pPr>
              <w:spacing w:after="0"/>
            </w:pPr>
            <w:r>
              <w:rPr>
                <w:sz w:val="17"/>
              </w:rPr>
              <w:t>Human relevance and heterogeneity.</w:t>
            </w:r>
          </w:p>
        </w:tc>
      </w:tr>
      <w:tr w:rsidR="000E6BF1" w14:paraId="2F2EDC88" w14:textId="77777777" w:rsidTr="0004237B">
        <w:trPr>
          <w:jc w:val="center"/>
        </w:trPr>
        <w:tc>
          <w:tcPr>
            <w:tcW w:w="247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FECC42D" w14:textId="77777777" w:rsidR="000E6BF1" w:rsidRDefault="00000000">
            <w:pPr>
              <w:spacing w:after="0"/>
            </w:pPr>
            <w:r>
              <w:rPr>
                <w:sz w:val="17"/>
              </w:rPr>
              <w:t>Protein/localization</w:t>
            </w:r>
          </w:p>
        </w:tc>
        <w:tc>
          <w:tcPr>
            <w:tcW w:w="590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92ECAD7" w14:textId="77777777" w:rsidR="000E6BF1" w:rsidRDefault="00000000">
            <w:pPr>
              <w:spacing w:after="0"/>
            </w:pPr>
            <w:r>
              <w:rPr>
                <w:sz w:val="17"/>
              </w:rPr>
              <w:t>PGD, PSMB8/PFKFB3, PSAP/saposins, GRN, CTSD, NPC2, GPX4; neuronal and organelle colocalization.</w:t>
            </w:r>
          </w:p>
        </w:tc>
        <w:tc>
          <w:tcPr>
            <w:tcW w:w="34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3286170" w14:textId="77777777" w:rsidR="000E6BF1" w:rsidRDefault="00000000">
            <w:pPr>
              <w:spacing w:after="0"/>
            </w:pPr>
            <w:r>
              <w:rPr>
                <w:sz w:val="17"/>
              </w:rPr>
              <w:t>Whether transcript induction reaches protein and correct compartment.</w:t>
            </w:r>
          </w:p>
        </w:tc>
      </w:tr>
    </w:tbl>
    <w:p w14:paraId="33CF14E4" w14:textId="77777777" w:rsidR="000E6BF1" w:rsidRDefault="00000000">
      <w:pPr>
        <w:pStyle w:val="Heading2"/>
      </w:pPr>
      <w:r>
        <w:lastRenderedPageBreak/>
        <w:t>9.2 Aim 2: direct metabolic measurements</w:t>
      </w:r>
    </w:p>
    <w:tbl>
      <w:tblPr>
        <w:tblW w:w="0" w:type="auto"/>
        <w:jc w:val="center"/>
        <w:tblLayout w:type="fixed"/>
        <w:tblLook w:val="04A0" w:firstRow="1" w:lastRow="0" w:firstColumn="1" w:lastColumn="0" w:noHBand="0" w:noVBand="1"/>
      </w:tblPr>
      <w:tblGrid>
        <w:gridCol w:w="2592"/>
        <w:gridCol w:w="3672"/>
        <w:gridCol w:w="2592"/>
        <w:gridCol w:w="2592"/>
      </w:tblGrid>
      <w:tr w:rsidR="000E6BF1" w14:paraId="56EC661F" w14:textId="77777777">
        <w:trPr>
          <w:tblHeader/>
          <w:jc w:val="center"/>
        </w:trPr>
        <w:tc>
          <w:tcPr>
            <w:tcW w:w="259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A612D3F" w14:textId="77777777" w:rsidR="000E6BF1" w:rsidRDefault="00000000">
            <w:pPr>
              <w:spacing w:after="0"/>
            </w:pPr>
            <w:r>
              <w:rPr>
                <w:b/>
                <w:color w:val="FFFFFF"/>
                <w:sz w:val="16"/>
              </w:rPr>
              <w:t>Process</w:t>
            </w:r>
          </w:p>
        </w:tc>
        <w:tc>
          <w:tcPr>
            <w:tcW w:w="259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6D118920" w14:textId="77777777" w:rsidR="000E6BF1" w:rsidRDefault="00000000">
            <w:pPr>
              <w:spacing w:after="0"/>
            </w:pPr>
            <w:r>
              <w:rPr>
                <w:b/>
                <w:color w:val="FFFFFF"/>
                <w:sz w:val="16"/>
              </w:rPr>
              <w:t>Recommended measurement</w:t>
            </w:r>
          </w:p>
        </w:tc>
        <w:tc>
          <w:tcPr>
            <w:tcW w:w="259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4C67627" w14:textId="77777777" w:rsidR="000E6BF1" w:rsidRDefault="00000000">
            <w:pPr>
              <w:spacing w:after="0"/>
            </w:pPr>
            <w:r>
              <w:rPr>
                <w:b/>
                <w:color w:val="FFFFFF"/>
                <w:sz w:val="16"/>
              </w:rPr>
              <w:t>Meaning</w:t>
            </w:r>
          </w:p>
        </w:tc>
        <w:tc>
          <w:tcPr>
            <w:tcW w:w="2592"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CAF94CD" w14:textId="77777777" w:rsidR="000E6BF1" w:rsidRDefault="00000000">
            <w:pPr>
              <w:spacing w:after="0"/>
            </w:pPr>
            <w:r>
              <w:rPr>
                <w:b/>
                <w:color w:val="FFFFFF"/>
                <w:sz w:val="16"/>
              </w:rPr>
              <w:t>Critical rule</w:t>
            </w:r>
          </w:p>
        </w:tc>
      </w:tr>
      <w:tr w:rsidR="000E6BF1" w14:paraId="0C36A233" w14:textId="77777777">
        <w:trPr>
          <w:jc w:val="center"/>
        </w:trPr>
        <w:tc>
          <w:tcPr>
            <w:tcW w:w="16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6169172" w14:textId="77777777" w:rsidR="000E6BF1" w:rsidRDefault="00000000">
            <w:pPr>
              <w:spacing w:after="0"/>
            </w:pPr>
            <w:r>
              <w:rPr>
                <w:sz w:val="16"/>
              </w:rPr>
              <w:t>Oxidative PPP flux</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AD6A89D" w14:textId="77777777" w:rsidR="000E6BF1" w:rsidRDefault="00000000">
            <w:pPr>
              <w:spacing w:after="0"/>
            </w:pPr>
            <w:r>
              <w:rPr>
                <w:sz w:val="16"/>
              </w:rPr>
              <w:t>[1,2-¹³C₂]glucose tracing by LC–MS; compare lactate/pyruvate labeling patterns and PPP intermediates.</w:t>
            </w:r>
          </w:p>
        </w:tc>
        <w:tc>
          <w:tcPr>
            <w:tcW w:w="252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80F85F2" w14:textId="77777777" w:rsidR="000E6BF1" w:rsidRDefault="00000000">
            <w:pPr>
              <w:spacing w:after="0"/>
            </w:pPr>
            <w:r>
              <w:rPr>
                <w:sz w:val="16"/>
              </w:rPr>
              <w:t>Direct carbon allocation; resolves whether PGD induction is functional.</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69278F2" w14:textId="77777777" w:rsidR="000E6BF1" w:rsidRDefault="00000000">
            <w:pPr>
              <w:spacing w:after="0"/>
            </w:pPr>
            <w:r>
              <w:rPr>
                <w:sz w:val="16"/>
              </w:rPr>
              <w:t>Do not infer from PGD RNA alone.</w:t>
            </w:r>
          </w:p>
        </w:tc>
      </w:tr>
      <w:tr w:rsidR="000E6BF1" w14:paraId="1367BE1A" w14:textId="77777777">
        <w:trPr>
          <w:jc w:val="center"/>
        </w:trPr>
        <w:tc>
          <w:tcPr>
            <w:tcW w:w="16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6F9408B" w14:textId="77777777" w:rsidR="000E6BF1" w:rsidRDefault="00000000">
            <w:pPr>
              <w:spacing w:after="0"/>
            </w:pPr>
            <w:r>
              <w:rPr>
                <w:sz w:val="16"/>
              </w:rPr>
              <w:t>NADPH availability</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32DC8F2" w14:textId="77777777" w:rsidR="000E6BF1" w:rsidRDefault="00000000">
            <w:pPr>
              <w:spacing w:after="0"/>
            </w:pPr>
            <w:r>
              <w:rPr>
                <w:sz w:val="16"/>
              </w:rPr>
              <w:t>NADPH/NADP+ enzymatic cycling or LC–MS; optional genetically encoded iNap sensor.</w:t>
            </w:r>
          </w:p>
        </w:tc>
        <w:tc>
          <w:tcPr>
            <w:tcW w:w="252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E82CB72" w14:textId="77777777" w:rsidR="000E6BF1" w:rsidRDefault="00000000">
            <w:pPr>
              <w:spacing w:after="0"/>
            </w:pPr>
            <w:r>
              <w:rPr>
                <w:sz w:val="16"/>
              </w:rPr>
              <w:t>Net reducing-power state.</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AC3C4F6" w14:textId="77777777" w:rsidR="000E6BF1" w:rsidRDefault="00000000">
            <w:pPr>
              <w:spacing w:after="0"/>
            </w:pPr>
            <w:r>
              <w:rPr>
                <w:sz w:val="16"/>
              </w:rPr>
              <w:t>Rapid handling and compartment limitations require standardized collection.</w:t>
            </w:r>
          </w:p>
        </w:tc>
      </w:tr>
      <w:tr w:rsidR="000E6BF1" w14:paraId="37DE0B36" w14:textId="77777777">
        <w:trPr>
          <w:jc w:val="center"/>
        </w:trPr>
        <w:tc>
          <w:tcPr>
            <w:tcW w:w="16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DF4AFC9" w14:textId="77777777" w:rsidR="000E6BF1" w:rsidRDefault="00000000">
            <w:pPr>
              <w:spacing w:after="0"/>
            </w:pPr>
            <w:r>
              <w:rPr>
                <w:sz w:val="16"/>
              </w:rPr>
              <w:t>Glutathione defense</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F08584E" w14:textId="77777777" w:rsidR="000E6BF1" w:rsidRDefault="00000000">
            <w:pPr>
              <w:spacing w:after="0"/>
            </w:pPr>
            <w:r>
              <w:rPr>
                <w:sz w:val="16"/>
              </w:rPr>
              <w:t>GSH/GSSG; GPX4 protein/activity; SLC7A11; glutathione reductase activity.</w:t>
            </w:r>
          </w:p>
        </w:tc>
        <w:tc>
          <w:tcPr>
            <w:tcW w:w="252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E30A191" w14:textId="77777777" w:rsidR="000E6BF1" w:rsidRDefault="00000000">
            <w:pPr>
              <w:spacing w:after="0"/>
            </w:pPr>
            <w:r>
              <w:rPr>
                <w:sz w:val="16"/>
              </w:rPr>
              <w:t>Whether NADPH deficit reaches the lipid-peroxide repair system.</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AB333FC" w14:textId="77777777" w:rsidR="000E6BF1" w:rsidRDefault="00000000">
            <w:pPr>
              <w:spacing w:after="0"/>
            </w:pPr>
            <w:r>
              <w:rPr>
                <w:sz w:val="16"/>
              </w:rPr>
              <w:t>GPX4 abundance alone does not prove activity.</w:t>
            </w:r>
          </w:p>
        </w:tc>
      </w:tr>
      <w:tr w:rsidR="000E6BF1" w14:paraId="10CE8819" w14:textId="77777777">
        <w:trPr>
          <w:jc w:val="center"/>
        </w:trPr>
        <w:tc>
          <w:tcPr>
            <w:tcW w:w="16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C60E717" w14:textId="77777777" w:rsidR="000E6BF1" w:rsidRDefault="00000000">
            <w:pPr>
              <w:spacing w:after="0"/>
            </w:pPr>
            <w:r>
              <w:rPr>
                <w:sz w:val="16"/>
              </w:rPr>
              <w:t>NOX2 activity</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C8E3A58" w14:textId="77777777" w:rsidR="000E6BF1" w:rsidRDefault="00000000">
            <w:pPr>
              <w:spacing w:after="0"/>
            </w:pPr>
            <w:r>
              <w:rPr>
                <w:sz w:val="16"/>
              </w:rPr>
              <w:t>Superoxide/H₂O₂ measures plus CYBB-specific genetic loss or selective pharmacology; membrane translocation/assembly of NCF components.</w:t>
            </w:r>
          </w:p>
        </w:tc>
        <w:tc>
          <w:tcPr>
            <w:tcW w:w="252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7610567" w14:textId="77777777" w:rsidR="000E6BF1" w:rsidRDefault="00000000">
            <w:pPr>
              <w:spacing w:after="0"/>
            </w:pPr>
            <w:r>
              <w:rPr>
                <w:sz w:val="16"/>
              </w:rPr>
              <w:t>Whether the transcript module produces sustained oxidase activity.</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0192C89" w14:textId="77777777" w:rsidR="000E6BF1" w:rsidRDefault="00000000">
            <w:pPr>
              <w:spacing w:after="0"/>
            </w:pPr>
            <w:r>
              <w:rPr>
                <w:sz w:val="16"/>
              </w:rPr>
              <w:t>Generic ROS probes are not source-specific.</w:t>
            </w:r>
          </w:p>
        </w:tc>
      </w:tr>
      <w:tr w:rsidR="000E6BF1" w14:paraId="1CEF0D1E" w14:textId="77777777">
        <w:trPr>
          <w:jc w:val="center"/>
        </w:trPr>
        <w:tc>
          <w:tcPr>
            <w:tcW w:w="16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E47D22A" w14:textId="77777777" w:rsidR="000E6BF1" w:rsidRDefault="00000000">
            <w:pPr>
              <w:spacing w:after="0"/>
            </w:pPr>
            <w:r>
              <w:rPr>
                <w:sz w:val="16"/>
              </w:rPr>
              <w:t>Lipid peroxidation</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456801C" w14:textId="77777777" w:rsidR="000E6BF1" w:rsidRDefault="00000000">
            <w:pPr>
              <w:spacing w:after="0"/>
            </w:pPr>
            <w:r>
              <w:rPr>
                <w:sz w:val="16"/>
              </w:rPr>
              <w:t>C11-BODIPY, 4-HNE, oxidized phospholipid LC–MS.</w:t>
            </w:r>
          </w:p>
        </w:tc>
        <w:tc>
          <w:tcPr>
            <w:tcW w:w="252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57D6667" w14:textId="77777777" w:rsidR="000E6BF1" w:rsidRDefault="00000000">
            <w:pPr>
              <w:spacing w:after="0"/>
            </w:pPr>
            <w:r>
              <w:rPr>
                <w:sz w:val="16"/>
              </w:rPr>
              <w:t>Membrane oxidative damage.</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6CE21AF" w14:textId="77777777" w:rsidR="000E6BF1" w:rsidRDefault="00000000">
            <w:pPr>
              <w:spacing w:after="0"/>
            </w:pPr>
            <w:r>
              <w:rPr>
                <w:sz w:val="16"/>
              </w:rPr>
              <w:t>Use orthogonal assays; probes can be affected by loading and oxidation state.</w:t>
            </w:r>
          </w:p>
        </w:tc>
      </w:tr>
      <w:tr w:rsidR="000E6BF1" w14:paraId="57347F41" w14:textId="77777777">
        <w:trPr>
          <w:jc w:val="center"/>
        </w:trPr>
        <w:tc>
          <w:tcPr>
            <w:tcW w:w="16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9D709DF" w14:textId="77777777" w:rsidR="000E6BF1" w:rsidRDefault="00000000">
            <w:pPr>
              <w:spacing w:after="0"/>
            </w:pPr>
            <w:r>
              <w:rPr>
                <w:sz w:val="16"/>
              </w:rPr>
              <w:t>Ferroptosis</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9A27EE9" w14:textId="77777777" w:rsidR="000E6BF1" w:rsidRDefault="00000000">
            <w:pPr>
              <w:spacing w:after="0"/>
            </w:pPr>
            <w:r>
              <w:rPr>
                <w:sz w:val="16"/>
              </w:rPr>
              <w:t>Rescue with ferrostatin-1/liproxstatin-1 and iron chelation; compare apoptosis/necroptosis inhibitors.</w:t>
            </w:r>
          </w:p>
        </w:tc>
        <w:tc>
          <w:tcPr>
            <w:tcW w:w="252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9EB94C0" w14:textId="77777777" w:rsidR="000E6BF1" w:rsidRDefault="00000000">
            <w:pPr>
              <w:spacing w:after="0"/>
            </w:pPr>
            <w:r>
              <w:rPr>
                <w:sz w:val="16"/>
              </w:rPr>
              <w:t>Mechanistic cell-death classification.</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DB656FF" w14:textId="77777777" w:rsidR="000E6BF1" w:rsidRDefault="00000000">
            <w:pPr>
              <w:spacing w:after="0"/>
            </w:pPr>
            <w:r>
              <w:rPr>
                <w:sz w:val="16"/>
              </w:rPr>
              <w:t>A single marker or rescue compound is insufficient.</w:t>
            </w:r>
          </w:p>
        </w:tc>
      </w:tr>
      <w:tr w:rsidR="000E6BF1" w14:paraId="7CA406C7" w14:textId="77777777">
        <w:trPr>
          <w:jc w:val="center"/>
        </w:trPr>
        <w:tc>
          <w:tcPr>
            <w:tcW w:w="16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402BBF4" w14:textId="77777777" w:rsidR="000E6BF1" w:rsidRDefault="00000000">
            <w:pPr>
              <w:spacing w:after="0"/>
            </w:pPr>
            <w:r>
              <w:rPr>
                <w:sz w:val="16"/>
              </w:rPr>
              <w:t>Lysosomal competence</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7F1433A" w14:textId="77777777" w:rsidR="000E6BF1" w:rsidRDefault="00000000">
            <w:pPr>
              <w:spacing w:after="0"/>
            </w:pPr>
            <w:r>
              <w:rPr>
                <w:sz w:val="16"/>
              </w:rPr>
              <w:t>LysoSensor pH; DQ-BSA proteolysis; CTSD activity; LAMP1/2; autophagic flux.</w:t>
            </w:r>
          </w:p>
        </w:tc>
        <w:tc>
          <w:tcPr>
            <w:tcW w:w="252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DACDBC5" w14:textId="77777777" w:rsidR="000E6BF1" w:rsidRDefault="00000000">
            <w:pPr>
              <w:spacing w:after="0"/>
            </w:pPr>
            <w:r>
              <w:rPr>
                <w:sz w:val="16"/>
              </w:rPr>
              <w:t>Whether induction improves degradation.</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B77C3EC" w14:textId="77777777" w:rsidR="000E6BF1" w:rsidRDefault="00000000">
            <w:pPr>
              <w:spacing w:after="0"/>
            </w:pPr>
            <w:r>
              <w:rPr>
                <w:sz w:val="16"/>
              </w:rPr>
              <w:t>More lysosomes can mean stress rather than successful clearance.</w:t>
            </w:r>
          </w:p>
        </w:tc>
      </w:tr>
      <w:tr w:rsidR="000E6BF1" w14:paraId="13E8D93C" w14:textId="77777777">
        <w:trPr>
          <w:jc w:val="center"/>
        </w:trPr>
        <w:tc>
          <w:tcPr>
            <w:tcW w:w="16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BA4FC86" w14:textId="77777777" w:rsidR="000E6BF1" w:rsidRDefault="00000000">
            <w:pPr>
              <w:spacing w:after="0"/>
            </w:pPr>
            <w:r>
              <w:rPr>
                <w:sz w:val="16"/>
              </w:rPr>
              <w:t>Lipid/cholesterol flux</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37880D0" w14:textId="77777777" w:rsidR="000E6BF1" w:rsidRDefault="00000000">
            <w:pPr>
              <w:spacing w:after="0"/>
            </w:pPr>
            <w:r>
              <w:rPr>
                <w:sz w:val="16"/>
              </w:rPr>
              <w:t>BODIPY-lipid pulse–chase; filipin; glycosphingolipid, ceramide, sphingosine and BMP/S,S-BMP lipidomics.</w:t>
            </w:r>
          </w:p>
        </w:tc>
        <w:tc>
          <w:tcPr>
            <w:tcW w:w="252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0F28721" w14:textId="77777777" w:rsidR="000E6BF1" w:rsidRDefault="00000000">
            <w:pPr>
              <w:spacing w:after="0"/>
            </w:pPr>
            <w:r>
              <w:rPr>
                <w:sz w:val="16"/>
              </w:rPr>
              <w:t>Substrate-specific clearance and NPC2-dependent export.</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336AF1D" w14:textId="77777777" w:rsidR="000E6BF1" w:rsidRDefault="00000000">
            <w:pPr>
              <w:spacing w:after="0"/>
            </w:pPr>
            <w:r>
              <w:rPr>
                <w:sz w:val="16"/>
              </w:rPr>
              <w:t>Static lipid abundance cannot distinguish synthesis from degradation.</w:t>
            </w:r>
          </w:p>
        </w:tc>
      </w:tr>
      <w:tr w:rsidR="000E6BF1" w14:paraId="32A9FFEA" w14:textId="77777777">
        <w:trPr>
          <w:jc w:val="center"/>
        </w:trPr>
        <w:tc>
          <w:tcPr>
            <w:tcW w:w="16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6E28ED0" w14:textId="77777777" w:rsidR="000E6BF1" w:rsidRDefault="00000000">
            <w:pPr>
              <w:spacing w:after="0"/>
            </w:pPr>
            <w:r>
              <w:rPr>
                <w:sz w:val="16"/>
              </w:rPr>
              <w:t>Lysosomal iron/lipofuscin</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C8DAE5C" w14:textId="77777777" w:rsidR="000E6BF1" w:rsidRDefault="00000000">
            <w:pPr>
              <w:spacing w:after="0"/>
            </w:pPr>
            <w:r>
              <w:rPr>
                <w:sz w:val="16"/>
              </w:rPr>
              <w:t>FerroOrange/FeRhoNox-1 or equivalent labile Fe²⁺ probe; lipofuscin autofluorescence; organelle colocalization.</w:t>
            </w:r>
          </w:p>
        </w:tc>
        <w:tc>
          <w:tcPr>
            <w:tcW w:w="252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266CF60" w14:textId="77777777" w:rsidR="000E6BF1" w:rsidRDefault="00000000">
            <w:pPr>
              <w:spacing w:after="0"/>
            </w:pPr>
            <w:r>
              <w:rPr>
                <w:sz w:val="16"/>
              </w:rPr>
              <w:t>The PSAP–ferroptosis bridge.</w:t>
            </w:r>
          </w:p>
        </w:tc>
        <w:tc>
          <w:tcPr>
            <w:tcW w:w="223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D2E4215" w14:textId="77777777" w:rsidR="000E6BF1" w:rsidRDefault="00000000">
            <w:pPr>
              <w:spacing w:after="0"/>
            </w:pPr>
            <w:r>
              <w:rPr>
                <w:sz w:val="16"/>
              </w:rPr>
              <w:t>Validate specificity and avoid interpreting total iron as labile iron.</w:t>
            </w:r>
          </w:p>
        </w:tc>
      </w:tr>
      <w:tr w:rsidR="000E6BF1" w14:paraId="64B8C955" w14:textId="77777777">
        <w:trPr>
          <w:jc w:val="center"/>
        </w:trPr>
        <w:tc>
          <w:tcPr>
            <w:tcW w:w="16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ECB8E26" w14:textId="77777777" w:rsidR="000E6BF1" w:rsidRDefault="00000000">
            <w:pPr>
              <w:spacing w:after="0"/>
            </w:pPr>
            <w:r>
              <w:rPr>
                <w:sz w:val="16"/>
              </w:rPr>
              <w:t>Neuronal outcome</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2190EFD" w14:textId="77777777" w:rsidR="000E6BF1" w:rsidRDefault="00000000">
            <w:pPr>
              <w:spacing w:after="0"/>
            </w:pPr>
            <w:r>
              <w:rPr>
                <w:sz w:val="16"/>
              </w:rPr>
              <w:t>CellTiter-Glo, βIII-tubulin counts, high-content neurite length/fragmentation, axonal swellings.</w:t>
            </w:r>
          </w:p>
        </w:tc>
        <w:tc>
          <w:tcPr>
            <w:tcW w:w="252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660C8D1" w14:textId="77777777" w:rsidR="000E6BF1" w:rsidRDefault="00000000">
            <w:pPr>
              <w:spacing w:after="0"/>
            </w:pPr>
            <w:r>
              <w:rPr>
                <w:sz w:val="16"/>
              </w:rPr>
              <w:t>Survival and structural integrity.</w:t>
            </w:r>
          </w:p>
        </w:tc>
        <w:tc>
          <w:tcPr>
            <w:tcW w:w="223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A04C9A6" w14:textId="77777777" w:rsidR="000E6BF1" w:rsidRDefault="00000000">
            <w:pPr>
              <w:spacing w:after="0"/>
            </w:pPr>
            <w:r>
              <w:rPr>
                <w:sz w:val="16"/>
              </w:rPr>
              <w:t>Separate neuronal death from neurite loss and metabolic slowing.</w:t>
            </w:r>
          </w:p>
        </w:tc>
      </w:tr>
    </w:tbl>
    <w:p w14:paraId="2010AE87" w14:textId="77777777" w:rsidR="000E6BF1" w:rsidRDefault="00000000">
      <w:pPr>
        <w:pStyle w:val="Heading2"/>
      </w:pPr>
      <w:r>
        <w:t>9.3 Factorial logic and decisive predictions</w:t>
      </w:r>
    </w:p>
    <w:tbl>
      <w:tblPr>
        <w:tblW w:w="11615" w:type="dxa"/>
        <w:jc w:val="center"/>
        <w:tblLayout w:type="fixed"/>
        <w:tblLook w:val="04A0" w:firstRow="1" w:lastRow="0" w:firstColumn="1" w:lastColumn="0" w:noHBand="0" w:noVBand="1"/>
      </w:tblPr>
      <w:tblGrid>
        <w:gridCol w:w="4559"/>
        <w:gridCol w:w="7056"/>
      </w:tblGrid>
      <w:tr w:rsidR="000E6BF1" w14:paraId="24A2A917" w14:textId="77777777" w:rsidTr="006A6FC3">
        <w:trPr>
          <w:tblHeader/>
          <w:jc w:val="center"/>
        </w:trPr>
        <w:tc>
          <w:tcPr>
            <w:tcW w:w="4559"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3B04330E" w14:textId="77777777" w:rsidR="000E6BF1" w:rsidRDefault="00000000">
            <w:pPr>
              <w:spacing w:after="0"/>
            </w:pPr>
            <w:r>
              <w:rPr>
                <w:b/>
                <w:color w:val="FFFFFF"/>
                <w:sz w:val="17"/>
              </w:rPr>
              <w:t>Mechanistic proposition</w:t>
            </w:r>
          </w:p>
        </w:tc>
        <w:tc>
          <w:tcPr>
            <w:tcW w:w="70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B277AE7" w14:textId="77777777" w:rsidR="000E6BF1" w:rsidRDefault="00000000">
            <w:pPr>
              <w:spacing w:after="0"/>
            </w:pPr>
            <w:r>
              <w:rPr>
                <w:b/>
                <w:color w:val="FFFFFF"/>
                <w:sz w:val="17"/>
              </w:rPr>
              <w:t>Result that would support it</w:t>
            </w:r>
          </w:p>
        </w:tc>
      </w:tr>
      <w:tr w:rsidR="000E6BF1" w14:paraId="7FE823FB" w14:textId="77777777" w:rsidTr="006A6FC3">
        <w:trPr>
          <w:jc w:val="center"/>
        </w:trPr>
        <w:tc>
          <w:tcPr>
            <w:tcW w:w="4559"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F3DA18A" w14:textId="77777777" w:rsidR="000E6BF1" w:rsidRDefault="00000000">
            <w:pPr>
              <w:spacing w:after="0"/>
            </w:pPr>
            <w:r>
              <w:rPr>
                <w:sz w:val="17"/>
              </w:rPr>
              <w:t>If PGD is compensatory but insufficient</w:t>
            </w:r>
          </w:p>
        </w:tc>
        <w:tc>
          <w:tcPr>
            <w:tcW w:w="70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A6AD7DD" w14:textId="77777777" w:rsidR="000E6BF1" w:rsidRDefault="00000000">
            <w:pPr>
              <w:spacing w:after="0"/>
            </w:pPr>
            <w:r>
              <w:rPr>
                <w:sz w:val="17"/>
              </w:rPr>
              <w:t>Inflammation lowers PPP-derived NADPH/GSH despite Pgd RNA induction; PGD support restores flux and reduces lipid ROS.</w:t>
            </w:r>
          </w:p>
        </w:tc>
      </w:tr>
      <w:tr w:rsidR="000E6BF1" w14:paraId="4E1BF8B8" w14:textId="77777777" w:rsidTr="006A6FC3">
        <w:trPr>
          <w:jc w:val="center"/>
        </w:trPr>
        <w:tc>
          <w:tcPr>
            <w:tcW w:w="4559"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7B94734" w14:textId="77777777" w:rsidR="000E6BF1" w:rsidRDefault="00000000">
            <w:pPr>
              <w:spacing w:after="0"/>
            </w:pPr>
            <w:r>
              <w:rPr>
                <w:sz w:val="17"/>
              </w:rPr>
              <w:t>If NOX2 demand is causal</w:t>
            </w:r>
          </w:p>
        </w:tc>
        <w:tc>
          <w:tcPr>
            <w:tcW w:w="70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9ED4279" w14:textId="77777777" w:rsidR="000E6BF1" w:rsidRDefault="00000000">
            <w:pPr>
              <w:spacing w:after="0"/>
            </w:pPr>
            <w:r>
              <w:rPr>
                <w:sz w:val="17"/>
              </w:rPr>
              <w:t>CYBB/NCF-dependent activity rises; partial late attenuation restores NADPH and lowers lipid ROS without abolishing all regenerative signaling.</w:t>
            </w:r>
          </w:p>
        </w:tc>
      </w:tr>
      <w:tr w:rsidR="000E6BF1" w14:paraId="5C84A07E" w14:textId="77777777" w:rsidTr="006A6FC3">
        <w:trPr>
          <w:jc w:val="center"/>
        </w:trPr>
        <w:tc>
          <w:tcPr>
            <w:tcW w:w="4559"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2217FBD" w14:textId="77777777" w:rsidR="000E6BF1" w:rsidRDefault="00000000">
            <w:pPr>
              <w:spacing w:after="0"/>
            </w:pPr>
            <w:r>
              <w:rPr>
                <w:sz w:val="17"/>
              </w:rPr>
              <w:t>If PSAP is a downstream defense</w:t>
            </w:r>
          </w:p>
        </w:tc>
        <w:tc>
          <w:tcPr>
            <w:tcW w:w="70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A2E47C7" w14:textId="77777777" w:rsidR="000E6BF1" w:rsidRDefault="00000000">
            <w:pPr>
              <w:spacing w:after="0"/>
            </w:pPr>
            <w:r>
              <w:rPr>
                <w:sz w:val="17"/>
              </w:rPr>
              <w:t>PSAP loss increases glycosphingolipid/lipofuscin/iron and ferroptosis; PSAP gain improves these measures even if upstream inflammatory transcription persists.</w:t>
            </w:r>
          </w:p>
        </w:tc>
      </w:tr>
      <w:tr w:rsidR="000E6BF1" w14:paraId="75AF7914" w14:textId="77777777" w:rsidTr="006A6FC3">
        <w:trPr>
          <w:jc w:val="center"/>
        </w:trPr>
        <w:tc>
          <w:tcPr>
            <w:tcW w:w="4559"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70DDDB5" w14:textId="77777777" w:rsidR="000E6BF1" w:rsidRDefault="00000000">
            <w:pPr>
              <w:spacing w:after="0"/>
            </w:pPr>
            <w:r>
              <w:rPr>
                <w:sz w:val="17"/>
              </w:rPr>
              <w:t>If the modules are sequential</w:t>
            </w:r>
          </w:p>
        </w:tc>
        <w:tc>
          <w:tcPr>
            <w:tcW w:w="70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9FF6417" w14:textId="77777777" w:rsidR="000E6BF1" w:rsidRDefault="00000000">
            <w:pPr>
              <w:spacing w:after="0"/>
            </w:pPr>
            <w:r>
              <w:rPr>
                <w:sz w:val="17"/>
              </w:rPr>
              <w:t>PGD support reduces the amount of oxidized cargo reaching lysosomes, PSAP improves its disposal, and combined treatment gives additive or synergistic rescue.</w:t>
            </w:r>
          </w:p>
        </w:tc>
      </w:tr>
      <w:tr w:rsidR="000E6BF1" w14:paraId="7F5CE2BB" w14:textId="77777777" w:rsidTr="006A6FC3">
        <w:trPr>
          <w:jc w:val="center"/>
        </w:trPr>
        <w:tc>
          <w:tcPr>
            <w:tcW w:w="4559"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7C4F358" w14:textId="77777777" w:rsidR="000E6BF1" w:rsidRDefault="00000000">
            <w:pPr>
              <w:spacing w:after="0"/>
            </w:pPr>
            <w:r>
              <w:rPr>
                <w:sz w:val="17"/>
              </w:rPr>
              <w:t>If PSAP benefit is lysosomal</w:t>
            </w:r>
          </w:p>
        </w:tc>
        <w:tc>
          <w:tcPr>
            <w:tcW w:w="70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9B85336" w14:textId="77777777" w:rsidR="000E6BF1" w:rsidRDefault="00000000">
            <w:pPr>
              <w:spacing w:after="0"/>
            </w:pPr>
            <w:r>
              <w:rPr>
                <w:sz w:val="17"/>
              </w:rPr>
              <w:t>Benefit requires lysosomal delivery/processing and is reduced by CTSD or NPC2 interference.</w:t>
            </w:r>
          </w:p>
        </w:tc>
      </w:tr>
      <w:tr w:rsidR="000E6BF1" w14:paraId="75CF5C5F" w14:textId="77777777" w:rsidTr="006A6FC3">
        <w:trPr>
          <w:jc w:val="center"/>
        </w:trPr>
        <w:tc>
          <w:tcPr>
            <w:tcW w:w="4559"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9730EE7" w14:textId="77777777" w:rsidR="000E6BF1" w:rsidRDefault="00000000">
            <w:pPr>
              <w:spacing w:after="0"/>
            </w:pPr>
            <w:r>
              <w:rPr>
                <w:sz w:val="17"/>
              </w:rPr>
              <w:t>If benefit is extracellular</w:t>
            </w:r>
          </w:p>
        </w:tc>
        <w:tc>
          <w:tcPr>
            <w:tcW w:w="7056"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E0F8E35" w14:textId="77777777" w:rsidR="000E6BF1" w:rsidRDefault="00000000">
            <w:pPr>
              <w:spacing w:after="0"/>
            </w:pPr>
            <w:r>
              <w:rPr>
                <w:sz w:val="17"/>
              </w:rPr>
              <w:t>Protection persists despite impaired lysosomal processing and depends instead on GPR37/GPR37L1 signaling.</w:t>
            </w:r>
          </w:p>
        </w:tc>
      </w:tr>
      <w:tr w:rsidR="000E6BF1" w14:paraId="7E180429" w14:textId="77777777" w:rsidTr="006A6FC3">
        <w:trPr>
          <w:jc w:val="center"/>
        </w:trPr>
        <w:tc>
          <w:tcPr>
            <w:tcW w:w="4559"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F178F8A" w14:textId="77777777" w:rsidR="000E6BF1" w:rsidRDefault="00000000">
            <w:pPr>
              <w:spacing w:after="0"/>
            </w:pPr>
            <w:r>
              <w:rPr>
                <w:sz w:val="17"/>
              </w:rPr>
              <w:t>If Rank 2 is only an overload marker</w:t>
            </w:r>
          </w:p>
        </w:tc>
        <w:tc>
          <w:tcPr>
            <w:tcW w:w="7056"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5EA71AF" w14:textId="77777777" w:rsidR="000E6BF1" w:rsidRDefault="00000000">
            <w:pPr>
              <w:spacing w:after="0"/>
            </w:pPr>
            <w:r>
              <w:rPr>
                <w:sz w:val="17"/>
              </w:rPr>
              <w:t>PSAP RNA/protein rises but lipid pulse–chase, lysosomal pH and substrate clearance remain defective; enhancement must then restore flux rather than further increase lysosome number.</w:t>
            </w:r>
          </w:p>
        </w:tc>
      </w:tr>
    </w:tbl>
    <w:p w14:paraId="7A64A4EF" w14:textId="77777777" w:rsidR="000E6BF1" w:rsidRDefault="00000000">
      <w:pPr>
        <w:pStyle w:val="Heading2"/>
      </w:pPr>
      <w:r>
        <w:t>9.4 Aim 3: in vivo RGC/EAE design aligned with available methods</w:t>
      </w:r>
    </w:p>
    <w:p w14:paraId="02185166" w14:textId="77777777" w:rsidR="000E6BF1" w:rsidRDefault="00000000">
      <w:r>
        <w:t xml:space="preserve">AAV2 provides a practical route to neuron-focused manipulation in RGCs. The primary comparison should be AAV2-PSAP versus matched control vector, with randomization, blinding and sex-balanced EAE cohorts. The </w:t>
      </w:r>
      <w:r>
        <w:lastRenderedPageBreak/>
        <w:t>therapeutic question is whether PSAP preserves neuronal function and structure while changing the predicted metabolic mechanism—not merely whether clinical EAE score changes.</w:t>
      </w:r>
    </w:p>
    <w:tbl>
      <w:tblPr>
        <w:tblW w:w="0" w:type="auto"/>
        <w:jc w:val="center"/>
        <w:tblLayout w:type="fixed"/>
        <w:tblLook w:val="04A0" w:firstRow="1" w:lastRow="0" w:firstColumn="1" w:lastColumn="0" w:noHBand="0" w:noVBand="1"/>
      </w:tblPr>
      <w:tblGrid>
        <w:gridCol w:w="3456"/>
        <w:gridCol w:w="4464"/>
        <w:gridCol w:w="3528"/>
      </w:tblGrid>
      <w:tr w:rsidR="000E6BF1" w14:paraId="3169D81B" w14:textId="77777777">
        <w:trPr>
          <w:tblHeader/>
          <w:jc w:val="center"/>
        </w:trPr>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79F7712B" w14:textId="77777777" w:rsidR="000E6BF1" w:rsidRDefault="00000000">
            <w:pPr>
              <w:spacing w:after="0"/>
            </w:pPr>
            <w:r>
              <w:rPr>
                <w:b/>
                <w:color w:val="FFFFFF"/>
                <w:sz w:val="17"/>
              </w:rPr>
              <w:t>Domain</w:t>
            </w:r>
          </w:p>
        </w:tc>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24BD8AE4" w14:textId="77777777" w:rsidR="000E6BF1" w:rsidRDefault="00000000">
            <w:pPr>
              <w:spacing w:after="0"/>
            </w:pPr>
            <w:r>
              <w:rPr>
                <w:b/>
                <w:color w:val="FFFFFF"/>
                <w:sz w:val="17"/>
              </w:rPr>
              <w:t>Readout</w:t>
            </w:r>
          </w:p>
        </w:tc>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16861895" w14:textId="77777777" w:rsidR="000E6BF1" w:rsidRDefault="00000000">
            <w:pPr>
              <w:spacing w:after="0"/>
            </w:pPr>
            <w:r>
              <w:rPr>
                <w:b/>
                <w:color w:val="FFFFFF"/>
                <w:sz w:val="17"/>
              </w:rPr>
              <w:t>Interpretation</w:t>
            </w:r>
          </w:p>
        </w:tc>
      </w:tr>
      <w:tr w:rsidR="000E6BF1" w14:paraId="441432E7" w14:textId="77777777">
        <w:trPr>
          <w:jc w:val="center"/>
        </w:trPr>
        <w:tc>
          <w:tcPr>
            <w:tcW w:w="208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49464B1" w14:textId="77777777" w:rsidR="000E6BF1" w:rsidRDefault="00000000">
            <w:pPr>
              <w:spacing w:after="0"/>
            </w:pPr>
            <w:r>
              <w:rPr>
                <w:sz w:val="17"/>
              </w:rPr>
              <w:t>Visual function</w:t>
            </w:r>
          </w:p>
        </w:tc>
        <w:tc>
          <w:tcPr>
            <w:tcW w:w="446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BE7AED3" w14:textId="77777777" w:rsidR="000E6BF1" w:rsidRDefault="00000000">
            <w:pPr>
              <w:spacing w:after="0"/>
            </w:pPr>
            <w:r>
              <w:rPr>
                <w:sz w:val="17"/>
              </w:rPr>
              <w:t>Optomotor response</w:t>
            </w:r>
          </w:p>
        </w:tc>
        <w:tc>
          <w:tcPr>
            <w:tcW w:w="352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22A83EE" w14:textId="77777777" w:rsidR="000E6BF1" w:rsidRDefault="00000000">
            <w:pPr>
              <w:spacing w:after="0"/>
            </w:pPr>
            <w:r>
              <w:rPr>
                <w:sz w:val="17"/>
              </w:rPr>
              <w:t>Functional neuronal output</w:t>
            </w:r>
          </w:p>
        </w:tc>
      </w:tr>
      <w:tr w:rsidR="000E6BF1" w14:paraId="3BC394CC" w14:textId="77777777">
        <w:trPr>
          <w:jc w:val="center"/>
        </w:trPr>
        <w:tc>
          <w:tcPr>
            <w:tcW w:w="208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5F1A1E8" w14:textId="77777777" w:rsidR="000E6BF1" w:rsidRDefault="00000000">
            <w:pPr>
              <w:spacing w:after="0"/>
            </w:pPr>
            <w:r>
              <w:rPr>
                <w:sz w:val="17"/>
              </w:rPr>
              <w:t>Retinal structure</w:t>
            </w:r>
          </w:p>
        </w:tc>
        <w:tc>
          <w:tcPr>
            <w:tcW w:w="446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1DD20E4" w14:textId="77777777" w:rsidR="000E6BF1" w:rsidRDefault="00000000">
            <w:pPr>
              <w:spacing w:after="0"/>
            </w:pPr>
            <w:r>
              <w:rPr>
                <w:sz w:val="17"/>
              </w:rPr>
              <w:t>OCT layer thickness</w:t>
            </w:r>
          </w:p>
        </w:tc>
        <w:tc>
          <w:tcPr>
            <w:tcW w:w="352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B439BFB" w14:textId="77777777" w:rsidR="000E6BF1" w:rsidRDefault="00000000">
            <w:pPr>
              <w:spacing w:after="0"/>
            </w:pPr>
            <w:r>
              <w:rPr>
                <w:sz w:val="17"/>
              </w:rPr>
              <w:t>Longitudinal structural protection</w:t>
            </w:r>
          </w:p>
        </w:tc>
      </w:tr>
      <w:tr w:rsidR="000E6BF1" w14:paraId="00CCAA2C" w14:textId="77777777">
        <w:trPr>
          <w:jc w:val="center"/>
        </w:trPr>
        <w:tc>
          <w:tcPr>
            <w:tcW w:w="208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9301AD1" w14:textId="77777777" w:rsidR="000E6BF1" w:rsidRDefault="00000000">
            <w:pPr>
              <w:spacing w:after="0"/>
            </w:pPr>
            <w:r>
              <w:rPr>
                <w:sz w:val="17"/>
              </w:rPr>
              <w:t>RGC survival</w:t>
            </w:r>
          </w:p>
        </w:tc>
        <w:tc>
          <w:tcPr>
            <w:tcW w:w="446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581B36C" w14:textId="77777777" w:rsidR="000E6BF1" w:rsidRDefault="00000000">
            <w:pPr>
              <w:spacing w:after="0"/>
            </w:pPr>
            <w:r>
              <w:rPr>
                <w:sz w:val="17"/>
              </w:rPr>
              <w:t>Brn3a/RBPMS wholemount counts</w:t>
            </w:r>
          </w:p>
        </w:tc>
        <w:tc>
          <w:tcPr>
            <w:tcW w:w="352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BCCF47F" w14:textId="77777777" w:rsidR="000E6BF1" w:rsidRDefault="00000000">
            <w:pPr>
              <w:spacing w:after="0"/>
            </w:pPr>
            <w:r>
              <w:rPr>
                <w:sz w:val="17"/>
              </w:rPr>
              <w:t>Neuron number</w:t>
            </w:r>
          </w:p>
        </w:tc>
      </w:tr>
      <w:tr w:rsidR="000E6BF1" w14:paraId="473C09A5" w14:textId="77777777">
        <w:trPr>
          <w:jc w:val="center"/>
        </w:trPr>
        <w:tc>
          <w:tcPr>
            <w:tcW w:w="208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6A8FB2D" w14:textId="77777777" w:rsidR="000E6BF1" w:rsidRDefault="00000000">
            <w:pPr>
              <w:spacing w:after="0"/>
            </w:pPr>
            <w:r>
              <w:rPr>
                <w:sz w:val="17"/>
              </w:rPr>
              <w:t>Optic-nerve integrity</w:t>
            </w:r>
          </w:p>
        </w:tc>
        <w:tc>
          <w:tcPr>
            <w:tcW w:w="446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BB8D918" w14:textId="77777777" w:rsidR="000E6BF1" w:rsidRDefault="00000000">
            <w:pPr>
              <w:spacing w:after="0"/>
            </w:pPr>
            <w:r>
              <w:rPr>
                <w:sz w:val="17"/>
              </w:rPr>
              <w:t>Axon counts, neurofilament swellings, iDISCO/3D analysis</w:t>
            </w:r>
          </w:p>
        </w:tc>
        <w:tc>
          <w:tcPr>
            <w:tcW w:w="352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D6D5AAA" w14:textId="77777777" w:rsidR="000E6BF1" w:rsidRDefault="00000000">
            <w:pPr>
              <w:spacing w:after="0"/>
            </w:pPr>
            <w:r>
              <w:rPr>
                <w:sz w:val="17"/>
              </w:rPr>
              <w:t>Axonal preservation</w:t>
            </w:r>
          </w:p>
        </w:tc>
      </w:tr>
      <w:tr w:rsidR="000E6BF1" w14:paraId="2C22DD89" w14:textId="77777777">
        <w:trPr>
          <w:jc w:val="center"/>
        </w:trPr>
        <w:tc>
          <w:tcPr>
            <w:tcW w:w="208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54AC945" w14:textId="77777777" w:rsidR="000E6BF1" w:rsidRDefault="00000000">
            <w:pPr>
              <w:spacing w:after="0"/>
            </w:pPr>
            <w:r>
              <w:rPr>
                <w:sz w:val="17"/>
              </w:rPr>
              <w:t>Pathway engagement</w:t>
            </w:r>
          </w:p>
        </w:tc>
        <w:tc>
          <w:tcPr>
            <w:tcW w:w="446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1183D1A" w14:textId="77777777" w:rsidR="000E6BF1" w:rsidRDefault="00000000">
            <w:pPr>
              <w:spacing w:after="0"/>
            </w:pPr>
            <w:r>
              <w:rPr>
                <w:sz w:val="17"/>
              </w:rPr>
              <w:t>PSAP/saposins, CTSD activity, NPC2 localization, lysosomal pH</w:t>
            </w:r>
          </w:p>
        </w:tc>
        <w:tc>
          <w:tcPr>
            <w:tcW w:w="352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9ECCA8A" w14:textId="77777777" w:rsidR="000E6BF1" w:rsidRDefault="00000000">
            <w:pPr>
              <w:spacing w:after="0"/>
            </w:pPr>
            <w:r>
              <w:rPr>
                <w:sz w:val="17"/>
              </w:rPr>
              <w:t>Lysosomal mechanism</w:t>
            </w:r>
          </w:p>
        </w:tc>
      </w:tr>
      <w:tr w:rsidR="000E6BF1" w14:paraId="369061CA" w14:textId="77777777">
        <w:trPr>
          <w:jc w:val="center"/>
        </w:trPr>
        <w:tc>
          <w:tcPr>
            <w:tcW w:w="208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099A819" w14:textId="77777777" w:rsidR="000E6BF1" w:rsidRDefault="00000000">
            <w:pPr>
              <w:spacing w:after="0"/>
            </w:pPr>
            <w:r>
              <w:rPr>
                <w:sz w:val="17"/>
              </w:rPr>
              <w:t>Redox/ferroptosis</w:t>
            </w:r>
          </w:p>
        </w:tc>
        <w:tc>
          <w:tcPr>
            <w:tcW w:w="4464"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1D2A8AD" w14:textId="77777777" w:rsidR="000E6BF1" w:rsidRDefault="00000000">
            <w:pPr>
              <w:spacing w:after="0"/>
            </w:pPr>
            <w:r>
              <w:rPr>
                <w:sz w:val="17"/>
              </w:rPr>
              <w:t>NADPH/GSH, GPX4, C11-BODIPY/4-HNE, labile Fe²⁺, ferroptosis markers</w:t>
            </w:r>
          </w:p>
        </w:tc>
        <w:tc>
          <w:tcPr>
            <w:tcW w:w="352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99DD20E" w14:textId="77777777" w:rsidR="000E6BF1" w:rsidRDefault="00000000">
            <w:pPr>
              <w:spacing w:after="0"/>
            </w:pPr>
            <w:r>
              <w:rPr>
                <w:sz w:val="17"/>
              </w:rPr>
              <w:t>Link to Rank 1 and terminal injury</w:t>
            </w:r>
          </w:p>
        </w:tc>
      </w:tr>
      <w:tr w:rsidR="000E6BF1" w14:paraId="4123A0EF" w14:textId="77777777">
        <w:trPr>
          <w:jc w:val="center"/>
        </w:trPr>
        <w:tc>
          <w:tcPr>
            <w:tcW w:w="208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C046237" w14:textId="77777777" w:rsidR="000E6BF1" w:rsidRDefault="00000000">
            <w:pPr>
              <w:spacing w:after="0"/>
            </w:pPr>
            <w:r>
              <w:rPr>
                <w:sz w:val="17"/>
              </w:rPr>
              <w:t>Inflammation control</w:t>
            </w:r>
          </w:p>
        </w:tc>
        <w:tc>
          <w:tcPr>
            <w:tcW w:w="4464"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F38BE09" w14:textId="77777777" w:rsidR="000E6BF1" w:rsidRDefault="00000000">
            <w:pPr>
              <w:spacing w:after="0"/>
            </w:pPr>
            <w:r>
              <w:rPr>
                <w:sz w:val="17"/>
              </w:rPr>
              <w:t>Selected immune/glial readouts as secondary covariates</w:t>
            </w:r>
          </w:p>
        </w:tc>
        <w:tc>
          <w:tcPr>
            <w:tcW w:w="352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EDF21E2" w14:textId="77777777" w:rsidR="000E6BF1" w:rsidRDefault="00000000">
            <w:pPr>
              <w:spacing w:after="0"/>
            </w:pPr>
            <w:r>
              <w:rPr>
                <w:sz w:val="17"/>
              </w:rPr>
              <w:t>Shows whether benefit is neuron-intrinsic despite similar inflammatory exposure</w:t>
            </w:r>
          </w:p>
        </w:tc>
      </w:tr>
    </w:tbl>
    <w:p w14:paraId="0EE1D5C2" w14:textId="77777777" w:rsidR="000E6BF1" w:rsidRDefault="00000000">
      <w:pPr>
        <w:pStyle w:val="Heading2"/>
      </w:pPr>
      <w:r>
        <w:t>9.5 Optional regeneration extension</w:t>
      </w:r>
    </w:p>
    <w:p w14:paraId="08D21A4B" w14:textId="77777777" w:rsidR="000E6BF1" w:rsidRDefault="00000000">
      <w:r>
        <w:t>If regeneration is included, it should be compact and explicitly exploratory. A purified-neuron scratch/axotomy or microfluidic axon-regrowth assay can test whether PSAP and PGD improve regrowth after injury. A true in vivo regeneration experiment would require optic nerve crush with anterograde tracing beyond the crush site. Prosaposin-derived peptides have neuritogenic and peripheral nerve-regeneration evidence (</w:t>
      </w:r>
      <w:hyperlink r:id="rId157">
        <w:r w:rsidR="000E6BF1">
          <w:rPr>
            <w:color w:val="0563C1"/>
            <w:u w:val="single"/>
          </w:rPr>
          <w:t>Campana et al., Journal of the Peripheral Nervous System, 2000; PMID 11442168</w:t>
        </w:r>
      </w:hyperlink>
      <w:r>
        <w:t>) (</w:t>
      </w:r>
      <w:hyperlink r:id="rId158">
        <w:r w:rsidR="000E6BF1">
          <w:rPr>
            <w:color w:val="0563C1"/>
            <w:u w:val="single"/>
          </w:rPr>
          <w:t>Jolivalt et al., Journal of Neuropathology &amp; Experimental Neurology, 2008; PMID 18596543</w:t>
        </w:r>
      </w:hyperlink>
      <w:r>
        <w:t>), but the direct relevance of lysosomal PSAP to CNS axon regeneration remains a gap.</w:t>
      </w:r>
    </w:p>
    <w:p w14:paraId="7F47662A" w14:textId="77777777" w:rsidR="000E6BF1" w:rsidRDefault="00000000">
      <w:pPr>
        <w:pStyle w:val="Heading1"/>
      </w:pPr>
      <w:r>
        <w:t>10. Risks, alternative explanations and decision points</w:t>
      </w:r>
    </w:p>
    <w:tbl>
      <w:tblPr>
        <w:tblW w:w="0" w:type="auto"/>
        <w:jc w:val="center"/>
        <w:tblLayout w:type="fixed"/>
        <w:tblLook w:val="04A0" w:firstRow="1" w:lastRow="0" w:firstColumn="1" w:lastColumn="0" w:noHBand="0" w:noVBand="1"/>
      </w:tblPr>
      <w:tblGrid>
        <w:gridCol w:w="3456"/>
        <w:gridCol w:w="3528"/>
        <w:gridCol w:w="3672"/>
      </w:tblGrid>
      <w:tr w:rsidR="000E6BF1" w14:paraId="7EDDE993" w14:textId="77777777">
        <w:trPr>
          <w:tblHeader/>
          <w:jc w:val="center"/>
        </w:trPr>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71275EED" w14:textId="77777777" w:rsidR="000E6BF1" w:rsidRDefault="00000000">
            <w:pPr>
              <w:spacing w:after="0"/>
            </w:pPr>
            <w:r>
              <w:rPr>
                <w:b/>
                <w:color w:val="FFFFFF"/>
                <w:sz w:val="16"/>
              </w:rPr>
              <w:t>Risk/observation</w:t>
            </w:r>
          </w:p>
        </w:tc>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E71AC1A" w14:textId="77777777" w:rsidR="000E6BF1" w:rsidRDefault="00000000">
            <w:pPr>
              <w:spacing w:after="0"/>
            </w:pPr>
            <w:r>
              <w:rPr>
                <w:b/>
                <w:color w:val="FFFFFF"/>
                <w:sz w:val="16"/>
              </w:rPr>
              <w:t>Meaning</w:t>
            </w:r>
          </w:p>
        </w:tc>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39E41A9E" w14:textId="77777777" w:rsidR="000E6BF1" w:rsidRDefault="00000000">
            <w:pPr>
              <w:spacing w:after="0"/>
            </w:pPr>
            <w:r>
              <w:rPr>
                <w:b/>
                <w:color w:val="FFFFFF"/>
                <w:sz w:val="16"/>
              </w:rPr>
              <w:t>Response</w:t>
            </w:r>
          </w:p>
        </w:tc>
      </w:tr>
      <w:tr w:rsidR="000E6BF1" w14:paraId="05EAEA46" w14:textId="77777777">
        <w:trPr>
          <w:jc w:val="center"/>
        </w:trPr>
        <w:tc>
          <w:tcPr>
            <w:tcW w:w="288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256A5DD" w14:textId="77777777" w:rsidR="000E6BF1" w:rsidRDefault="00000000">
            <w:pPr>
              <w:spacing w:after="0"/>
            </w:pPr>
            <w:r>
              <w:rPr>
                <w:sz w:val="16"/>
              </w:rPr>
              <w:t>PGD RNA rises but PPP flux is normal/high</w:t>
            </w:r>
          </w:p>
        </w:tc>
        <w:tc>
          <w:tcPr>
            <w:tcW w:w="352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125D3B1" w14:textId="77777777" w:rsidR="000E6BF1" w:rsidRDefault="00000000">
            <w:pPr>
              <w:spacing w:after="0"/>
            </w:pPr>
            <w:r>
              <w:rPr>
                <w:sz w:val="16"/>
              </w:rPr>
              <w:t>The primary defect may be excessive NADPH demand rather than inadequate supply.</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3372748" w14:textId="77777777" w:rsidR="000E6BF1" w:rsidRDefault="00000000">
            <w:pPr>
              <w:spacing w:after="0"/>
            </w:pPr>
            <w:r>
              <w:rPr>
                <w:sz w:val="16"/>
              </w:rPr>
              <w:t>Shift emphasis to CYBB/NOX2/XDH activity and consumption; retain PSAP as downstream defense.</w:t>
            </w:r>
          </w:p>
        </w:tc>
      </w:tr>
      <w:tr w:rsidR="000E6BF1" w14:paraId="22622033" w14:textId="77777777">
        <w:trPr>
          <w:jc w:val="center"/>
        </w:trPr>
        <w:tc>
          <w:tcPr>
            <w:tcW w:w="288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02A2F3C" w14:textId="77777777" w:rsidR="000E6BF1" w:rsidRDefault="00000000">
            <w:pPr>
              <w:spacing w:after="0"/>
            </w:pPr>
            <w:r>
              <w:rPr>
                <w:sz w:val="16"/>
              </w:rPr>
              <w:t>PSAP overexpression increases lysosomal storage</w:t>
            </w:r>
          </w:p>
        </w:tc>
        <w:tc>
          <w:tcPr>
            <w:tcW w:w="352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D62E64B" w14:textId="77777777" w:rsidR="000E6BF1" w:rsidRDefault="00000000">
            <w:pPr>
              <w:spacing w:after="0"/>
            </w:pPr>
            <w:r>
              <w:rPr>
                <w:sz w:val="16"/>
              </w:rPr>
              <w:t>More precursor may not yield correctly processed saposins or lysosomal delivery may be limiting.</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6298864" w14:textId="77777777" w:rsidR="000E6BF1" w:rsidRDefault="00000000">
            <w:pPr>
              <w:spacing w:after="0"/>
            </w:pPr>
            <w:r>
              <w:rPr>
                <w:sz w:val="16"/>
              </w:rPr>
              <w:t>Measure saposin species/localization; test CTSD and GRN trafficking; titrate expression.</w:t>
            </w:r>
          </w:p>
        </w:tc>
      </w:tr>
      <w:tr w:rsidR="000E6BF1" w14:paraId="411BD935" w14:textId="77777777">
        <w:trPr>
          <w:jc w:val="center"/>
        </w:trPr>
        <w:tc>
          <w:tcPr>
            <w:tcW w:w="288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979FD06" w14:textId="77777777" w:rsidR="000E6BF1" w:rsidRDefault="00000000">
            <w:pPr>
              <w:spacing w:after="0"/>
            </w:pPr>
            <w:r>
              <w:rPr>
                <w:sz w:val="16"/>
              </w:rPr>
              <w:t>PSAP protects without changing lysosomal lipid/iron</w:t>
            </w:r>
          </w:p>
        </w:tc>
        <w:tc>
          <w:tcPr>
            <w:tcW w:w="352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7ECA75F" w14:textId="77777777" w:rsidR="000E6BF1" w:rsidRDefault="00000000">
            <w:pPr>
              <w:spacing w:after="0"/>
            </w:pPr>
            <w:r>
              <w:rPr>
                <w:sz w:val="16"/>
              </w:rPr>
              <w:t>Extracellular prosaposin–GPR37 signaling may mediate survival.</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CDDB955" w14:textId="77777777" w:rsidR="000E6BF1" w:rsidRDefault="00000000">
            <w:pPr>
              <w:spacing w:after="0"/>
            </w:pPr>
            <w:r>
              <w:rPr>
                <w:sz w:val="16"/>
              </w:rPr>
              <w:t>Measure secretion; use receptor blockade and lysosome-targeting mutants.</w:t>
            </w:r>
          </w:p>
        </w:tc>
      </w:tr>
      <w:tr w:rsidR="000E6BF1" w14:paraId="33141656" w14:textId="77777777">
        <w:trPr>
          <w:jc w:val="center"/>
        </w:trPr>
        <w:tc>
          <w:tcPr>
            <w:tcW w:w="288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4688C3C" w14:textId="77777777" w:rsidR="000E6BF1" w:rsidRDefault="00000000">
            <w:pPr>
              <w:spacing w:after="0"/>
            </w:pPr>
            <w:r>
              <w:rPr>
                <w:sz w:val="16"/>
              </w:rPr>
              <w:t>PSAP changes EAE inflammation</w:t>
            </w:r>
          </w:p>
        </w:tc>
        <w:tc>
          <w:tcPr>
            <w:tcW w:w="352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9D8CCAA" w14:textId="77777777" w:rsidR="000E6BF1" w:rsidRDefault="00000000">
            <w:pPr>
              <w:spacing w:after="0"/>
            </w:pPr>
            <w:r>
              <w:rPr>
                <w:sz w:val="16"/>
              </w:rPr>
              <w:t>AAV leakage or extracellular protein may affect non-neuronal compartments.</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D305AB1" w14:textId="77777777" w:rsidR="000E6BF1" w:rsidRDefault="00000000">
            <w:pPr>
              <w:spacing w:after="0"/>
            </w:pPr>
            <w:r>
              <w:rPr>
                <w:sz w:val="16"/>
              </w:rPr>
              <w:t>Verify neuronal transduction, vector distribution and inflammatory covariates; use neuron-restricted promoter.</w:t>
            </w:r>
          </w:p>
        </w:tc>
      </w:tr>
      <w:tr w:rsidR="000E6BF1" w14:paraId="10B2B6C1" w14:textId="77777777">
        <w:trPr>
          <w:jc w:val="center"/>
        </w:trPr>
        <w:tc>
          <w:tcPr>
            <w:tcW w:w="288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4A9B982" w14:textId="77777777" w:rsidR="000E6BF1" w:rsidRDefault="00000000">
            <w:pPr>
              <w:spacing w:after="0"/>
            </w:pPr>
            <w:r>
              <w:rPr>
                <w:sz w:val="16"/>
              </w:rPr>
              <w:t>NOX2 inhibition worsens neurite growth</w:t>
            </w:r>
          </w:p>
        </w:tc>
        <w:tc>
          <w:tcPr>
            <w:tcW w:w="352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E3E8905" w14:textId="77777777" w:rsidR="000E6BF1" w:rsidRDefault="00000000">
            <w:pPr>
              <w:spacing w:after="0"/>
            </w:pPr>
            <w:r>
              <w:rPr>
                <w:sz w:val="16"/>
              </w:rPr>
              <w:t>Physiological ROS signaling has been over-suppressed.</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01B41A8" w14:textId="77777777" w:rsidR="000E6BF1" w:rsidRDefault="00000000">
            <w:pPr>
              <w:spacing w:after="0"/>
            </w:pPr>
            <w:r>
              <w:rPr>
                <w:sz w:val="16"/>
              </w:rPr>
              <w:t>Use partial/delayed inhibition and genetic dose response; keep NOX2 secondary.</w:t>
            </w:r>
          </w:p>
        </w:tc>
      </w:tr>
      <w:tr w:rsidR="000E6BF1" w14:paraId="7BCED1BE" w14:textId="77777777">
        <w:trPr>
          <w:jc w:val="center"/>
        </w:trPr>
        <w:tc>
          <w:tcPr>
            <w:tcW w:w="288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319D318" w14:textId="77777777" w:rsidR="000E6BF1" w:rsidRDefault="00000000">
            <w:pPr>
              <w:spacing w:after="0"/>
            </w:pPr>
            <w:r>
              <w:rPr>
                <w:sz w:val="16"/>
              </w:rPr>
              <w:t>Human neuronal module is heterogeneous</w:t>
            </w:r>
          </w:p>
        </w:tc>
        <w:tc>
          <w:tcPr>
            <w:tcW w:w="352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0C4166A" w14:textId="77777777" w:rsidR="000E6BF1" w:rsidRDefault="00000000">
            <w:pPr>
              <w:spacing w:after="0"/>
            </w:pPr>
            <w:r>
              <w:rPr>
                <w:sz w:val="16"/>
              </w:rPr>
              <w:t>The pathway may be lesion-stage or neuronal-subtype specific.</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D9C9A0D" w14:textId="77777777" w:rsidR="000E6BF1" w:rsidRDefault="00000000">
            <w:pPr>
              <w:spacing w:after="0"/>
            </w:pPr>
            <w:r>
              <w:rPr>
                <w:sz w:val="16"/>
              </w:rPr>
              <w:t>Use dataset-level meta-analysis and lesion context; do not require universal expression in every neuron.</w:t>
            </w:r>
          </w:p>
        </w:tc>
      </w:tr>
      <w:tr w:rsidR="000E6BF1" w14:paraId="0B1C2A0C" w14:textId="77777777">
        <w:trPr>
          <w:jc w:val="center"/>
        </w:trPr>
        <w:tc>
          <w:tcPr>
            <w:tcW w:w="288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851567E" w14:textId="77777777" w:rsidR="000E6BF1" w:rsidRDefault="00000000">
            <w:pPr>
              <w:spacing w:after="0"/>
            </w:pPr>
            <w:r>
              <w:rPr>
                <w:sz w:val="16"/>
              </w:rPr>
              <w:t>Ferroptosis inhibitors rescue viability but not axons</w:t>
            </w:r>
          </w:p>
        </w:tc>
        <w:tc>
          <w:tcPr>
            <w:tcW w:w="3528"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36FEBF9" w14:textId="77777777" w:rsidR="000E6BF1" w:rsidRDefault="00000000">
            <w:pPr>
              <w:spacing w:after="0"/>
            </w:pPr>
            <w:r>
              <w:rPr>
                <w:sz w:val="16"/>
              </w:rPr>
              <w:t>Axonal degeneration may proceed through NMNAT2/SARM1 or energy failure in parallel.</w:t>
            </w:r>
          </w:p>
        </w:tc>
        <w:tc>
          <w:tcPr>
            <w:tcW w:w="3672"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7BCA53F" w14:textId="77777777" w:rsidR="000E6BF1" w:rsidRDefault="00000000">
            <w:pPr>
              <w:spacing w:after="0"/>
            </w:pPr>
            <w:r>
              <w:rPr>
                <w:sz w:val="16"/>
              </w:rPr>
              <w:t>Measure axonal NAD pathway and combine mechanistic—not indiscriminate—interventions.</w:t>
            </w:r>
          </w:p>
        </w:tc>
      </w:tr>
      <w:tr w:rsidR="000E6BF1" w14:paraId="36625C78" w14:textId="77777777">
        <w:trPr>
          <w:jc w:val="center"/>
        </w:trPr>
        <w:tc>
          <w:tcPr>
            <w:tcW w:w="288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285BEC3" w14:textId="77777777" w:rsidR="000E6BF1" w:rsidRDefault="00000000">
            <w:pPr>
              <w:spacing w:after="0"/>
            </w:pPr>
            <w:r>
              <w:rPr>
                <w:sz w:val="16"/>
              </w:rPr>
              <w:t>Clinical EAE score improves without neuronal pathway rescue</w:t>
            </w:r>
          </w:p>
        </w:tc>
        <w:tc>
          <w:tcPr>
            <w:tcW w:w="3528"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FF425B7" w14:textId="77777777" w:rsidR="000E6BF1" w:rsidRDefault="00000000">
            <w:pPr>
              <w:spacing w:after="0"/>
            </w:pPr>
            <w:r>
              <w:rPr>
                <w:sz w:val="16"/>
              </w:rPr>
              <w:t>Systemic/immune effects may dominate.</w:t>
            </w:r>
          </w:p>
        </w:tc>
        <w:tc>
          <w:tcPr>
            <w:tcW w:w="3672"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457C662" w14:textId="77777777" w:rsidR="000E6BF1" w:rsidRDefault="00000000">
            <w:pPr>
              <w:spacing w:after="0"/>
            </w:pPr>
            <w:r>
              <w:rPr>
                <w:sz w:val="16"/>
              </w:rPr>
              <w:t>Interpret only with RGC/optic-nerve and pathway-engagement evidence.</w:t>
            </w:r>
          </w:p>
        </w:tc>
      </w:tr>
    </w:tbl>
    <w:p w14:paraId="76822A47" w14:textId="77777777" w:rsidR="000E6BF1" w:rsidRDefault="00000000">
      <w:pPr>
        <w:pStyle w:val="Heading2"/>
      </w:pPr>
      <w:r>
        <w:t>10.1 Decision framework after initial experiments</w:t>
      </w:r>
    </w:p>
    <w:tbl>
      <w:tblPr>
        <w:tblW w:w="0" w:type="auto"/>
        <w:jc w:val="center"/>
        <w:tblLayout w:type="fixed"/>
        <w:tblLook w:val="04A0" w:firstRow="1" w:lastRow="0" w:firstColumn="1" w:lastColumn="0" w:noHBand="0" w:noVBand="1"/>
      </w:tblPr>
      <w:tblGrid>
        <w:gridCol w:w="5184"/>
        <w:gridCol w:w="5760"/>
      </w:tblGrid>
      <w:tr w:rsidR="000E6BF1" w14:paraId="113A4C10" w14:textId="77777777">
        <w:trPr>
          <w:tblHeader/>
          <w:jc w:val="center"/>
        </w:trPr>
        <w:tc>
          <w:tcPr>
            <w:tcW w:w="518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7A9CD8F4" w14:textId="77777777" w:rsidR="000E6BF1" w:rsidRDefault="00000000">
            <w:pPr>
              <w:spacing w:after="0"/>
            </w:pPr>
            <w:r>
              <w:rPr>
                <w:b/>
                <w:color w:val="FFFFFF"/>
                <w:sz w:val="17"/>
              </w:rPr>
              <w:t>Initial result</w:t>
            </w:r>
          </w:p>
        </w:tc>
        <w:tc>
          <w:tcPr>
            <w:tcW w:w="5184"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6E3C0FE2" w14:textId="77777777" w:rsidR="000E6BF1" w:rsidRDefault="00000000">
            <w:pPr>
              <w:spacing w:after="0"/>
            </w:pPr>
            <w:r>
              <w:rPr>
                <w:b/>
                <w:color w:val="FFFFFF"/>
                <w:sz w:val="17"/>
              </w:rPr>
              <w:t>Grant decision</w:t>
            </w:r>
          </w:p>
        </w:tc>
      </w:tr>
      <w:tr w:rsidR="000E6BF1" w14:paraId="6E883DD1" w14:textId="77777777">
        <w:trPr>
          <w:jc w:val="center"/>
        </w:trPr>
        <w:tc>
          <w:tcPr>
            <w:tcW w:w="432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484B824" w14:textId="77777777" w:rsidR="000E6BF1" w:rsidRDefault="00000000">
            <w:pPr>
              <w:spacing w:after="0"/>
            </w:pPr>
            <w:r>
              <w:rPr>
                <w:sz w:val="17"/>
              </w:rPr>
              <w:t>PPP flux low + lipid ROS high</w:t>
            </w:r>
          </w:p>
        </w:tc>
        <w:tc>
          <w:tcPr>
            <w:tcW w:w="576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298E4A3" w14:textId="77777777" w:rsidR="000E6BF1" w:rsidRDefault="00000000">
            <w:pPr>
              <w:spacing w:after="0"/>
            </w:pPr>
            <w:r>
              <w:rPr>
                <w:sz w:val="17"/>
              </w:rPr>
              <w:t>Advance PGD support and PSAP factorial testing.</w:t>
            </w:r>
          </w:p>
        </w:tc>
      </w:tr>
      <w:tr w:rsidR="000E6BF1" w14:paraId="311D5ACB" w14:textId="77777777">
        <w:trPr>
          <w:jc w:val="center"/>
        </w:trPr>
        <w:tc>
          <w:tcPr>
            <w:tcW w:w="432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BB87DD2" w14:textId="77777777" w:rsidR="000E6BF1" w:rsidRDefault="00000000">
            <w:pPr>
              <w:spacing w:after="0"/>
            </w:pPr>
            <w:r>
              <w:rPr>
                <w:sz w:val="17"/>
              </w:rPr>
              <w:lastRenderedPageBreak/>
              <w:t>PPP flux adequate + NOX2 activity high</w:t>
            </w:r>
          </w:p>
        </w:tc>
        <w:tc>
          <w:tcPr>
            <w:tcW w:w="576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FBFEE14" w14:textId="77777777" w:rsidR="000E6BF1" w:rsidRDefault="00000000">
            <w:pPr>
              <w:spacing w:after="0"/>
            </w:pPr>
            <w:r>
              <w:rPr>
                <w:sz w:val="17"/>
              </w:rPr>
              <w:t>Prioritize demand reduction plus PSAP.</w:t>
            </w:r>
          </w:p>
        </w:tc>
      </w:tr>
      <w:tr w:rsidR="000E6BF1" w14:paraId="199528A7" w14:textId="77777777">
        <w:trPr>
          <w:jc w:val="center"/>
        </w:trPr>
        <w:tc>
          <w:tcPr>
            <w:tcW w:w="432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E30FC61" w14:textId="77777777" w:rsidR="000E6BF1" w:rsidRDefault="00000000">
            <w:pPr>
              <w:spacing w:after="0"/>
            </w:pPr>
            <w:r>
              <w:rPr>
                <w:sz w:val="17"/>
              </w:rPr>
              <w:t>PSAP improves lipid/iron flux and survival</w:t>
            </w:r>
          </w:p>
        </w:tc>
        <w:tc>
          <w:tcPr>
            <w:tcW w:w="576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84EFEE3" w14:textId="77777777" w:rsidR="000E6BF1" w:rsidRDefault="00000000">
            <w:pPr>
              <w:spacing w:after="0"/>
            </w:pPr>
            <w:r>
              <w:rPr>
                <w:sz w:val="17"/>
              </w:rPr>
              <w:t>Advance neuron-specific AAV2-PSAP in EAE.</w:t>
            </w:r>
          </w:p>
        </w:tc>
      </w:tr>
      <w:tr w:rsidR="000E6BF1" w14:paraId="2E080CE3" w14:textId="77777777">
        <w:trPr>
          <w:jc w:val="center"/>
        </w:trPr>
        <w:tc>
          <w:tcPr>
            <w:tcW w:w="432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A454E83" w14:textId="77777777" w:rsidR="000E6BF1" w:rsidRDefault="00000000">
            <w:pPr>
              <w:spacing w:after="0"/>
            </w:pPr>
            <w:r>
              <w:rPr>
                <w:sz w:val="17"/>
              </w:rPr>
              <w:t>PSAP improves survival only through GPR37</w:t>
            </w:r>
          </w:p>
        </w:tc>
        <w:tc>
          <w:tcPr>
            <w:tcW w:w="576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FE1A1C7" w14:textId="77777777" w:rsidR="000E6BF1" w:rsidRDefault="00000000">
            <w:pPr>
              <w:spacing w:after="0"/>
            </w:pPr>
            <w:r>
              <w:rPr>
                <w:sz w:val="17"/>
              </w:rPr>
              <w:t>Reframe as prosaposin neurotrophic signaling, which is less metabolism-centered.</w:t>
            </w:r>
          </w:p>
        </w:tc>
      </w:tr>
      <w:tr w:rsidR="000E6BF1" w14:paraId="401C7CD2" w14:textId="77777777">
        <w:trPr>
          <w:jc w:val="center"/>
        </w:trPr>
        <w:tc>
          <w:tcPr>
            <w:tcW w:w="432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5E31FC8" w14:textId="77777777" w:rsidR="000E6BF1" w:rsidRDefault="00000000">
            <w:pPr>
              <w:spacing w:after="0"/>
            </w:pPr>
            <w:r>
              <w:rPr>
                <w:sz w:val="17"/>
              </w:rPr>
              <w:t>PSAP fails but NPC2/CTSD bottleneck evident</w:t>
            </w:r>
          </w:p>
        </w:tc>
        <w:tc>
          <w:tcPr>
            <w:tcW w:w="576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54701C9" w14:textId="77777777" w:rsidR="000E6BF1" w:rsidRDefault="00000000">
            <w:pPr>
              <w:spacing w:after="0"/>
            </w:pPr>
            <w:r>
              <w:rPr>
                <w:sz w:val="17"/>
              </w:rPr>
              <w:t>Target the demonstrated bottleneck; retain PSAP as biomarker, not therapy.</w:t>
            </w:r>
          </w:p>
        </w:tc>
      </w:tr>
      <w:tr w:rsidR="000E6BF1" w14:paraId="6F6C1C39" w14:textId="77777777">
        <w:trPr>
          <w:jc w:val="center"/>
        </w:trPr>
        <w:tc>
          <w:tcPr>
            <w:tcW w:w="432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FED676C" w14:textId="77777777" w:rsidR="000E6BF1" w:rsidRDefault="00000000">
            <w:pPr>
              <w:spacing w:after="0"/>
            </w:pPr>
            <w:r>
              <w:rPr>
                <w:sz w:val="17"/>
              </w:rPr>
              <w:t>No lysosomal defect despite Rank 2 induction</w:t>
            </w:r>
          </w:p>
        </w:tc>
        <w:tc>
          <w:tcPr>
            <w:tcW w:w="576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1A5599F" w14:textId="77777777" w:rsidR="000E6BF1" w:rsidRDefault="00000000">
            <w:pPr>
              <w:spacing w:after="0"/>
            </w:pPr>
            <w:r>
              <w:rPr>
                <w:sz w:val="17"/>
              </w:rPr>
              <w:t>Treat Rank 2 as a successful adaptive response and focus intervention upstream on redox demand.</w:t>
            </w:r>
          </w:p>
        </w:tc>
      </w:tr>
    </w:tbl>
    <w:p w14:paraId="2183B377" w14:textId="77777777" w:rsidR="000E6BF1" w:rsidRDefault="00000000">
      <w:pPr>
        <w:pStyle w:val="Heading2"/>
      </w:pPr>
      <w:r>
        <w:t>10.2 Final integrated interpretation</w:t>
      </w:r>
    </w:p>
    <w:p w14:paraId="5488A057" w14:textId="77777777" w:rsidR="000E6BF1" w:rsidRDefault="00000000">
      <w:r>
        <w:t>The complete 215-gene signature does not describe “unhealthy metabolism” in a single direction. It describes a neuron under inflammatory pressure that activates injury-producing and protective programs at the same time. The most coherent model is an upstream redox supply–demand problem followed by a downstream lysosomal disposal checkpoint. This explains why the correct intervention is selective: strengthen PGD-dependent reducing power and PSAP-dependent lipid/iron clearance, while calibrating—not abolishing—oxidant signaling.</w:t>
      </w:r>
    </w:p>
    <w:tbl>
      <w:tblPr>
        <w:tblW w:w="0" w:type="auto"/>
        <w:jc w:val="center"/>
        <w:tblLayout w:type="fixed"/>
        <w:tblLook w:val="04A0" w:firstRow="1" w:lastRow="0" w:firstColumn="1" w:lastColumn="0" w:noHBand="0" w:noVBand="1"/>
      </w:tblPr>
      <w:tblGrid>
        <w:gridCol w:w="10368"/>
      </w:tblGrid>
      <w:tr w:rsidR="000E6BF1" w14:paraId="7779FF25" w14:textId="77777777">
        <w:trPr>
          <w:cantSplit/>
          <w:jc w:val="center"/>
        </w:trPr>
        <w:tc>
          <w:tcPr>
            <w:tcW w:w="10368" w:type="dxa"/>
            <w:tcBorders>
              <w:top w:val="single" w:sz="10" w:space="0" w:color="16796F"/>
              <w:left w:val="single" w:sz="10" w:space="0" w:color="16796F"/>
              <w:bottom w:val="single" w:sz="10" w:space="0" w:color="16796F"/>
              <w:right w:val="single" w:sz="10" w:space="0" w:color="16796F"/>
            </w:tcBorders>
            <w:shd w:val="clear" w:color="auto" w:fill="E8F5E9"/>
            <w:tcMar>
              <w:top w:w="120" w:type="dxa"/>
              <w:left w:w="140" w:type="dxa"/>
              <w:bottom w:w="120" w:type="dxa"/>
              <w:right w:w="140" w:type="dxa"/>
            </w:tcMar>
          </w:tcPr>
          <w:p w14:paraId="187C07B8" w14:textId="77777777" w:rsidR="000E6BF1" w:rsidRDefault="00000000">
            <w:pPr>
              <w:spacing w:after="60"/>
            </w:pPr>
            <w:r>
              <w:rPr>
                <w:b/>
                <w:color w:val="16796F"/>
              </w:rPr>
              <w:t>Recommended one-sentence grant hypothesis</w:t>
            </w:r>
          </w:p>
          <w:p w14:paraId="6940D6B6" w14:textId="77777777" w:rsidR="000E6BF1" w:rsidRDefault="00000000">
            <w:pPr>
              <w:spacing w:after="0"/>
            </w:pPr>
            <w:r>
              <w:t>Inflammation creates a neuronal NADPH deficit that drives lipid-peroxidation stress, and the PSAP-centered lysosomal response is an adaptive checkpoint that determines whether stressed neurons preserve their axons or undergo iron-dependent ferroptosis.</w:t>
            </w:r>
          </w:p>
        </w:tc>
      </w:tr>
    </w:tbl>
    <w:p w14:paraId="1E3E3863" w14:textId="77777777" w:rsidR="000E6BF1" w:rsidRDefault="000E6BF1">
      <w:pPr>
        <w:spacing w:after="20"/>
      </w:pPr>
    </w:p>
    <w:p w14:paraId="5405F0E0" w14:textId="77777777" w:rsidR="000E6BF1" w:rsidRDefault="00000000">
      <w:r>
        <w:br w:type="page"/>
      </w:r>
    </w:p>
    <w:p w14:paraId="02F6A316" w14:textId="77777777" w:rsidR="000E6BF1" w:rsidRDefault="00000000">
      <w:pPr>
        <w:pStyle w:val="Heading1"/>
      </w:pPr>
      <w:r>
        <w:lastRenderedPageBreak/>
        <w:t>11. Peer-reviewed references</w:t>
      </w:r>
    </w:p>
    <w:p w14:paraId="4ADB3113" w14:textId="77777777" w:rsidR="000E6BF1" w:rsidRDefault="00000000">
      <w:r>
        <w:t>Only peer-reviewed original or review papers are listed. Each PubMed identifier is a live link. Additional gene-level papers are linked directly in the Rank 1 and Rank 2 tables.</w:t>
      </w:r>
    </w:p>
    <w:p w14:paraId="55F67494" w14:textId="77777777" w:rsidR="000E6BF1" w:rsidRDefault="00000000">
      <w:pPr>
        <w:spacing w:after="50"/>
        <w:ind w:left="317" w:hanging="317"/>
      </w:pPr>
      <w:r>
        <w:rPr>
          <w:sz w:val="17"/>
        </w:rPr>
        <w:t xml:space="preserve">1. Hauser and Cree Treatment of Multiple Sclerosis: A Review. American Journal of Medicine. 2020. </w:t>
      </w:r>
      <w:hyperlink r:id="rId159">
        <w:r w:rsidR="000E6BF1">
          <w:rPr>
            <w:color w:val="0563C1"/>
            <w:u w:val="single"/>
          </w:rPr>
          <w:t>PMID 32682869</w:t>
        </w:r>
      </w:hyperlink>
    </w:p>
    <w:p w14:paraId="6AE337F7" w14:textId="77777777" w:rsidR="000E6BF1" w:rsidRDefault="00000000">
      <w:pPr>
        <w:spacing w:after="50"/>
        <w:ind w:left="317" w:hanging="317"/>
      </w:pPr>
      <w:r>
        <w:rPr>
          <w:sz w:val="17"/>
        </w:rPr>
        <w:t xml:space="preserve">2. Drake et al. Cellular rejuvenation protects neurons from inflammation-mediated cell death. Cell Reports. 2025. </w:t>
      </w:r>
      <w:hyperlink r:id="rId160">
        <w:r w:rsidR="000E6BF1">
          <w:rPr>
            <w:color w:val="0563C1"/>
            <w:u w:val="single"/>
          </w:rPr>
          <w:t>PMID 39937646</w:t>
        </w:r>
      </w:hyperlink>
    </w:p>
    <w:p w14:paraId="29E6F5A5" w14:textId="77777777" w:rsidR="000E6BF1" w:rsidRDefault="00000000">
      <w:pPr>
        <w:spacing w:after="50"/>
        <w:ind w:left="317" w:hanging="317"/>
      </w:pPr>
      <w:r>
        <w:rPr>
          <w:sz w:val="17"/>
        </w:rPr>
        <w:t xml:space="preserve">3. Rosenkranz et al. Enhancing mitochondrial activity in neurons protects against neurodegeneration in a mouse model of multiple sclerosis. eLife. 2021. </w:t>
      </w:r>
      <w:hyperlink r:id="rId161">
        <w:r w:rsidR="000E6BF1">
          <w:rPr>
            <w:color w:val="0563C1"/>
            <w:u w:val="single"/>
          </w:rPr>
          <w:t>PMID 33565962</w:t>
        </w:r>
      </w:hyperlink>
    </w:p>
    <w:p w14:paraId="1C6A789C" w14:textId="77777777" w:rsidR="000E6BF1" w:rsidRDefault="00000000">
      <w:pPr>
        <w:spacing w:after="50"/>
        <w:ind w:left="317" w:hanging="317"/>
      </w:pPr>
      <w:r>
        <w:rPr>
          <w:sz w:val="17"/>
        </w:rPr>
        <w:t xml:space="preserve">4. Woo et al. The NR4A2/VGF pathway fuels inflammation-induced neurodegeneration via promoting neuronal glycolysis. Journal of Clinical Investigation. 2024. </w:t>
      </w:r>
      <w:hyperlink r:id="rId162">
        <w:r w:rsidR="000E6BF1">
          <w:rPr>
            <w:color w:val="0563C1"/>
            <w:u w:val="single"/>
          </w:rPr>
          <w:t>PMID 39145444</w:t>
        </w:r>
      </w:hyperlink>
    </w:p>
    <w:p w14:paraId="3BA1BEF5" w14:textId="77777777" w:rsidR="000E6BF1" w:rsidRDefault="00000000">
      <w:pPr>
        <w:spacing w:after="50"/>
        <w:ind w:left="317" w:hanging="317"/>
      </w:pPr>
      <w:r>
        <w:rPr>
          <w:sz w:val="17"/>
        </w:rPr>
        <w:t xml:space="preserve">5. Woo et al. The immunoproteasome disturbs neuronal metabolism and drives neurodegeneration in multiple sclerosis. Cell. 2025. </w:t>
      </w:r>
      <w:hyperlink r:id="rId163">
        <w:r w:rsidR="000E6BF1">
          <w:rPr>
            <w:color w:val="0563C1"/>
            <w:u w:val="single"/>
          </w:rPr>
          <w:t>PMID 40532699</w:t>
        </w:r>
      </w:hyperlink>
    </w:p>
    <w:p w14:paraId="47277F04" w14:textId="77777777" w:rsidR="000E6BF1" w:rsidRDefault="00000000">
      <w:pPr>
        <w:spacing w:after="50"/>
        <w:ind w:left="317" w:hanging="317"/>
      </w:pPr>
      <w:r>
        <w:rPr>
          <w:sz w:val="17"/>
        </w:rPr>
        <w:t xml:space="preserve">6. Herrero-Mendez et al. The bioenergetic and antioxidant status of neurons is controlled by continuous degradation of a key glycolytic enzyme by APC/C-Cdh1. Nature Cell Biology. 2009. </w:t>
      </w:r>
      <w:hyperlink r:id="rId164">
        <w:r w:rsidR="000E6BF1">
          <w:rPr>
            <w:color w:val="0563C1"/>
            <w:u w:val="single"/>
          </w:rPr>
          <w:t>PMID 19448625</w:t>
        </w:r>
      </w:hyperlink>
    </w:p>
    <w:p w14:paraId="51409744" w14:textId="77777777" w:rsidR="000E6BF1" w:rsidRDefault="00000000">
      <w:pPr>
        <w:spacing w:after="50"/>
        <w:ind w:left="317" w:hanging="317"/>
      </w:pPr>
      <w:r>
        <w:rPr>
          <w:sz w:val="17"/>
        </w:rPr>
        <w:t xml:space="preserve">7. Rodríguez-Rodríguez et al. Excitotoxic stimulus stabilizes PFKFB3 causing pentose-phosphate pathway to glycolysis switch and neurodegeneration. Cell Death &amp; Differentiation. 2012. </w:t>
      </w:r>
      <w:hyperlink r:id="rId165">
        <w:r w:rsidR="000E6BF1">
          <w:rPr>
            <w:color w:val="0563C1"/>
            <w:u w:val="single"/>
          </w:rPr>
          <w:t>PMID 22421967</w:t>
        </w:r>
      </w:hyperlink>
    </w:p>
    <w:p w14:paraId="35F7EB3D" w14:textId="77777777" w:rsidR="000E6BF1" w:rsidRDefault="00000000">
      <w:pPr>
        <w:spacing w:after="50"/>
        <w:ind w:left="317" w:hanging="317"/>
      </w:pPr>
      <w:r>
        <w:rPr>
          <w:sz w:val="17"/>
        </w:rPr>
        <w:t xml:space="preserve">8. Bolaños The pentose-phosphate pathway in neuronal survival against nitrosative stress. IUBMB Life. 2010. </w:t>
      </w:r>
      <w:hyperlink r:id="rId166">
        <w:r w:rsidR="000E6BF1">
          <w:rPr>
            <w:color w:val="0563C1"/>
            <w:u w:val="single"/>
          </w:rPr>
          <w:t>PMID 19937972</w:t>
        </w:r>
      </w:hyperlink>
    </w:p>
    <w:p w14:paraId="03084D58" w14:textId="77777777" w:rsidR="000E6BF1" w:rsidRDefault="00000000">
      <w:pPr>
        <w:spacing w:after="50"/>
        <w:ind w:left="317" w:hanging="317"/>
      </w:pPr>
      <w:r>
        <w:rPr>
          <w:sz w:val="17"/>
        </w:rPr>
        <w:t xml:space="preserve">9. Müller et al. Neuronal loss of the pentose phosphate pathway in the living nervous system is causally linked to NADPH reduction and elevated oxidative stress. Journal of Physiology. 2026. </w:t>
      </w:r>
      <w:hyperlink r:id="rId167">
        <w:r w:rsidR="000E6BF1">
          <w:rPr>
            <w:color w:val="0563C1"/>
            <w:u w:val="single"/>
          </w:rPr>
          <w:t>PMID 41832615</w:t>
        </w:r>
      </w:hyperlink>
    </w:p>
    <w:p w14:paraId="708BD5B3" w14:textId="77777777" w:rsidR="000E6BF1" w:rsidRDefault="00000000">
      <w:pPr>
        <w:spacing w:after="50"/>
        <w:ind w:left="317" w:hanging="317"/>
      </w:pPr>
      <w:r>
        <w:rPr>
          <w:sz w:val="17"/>
        </w:rPr>
        <w:t xml:space="preserve">10. Fischer et al. NADPH oxidase expression in active multiple sclerosis lesions in relation to oxidative tissue damage and mitochondrial injury. Brain. 2012. </w:t>
      </w:r>
      <w:hyperlink r:id="rId168">
        <w:r w:rsidR="000E6BF1">
          <w:rPr>
            <w:color w:val="0563C1"/>
            <w:u w:val="single"/>
          </w:rPr>
          <w:t>PMID 22366799</w:t>
        </w:r>
      </w:hyperlink>
    </w:p>
    <w:p w14:paraId="3F921EBA" w14:textId="77777777" w:rsidR="000E6BF1" w:rsidRDefault="00000000">
      <w:pPr>
        <w:spacing w:after="50"/>
        <w:ind w:left="317" w:hanging="317"/>
      </w:pPr>
      <w:r>
        <w:rPr>
          <w:sz w:val="17"/>
        </w:rPr>
        <w:t xml:space="preserve">11. Honorat et al. Xanthine oxidase mediates axonal and myelin loss in a murine model of multiple sclerosis. PLoS One. 2013. </w:t>
      </w:r>
      <w:hyperlink r:id="rId169">
        <w:r w:rsidR="000E6BF1">
          <w:rPr>
            <w:color w:val="0563C1"/>
            <w:u w:val="single"/>
          </w:rPr>
          <w:t>PMID 23951137</w:t>
        </w:r>
      </w:hyperlink>
    </w:p>
    <w:p w14:paraId="63B1A94C" w14:textId="77777777" w:rsidR="000E6BF1" w:rsidRDefault="00000000">
      <w:pPr>
        <w:spacing w:after="50"/>
        <w:ind w:left="317" w:hanging="317"/>
      </w:pPr>
      <w:r>
        <w:rPr>
          <w:sz w:val="17"/>
        </w:rPr>
        <w:t xml:space="preserve">12. Hu et al. Reduced expression of the ferroptosis inhibitor glutathione peroxidase-4 in multiple sclerosis and experimental autoimmune encephalomyelitis. Journal of Neurochemistry. 2019. </w:t>
      </w:r>
      <w:hyperlink r:id="rId170">
        <w:r w:rsidR="000E6BF1">
          <w:rPr>
            <w:color w:val="0563C1"/>
            <w:u w:val="single"/>
          </w:rPr>
          <w:t>PMID 30289974</w:t>
        </w:r>
      </w:hyperlink>
    </w:p>
    <w:p w14:paraId="31B8BFBF" w14:textId="77777777" w:rsidR="000E6BF1" w:rsidRDefault="00000000">
      <w:pPr>
        <w:spacing w:after="50"/>
        <w:ind w:left="317" w:hanging="317"/>
      </w:pPr>
      <w:r>
        <w:rPr>
          <w:sz w:val="17"/>
        </w:rPr>
        <w:t xml:space="preserve">13. Dixon et al. Ferroptosis: an iron-dependent form of nonapoptotic cell death. Cell. 2012. </w:t>
      </w:r>
      <w:hyperlink r:id="rId171">
        <w:r w:rsidR="000E6BF1">
          <w:rPr>
            <w:color w:val="0563C1"/>
            <w:u w:val="single"/>
          </w:rPr>
          <w:t>PMID 22632970</w:t>
        </w:r>
      </w:hyperlink>
    </w:p>
    <w:p w14:paraId="17A0D4E3" w14:textId="77777777" w:rsidR="000E6BF1" w:rsidRDefault="00000000">
      <w:pPr>
        <w:spacing w:after="50"/>
        <w:ind w:left="317" w:hanging="317"/>
      </w:pPr>
      <w:r>
        <w:rPr>
          <w:sz w:val="17"/>
        </w:rPr>
        <w:t xml:space="preserve">14. Yang et al. Regulation of ferroptotic cancer cell death by GPX4. Cell. 2014. </w:t>
      </w:r>
      <w:hyperlink r:id="rId172">
        <w:r w:rsidR="000E6BF1">
          <w:rPr>
            <w:color w:val="0563C1"/>
            <w:u w:val="single"/>
          </w:rPr>
          <w:t>PMID 24439385</w:t>
        </w:r>
      </w:hyperlink>
    </w:p>
    <w:p w14:paraId="1013BB6B" w14:textId="77777777" w:rsidR="000E6BF1" w:rsidRDefault="00000000">
      <w:pPr>
        <w:spacing w:after="50"/>
        <w:ind w:left="317" w:hanging="317"/>
      </w:pPr>
      <w:r>
        <w:rPr>
          <w:sz w:val="17"/>
        </w:rPr>
        <w:t xml:space="preserve">15. Van San et al. Ferroptosis contributes to multiple sclerosis and its pharmacological targeting suppresses experimental disease progression. Cell Death &amp; Differentiation. 2023. </w:t>
      </w:r>
      <w:hyperlink r:id="rId173">
        <w:r w:rsidR="000E6BF1">
          <w:rPr>
            <w:color w:val="0563C1"/>
            <w:u w:val="single"/>
          </w:rPr>
          <w:t>PMID 37542104</w:t>
        </w:r>
      </w:hyperlink>
    </w:p>
    <w:p w14:paraId="6009BF20" w14:textId="77777777" w:rsidR="000E6BF1" w:rsidRDefault="00000000">
      <w:pPr>
        <w:spacing w:after="50"/>
        <w:ind w:left="317" w:hanging="317"/>
      </w:pPr>
      <w:r>
        <w:rPr>
          <w:sz w:val="17"/>
        </w:rPr>
        <w:t xml:space="preserve">16. Jhelum et al. Ferroptosis induces detrimental effects in chronic EAE and its implications for progressive MS. Acta Neuropathologica Communications. 2023. </w:t>
      </w:r>
      <w:hyperlink r:id="rId174">
        <w:r w:rsidR="000E6BF1">
          <w:rPr>
            <w:color w:val="0563C1"/>
            <w:u w:val="single"/>
          </w:rPr>
          <w:t>PMID 37491291</w:t>
        </w:r>
      </w:hyperlink>
    </w:p>
    <w:p w14:paraId="70F624DC" w14:textId="77777777" w:rsidR="000E6BF1" w:rsidRDefault="00000000">
      <w:pPr>
        <w:spacing w:after="50"/>
        <w:ind w:left="317" w:hanging="317"/>
      </w:pPr>
      <w:r>
        <w:rPr>
          <w:sz w:val="17"/>
        </w:rPr>
        <w:t xml:space="preserve">17. Qin et al. Neuronal TLR4 upregulation activates the cGAS-STING pathway to induce ferroptosis in EAE mice. International Immunopharmacology. 2026. </w:t>
      </w:r>
      <w:hyperlink r:id="rId175">
        <w:r w:rsidR="000E6BF1">
          <w:rPr>
            <w:color w:val="0563C1"/>
            <w:u w:val="single"/>
          </w:rPr>
          <w:t>PMID 41702081</w:t>
        </w:r>
      </w:hyperlink>
    </w:p>
    <w:p w14:paraId="2DF0FDE4" w14:textId="77777777" w:rsidR="000E6BF1" w:rsidRDefault="00000000">
      <w:pPr>
        <w:spacing w:after="50"/>
        <w:ind w:left="317" w:hanging="317"/>
      </w:pPr>
      <w:r>
        <w:rPr>
          <w:sz w:val="17"/>
        </w:rPr>
        <w:t xml:space="preserve">18. Tian et al. Genome-wide CRISPRi/a screens in human neurons link lysosomal failure to ferroptosis. Nature Neuroscience. 2021. </w:t>
      </w:r>
      <w:hyperlink r:id="rId176">
        <w:r w:rsidR="000E6BF1">
          <w:rPr>
            <w:color w:val="0563C1"/>
            <w:u w:val="single"/>
          </w:rPr>
          <w:t>PMID 34031600</w:t>
        </w:r>
      </w:hyperlink>
    </w:p>
    <w:p w14:paraId="1148D1F2" w14:textId="77777777" w:rsidR="000E6BF1" w:rsidRDefault="00000000">
      <w:pPr>
        <w:spacing w:after="50"/>
        <w:ind w:left="317" w:hanging="317"/>
      </w:pPr>
      <w:r>
        <w:rPr>
          <w:sz w:val="17"/>
        </w:rPr>
        <w:t xml:space="preserve">19. He et al. Prosaposin maintains lipid homeostasis in dopamine neurons and counteracts experimental parkinsonism in rodents. Nature Communications. 2023. </w:t>
      </w:r>
      <w:hyperlink r:id="rId177">
        <w:r w:rsidR="000E6BF1">
          <w:rPr>
            <w:color w:val="0563C1"/>
            <w:u w:val="single"/>
          </w:rPr>
          <w:t>PMID 37726325</w:t>
        </w:r>
      </w:hyperlink>
    </w:p>
    <w:p w14:paraId="31AAFAA5" w14:textId="77777777" w:rsidR="000E6BF1" w:rsidRDefault="00000000">
      <w:pPr>
        <w:spacing w:after="50"/>
        <w:ind w:left="317" w:hanging="317"/>
      </w:pPr>
      <w:r>
        <w:rPr>
          <w:sz w:val="17"/>
        </w:rPr>
        <w:t xml:space="preserve">20. Ralhan et al. Autolysosomal exocytosis of lipids protects neurons from ferroptosis. Journal of Cell Biology. 2023. </w:t>
      </w:r>
      <w:hyperlink r:id="rId178">
        <w:r w:rsidR="000E6BF1">
          <w:rPr>
            <w:color w:val="0563C1"/>
            <w:u w:val="single"/>
          </w:rPr>
          <w:t>PMID 37036445</w:t>
        </w:r>
      </w:hyperlink>
    </w:p>
    <w:p w14:paraId="075E5B98" w14:textId="77777777" w:rsidR="000E6BF1" w:rsidRDefault="00000000">
      <w:pPr>
        <w:spacing w:after="50"/>
        <w:ind w:left="317" w:hanging="317"/>
      </w:pPr>
      <w:r>
        <w:rPr>
          <w:sz w:val="17"/>
        </w:rPr>
        <w:t xml:space="preserve">21. Zhou et al. Prosaposin facilitates sortilin-independent lysosomal trafficking of progranulin. Journal of Cell Biology. 2015. </w:t>
      </w:r>
      <w:hyperlink r:id="rId179">
        <w:r w:rsidR="000E6BF1">
          <w:rPr>
            <w:color w:val="0563C1"/>
            <w:u w:val="single"/>
          </w:rPr>
          <w:t>PMID 26370502</w:t>
        </w:r>
      </w:hyperlink>
    </w:p>
    <w:p w14:paraId="49EC8CEB" w14:textId="77777777" w:rsidR="000E6BF1" w:rsidRDefault="00000000">
      <w:pPr>
        <w:spacing w:after="50"/>
        <w:ind w:left="317" w:hanging="317"/>
      </w:pPr>
      <w:r>
        <w:rPr>
          <w:sz w:val="17"/>
        </w:rPr>
        <w:t xml:space="preserve">22. Zhou et al. Impaired prosaposin lysosomal trafficking in frontotemporal lobar degeneration due to progranulin mutations. Nature Communications. 2017. </w:t>
      </w:r>
      <w:hyperlink r:id="rId180">
        <w:r w:rsidR="000E6BF1">
          <w:rPr>
            <w:color w:val="0563C1"/>
            <w:u w:val="single"/>
          </w:rPr>
          <w:t>PMID 28541286</w:t>
        </w:r>
      </w:hyperlink>
    </w:p>
    <w:p w14:paraId="12E6DDC7" w14:textId="77777777" w:rsidR="000E6BF1" w:rsidRDefault="00000000">
      <w:pPr>
        <w:spacing w:after="50"/>
        <w:ind w:left="317" w:hanging="317"/>
      </w:pPr>
      <w:r>
        <w:rPr>
          <w:sz w:val="17"/>
        </w:rPr>
        <w:t xml:space="preserve">23. Evers et al. Lipidomic and transcriptomic basis of lysosomal dysfunction in progranulin deficiency. Cell Reports. 2017. </w:t>
      </w:r>
      <w:hyperlink r:id="rId181">
        <w:r w:rsidR="000E6BF1">
          <w:rPr>
            <w:color w:val="0563C1"/>
            <w:u w:val="single"/>
          </w:rPr>
          <w:t>PMID 28903038</w:t>
        </w:r>
      </w:hyperlink>
    </w:p>
    <w:p w14:paraId="3DD6DCEE" w14:textId="77777777" w:rsidR="000E6BF1" w:rsidRDefault="00000000">
      <w:pPr>
        <w:spacing w:after="50"/>
        <w:ind w:left="317" w:hanging="317"/>
      </w:pPr>
      <w:r>
        <w:rPr>
          <w:sz w:val="17"/>
        </w:rPr>
        <w:t xml:space="preserve">24. Qian et al. Structural basis of low-pH-dependent lysosomal cholesterol egress by NPC1 and NPC2. Cell. 2020. </w:t>
      </w:r>
      <w:hyperlink r:id="rId182">
        <w:r w:rsidR="000E6BF1">
          <w:rPr>
            <w:color w:val="0563C1"/>
            <w:u w:val="single"/>
          </w:rPr>
          <w:t>PMID 32544384</w:t>
        </w:r>
      </w:hyperlink>
    </w:p>
    <w:p w14:paraId="76E674CB" w14:textId="77777777" w:rsidR="000E6BF1" w:rsidRDefault="00000000">
      <w:pPr>
        <w:spacing w:after="50"/>
        <w:ind w:left="317" w:hanging="317"/>
      </w:pPr>
      <w:r>
        <w:rPr>
          <w:sz w:val="17"/>
        </w:rPr>
        <w:t xml:space="preserve">25. Walkley and Suzuki Consequences of NPC1 and NPC2 loss of function in mammalian neurons. Biochimica et Biophysica Acta. 2004. </w:t>
      </w:r>
      <w:hyperlink r:id="rId183">
        <w:r w:rsidR="000E6BF1">
          <w:rPr>
            <w:color w:val="0563C1"/>
            <w:u w:val="single"/>
          </w:rPr>
          <w:t>PMID 15465426</w:t>
        </w:r>
      </w:hyperlink>
    </w:p>
    <w:p w14:paraId="021B83E4" w14:textId="77777777" w:rsidR="000E6BF1" w:rsidRDefault="00000000">
      <w:pPr>
        <w:spacing w:after="50"/>
        <w:ind w:left="317" w:hanging="317"/>
      </w:pPr>
      <w:r>
        <w:rPr>
          <w:sz w:val="17"/>
        </w:rPr>
        <w:t xml:space="preserve">26. Prabhu et al. A human iPSC-derived inducible neuronal model of Niemann-Pick disease, type C1. BMC Biology. 2021. </w:t>
      </w:r>
      <w:hyperlink r:id="rId184">
        <w:r w:rsidR="000E6BF1">
          <w:rPr>
            <w:color w:val="0563C1"/>
            <w:u w:val="single"/>
          </w:rPr>
          <w:t>PMID 34592985</w:t>
        </w:r>
      </w:hyperlink>
    </w:p>
    <w:p w14:paraId="749F63EB" w14:textId="77777777" w:rsidR="000E6BF1" w:rsidRDefault="00000000">
      <w:pPr>
        <w:spacing w:after="50"/>
        <w:ind w:left="317" w:hanging="317"/>
      </w:pPr>
      <w:r>
        <w:rPr>
          <w:sz w:val="17"/>
        </w:rPr>
        <w:t xml:space="preserve">27. Davis et al. Delivering progranulin to neuronal lysosomes protects against excitotoxicity. Journal of Biological Chemistry. 2021. </w:t>
      </w:r>
      <w:hyperlink r:id="rId185">
        <w:r w:rsidR="000E6BF1">
          <w:rPr>
            <w:color w:val="0563C1"/>
            <w:u w:val="single"/>
          </w:rPr>
          <w:t>PMID 34298019</w:t>
        </w:r>
      </w:hyperlink>
    </w:p>
    <w:p w14:paraId="21C92104" w14:textId="77777777" w:rsidR="000E6BF1" w:rsidRDefault="00000000">
      <w:pPr>
        <w:spacing w:after="50"/>
        <w:ind w:left="317" w:hanging="317"/>
      </w:pPr>
      <w:r>
        <w:rPr>
          <w:sz w:val="17"/>
        </w:rPr>
        <w:lastRenderedPageBreak/>
        <w:t xml:space="preserve">28. Vercellino et al. Progranulin expression in brain tissue and cerebrospinal fluid levels in multiple sclerosis. Multiple Sclerosis Journal. 2011. </w:t>
      </w:r>
      <w:hyperlink r:id="rId186">
        <w:r w:rsidR="000E6BF1">
          <w:rPr>
            <w:color w:val="0563C1"/>
            <w:u w:val="single"/>
          </w:rPr>
          <w:t>PMID 21613335</w:t>
        </w:r>
      </w:hyperlink>
    </w:p>
    <w:p w14:paraId="3C045D90" w14:textId="77777777" w:rsidR="000E6BF1" w:rsidRDefault="00000000">
      <w:pPr>
        <w:spacing w:after="50"/>
        <w:ind w:left="317" w:hanging="317"/>
      </w:pPr>
      <w:r>
        <w:rPr>
          <w:sz w:val="17"/>
        </w:rPr>
        <w:t xml:space="preserve">29. Schmitz et al. Progranulin deficiency confers resistance to autoimmune encephalomyelitis in mice. Cellular &amp; Molecular Immunology. 2020. </w:t>
      </w:r>
      <w:hyperlink r:id="rId187">
        <w:r w:rsidR="000E6BF1">
          <w:rPr>
            <w:color w:val="0563C1"/>
            <w:u w:val="single"/>
          </w:rPr>
          <w:t>PMID 31467413</w:t>
        </w:r>
      </w:hyperlink>
    </w:p>
    <w:p w14:paraId="0E861F41" w14:textId="77777777" w:rsidR="000E6BF1" w:rsidRDefault="00000000">
      <w:pPr>
        <w:spacing w:after="50"/>
        <w:ind w:left="317" w:hanging="317"/>
      </w:pPr>
      <w:r>
        <w:rPr>
          <w:sz w:val="17"/>
        </w:rPr>
        <w:t xml:space="preserve">30. Chen et al. Progranulin released from microglial lysosomes reduces neuronal ferroptosis after cerebral ischemia in mice. Journal of Cerebral Blood Flow &amp; Metabolism. 2023. </w:t>
      </w:r>
      <w:hyperlink r:id="rId188">
        <w:r w:rsidR="000E6BF1">
          <w:rPr>
            <w:color w:val="0563C1"/>
            <w:u w:val="single"/>
          </w:rPr>
          <w:t>PMID 36514959</w:t>
        </w:r>
      </w:hyperlink>
    </w:p>
    <w:p w14:paraId="4A69AE18" w14:textId="77777777" w:rsidR="000E6BF1" w:rsidRDefault="00000000">
      <w:pPr>
        <w:spacing w:after="50"/>
        <w:ind w:left="317" w:hanging="317"/>
      </w:pPr>
      <w:r>
        <w:rPr>
          <w:sz w:val="17"/>
        </w:rPr>
        <w:t xml:space="preserve">31. Meyer et al. GPR37 and GPR37L1 are receptors for the neuroprotective and glioprotective factors prosaptide and prosaposin. Proceedings of the National Academy of Sciences USA. 2013. </w:t>
      </w:r>
      <w:hyperlink r:id="rId189">
        <w:r w:rsidR="000E6BF1">
          <w:rPr>
            <w:color w:val="0563C1"/>
            <w:u w:val="single"/>
          </w:rPr>
          <w:t>PMID 23690594</w:t>
        </w:r>
      </w:hyperlink>
    </w:p>
    <w:p w14:paraId="5348B25F" w14:textId="77777777" w:rsidR="000E6BF1" w:rsidRDefault="00000000">
      <w:pPr>
        <w:spacing w:after="50"/>
        <w:ind w:left="317" w:hanging="317"/>
      </w:pPr>
      <w:r>
        <w:rPr>
          <w:sz w:val="17"/>
        </w:rPr>
        <w:t xml:space="preserve">32. Liu et al. Glio- and neuro-protection by prosaposin is mediated by orphan G-protein coupled receptors GPR37L1 and GPR37. Glia. 2018. </w:t>
      </w:r>
      <w:hyperlink r:id="rId190">
        <w:r w:rsidR="000E6BF1">
          <w:rPr>
            <w:color w:val="0563C1"/>
            <w:u w:val="single"/>
          </w:rPr>
          <w:t>PMID 30260505</w:t>
        </w:r>
      </w:hyperlink>
    </w:p>
    <w:p w14:paraId="26EFD6AE" w14:textId="77777777" w:rsidR="000E6BF1" w:rsidRDefault="00000000">
      <w:pPr>
        <w:spacing w:after="50"/>
        <w:ind w:left="317" w:hanging="317"/>
      </w:pPr>
      <w:r>
        <w:rPr>
          <w:sz w:val="17"/>
        </w:rPr>
        <w:t xml:space="preserve">33. Singh et al. PLD3 and PLD4 synthesize S,S-BMP, a key phospholipid enabling lipid degradation in lysosomes. Cell. 2024. </w:t>
      </w:r>
      <w:hyperlink r:id="rId191">
        <w:r w:rsidR="000E6BF1">
          <w:rPr>
            <w:color w:val="0563C1"/>
            <w:u w:val="single"/>
          </w:rPr>
          <w:t>PMID 39423811</w:t>
        </w:r>
      </w:hyperlink>
    </w:p>
    <w:p w14:paraId="5A0BA7D4" w14:textId="77777777" w:rsidR="000E6BF1" w:rsidRDefault="00000000">
      <w:pPr>
        <w:spacing w:after="50"/>
        <w:ind w:left="317" w:hanging="317"/>
      </w:pPr>
      <w:r>
        <w:rPr>
          <w:sz w:val="17"/>
        </w:rPr>
        <w:t xml:space="preserve">34. Jain et al. Leucine aminopeptidase LyLAP enables lysosomal degradation of membrane proteins. Science. 2025. </w:t>
      </w:r>
      <w:hyperlink r:id="rId192">
        <w:r w:rsidR="000E6BF1">
          <w:rPr>
            <w:color w:val="0563C1"/>
            <w:u w:val="single"/>
          </w:rPr>
          <w:t>PMID 40146846</w:t>
        </w:r>
      </w:hyperlink>
    </w:p>
    <w:p w14:paraId="0C3248F6" w14:textId="77777777" w:rsidR="000E6BF1" w:rsidRDefault="00000000">
      <w:pPr>
        <w:spacing w:after="50"/>
        <w:ind w:left="317" w:hanging="317"/>
      </w:pPr>
      <w:r>
        <w:rPr>
          <w:sz w:val="17"/>
        </w:rPr>
        <w:t xml:space="preserve">35. Gilley and Coleman Endogenous NMNAT2 is an essential survival factor for maintenance of healthy axons. PLoS Biology. 2010. </w:t>
      </w:r>
      <w:hyperlink r:id="rId193">
        <w:r w:rsidR="000E6BF1">
          <w:rPr>
            <w:color w:val="0563C1"/>
            <w:u w:val="single"/>
          </w:rPr>
          <w:t>PMID 20126265</w:t>
        </w:r>
      </w:hyperlink>
    </w:p>
    <w:p w14:paraId="0025A9C9" w14:textId="77777777" w:rsidR="000E6BF1" w:rsidRDefault="00000000">
      <w:pPr>
        <w:spacing w:after="50"/>
        <w:ind w:left="317" w:hanging="317"/>
      </w:pPr>
      <w:r>
        <w:rPr>
          <w:sz w:val="17"/>
        </w:rPr>
        <w:t xml:space="preserve">36. Gilley et al. Rescue of peripheral and CNS axon defects in mice lacking NMNAT2. PLoS Biology. 2013. </w:t>
      </w:r>
      <w:hyperlink r:id="rId194">
        <w:r w:rsidR="000E6BF1">
          <w:rPr>
            <w:color w:val="0563C1"/>
            <w:u w:val="single"/>
          </w:rPr>
          <w:t>PMID 23946398</w:t>
        </w:r>
      </w:hyperlink>
    </w:p>
    <w:p w14:paraId="3FEF4223" w14:textId="77777777" w:rsidR="000E6BF1" w:rsidRDefault="00000000">
      <w:pPr>
        <w:spacing w:after="50"/>
        <w:ind w:left="317" w:hanging="317"/>
      </w:pPr>
      <w:r>
        <w:rPr>
          <w:sz w:val="17"/>
        </w:rPr>
        <w:t xml:space="preserve">37. Hervera et al. Reactive oxygen species regulate axonal regeneration through macrophage-derived NOX2-containing exosomes. Nature Cell Biology. 2018. </w:t>
      </w:r>
      <w:hyperlink r:id="rId195">
        <w:r w:rsidR="000E6BF1">
          <w:rPr>
            <w:color w:val="0563C1"/>
            <w:u w:val="single"/>
          </w:rPr>
          <w:t>PMID 29434374</w:t>
        </w:r>
      </w:hyperlink>
    </w:p>
    <w:p w14:paraId="58C90272" w14:textId="77777777" w:rsidR="000E6BF1" w:rsidRDefault="00000000">
      <w:pPr>
        <w:spacing w:after="50"/>
        <w:ind w:left="317" w:hanging="317"/>
      </w:pPr>
      <w:r>
        <w:rPr>
          <w:sz w:val="17"/>
        </w:rPr>
        <w:t xml:space="preserve">38. De Virgiliis et al. Enriched conditioning expands the regenerative ability of sensory neurons after spinal cord injury via neuronal intrinsic redox signaling. Nature Communications. 2020. </w:t>
      </w:r>
      <w:hyperlink r:id="rId196">
        <w:r w:rsidR="000E6BF1">
          <w:rPr>
            <w:color w:val="0563C1"/>
            <w:u w:val="single"/>
          </w:rPr>
          <w:t>PMID 33349630</w:t>
        </w:r>
      </w:hyperlink>
    </w:p>
    <w:p w14:paraId="326FAD73" w14:textId="77777777" w:rsidR="000E6BF1" w:rsidRDefault="00000000">
      <w:pPr>
        <w:spacing w:after="50"/>
        <w:ind w:left="317" w:hanging="317"/>
      </w:pPr>
      <w:r>
        <w:rPr>
          <w:sz w:val="17"/>
        </w:rPr>
        <w:t xml:space="preserve">39. Terzi et al. Neuronal NADPH oxidase 2 regulates growth cone guidance downstream of Slit2/Robo2. Developmental Neurobiology. 2021. </w:t>
      </w:r>
      <w:hyperlink r:id="rId197">
        <w:r w:rsidR="000E6BF1">
          <w:rPr>
            <w:color w:val="0563C1"/>
            <w:u w:val="single"/>
          </w:rPr>
          <w:t>PMID 33191581</w:t>
        </w:r>
      </w:hyperlink>
    </w:p>
    <w:p w14:paraId="015DED0C" w14:textId="77777777" w:rsidR="000E6BF1" w:rsidRDefault="00000000">
      <w:pPr>
        <w:spacing w:after="50"/>
        <w:ind w:left="317" w:hanging="317"/>
      </w:pPr>
      <w:r>
        <w:rPr>
          <w:sz w:val="17"/>
        </w:rPr>
        <w:t xml:space="preserve">40. Alam et al. Neuronal NADPH oxidase is required for neurite regeneration of Aplysia bag cell neurons. Journal of Neurochemistry. 2023. </w:t>
      </w:r>
      <w:hyperlink r:id="rId198">
        <w:r w:rsidR="000E6BF1">
          <w:rPr>
            <w:color w:val="0563C1"/>
            <w:u w:val="single"/>
          </w:rPr>
          <w:t>PMID 37818836</w:t>
        </w:r>
      </w:hyperlink>
    </w:p>
    <w:p w14:paraId="0B5B97CA" w14:textId="77777777" w:rsidR="000E6BF1" w:rsidRDefault="00000000">
      <w:pPr>
        <w:spacing w:after="50"/>
        <w:ind w:left="317" w:hanging="317"/>
      </w:pPr>
      <w:r>
        <w:rPr>
          <w:sz w:val="17"/>
        </w:rPr>
        <w:t xml:space="preserve">41. Campana et al. Prosaposin-derived peptides enhanced sprouting of sensory neurons in vitro and induced sprouting at motor endplates in vivo. Journal of the Peripheral Nervous System. 2000. </w:t>
      </w:r>
      <w:hyperlink r:id="rId199">
        <w:r w:rsidR="000E6BF1">
          <w:rPr>
            <w:color w:val="0563C1"/>
            <w:u w:val="single"/>
          </w:rPr>
          <w:t>PMID 11442168</w:t>
        </w:r>
      </w:hyperlink>
    </w:p>
    <w:p w14:paraId="53DADD3A" w14:textId="77777777" w:rsidR="000E6BF1" w:rsidRDefault="00000000">
      <w:pPr>
        <w:spacing w:after="50"/>
        <w:ind w:left="317" w:hanging="317"/>
      </w:pPr>
      <w:r>
        <w:rPr>
          <w:sz w:val="17"/>
        </w:rPr>
        <w:t xml:space="preserve">42. Jolivalt et al. Impaired prosaposin secretion during nerve regeneration in diabetic rats and protection by a prosaposin-derived peptide. Journal of Neuropathology &amp; Experimental Neurology. 2008. </w:t>
      </w:r>
      <w:hyperlink r:id="rId200">
        <w:r w:rsidR="000E6BF1">
          <w:rPr>
            <w:color w:val="0563C1"/>
            <w:u w:val="single"/>
          </w:rPr>
          <w:t>PMID 18596543</w:t>
        </w:r>
      </w:hyperlink>
    </w:p>
    <w:p w14:paraId="0E65CBEF" w14:textId="77777777" w:rsidR="000E6BF1" w:rsidRDefault="00000000">
      <w:pPr>
        <w:spacing w:after="50"/>
        <w:ind w:left="317" w:hanging="317"/>
      </w:pPr>
      <w:r>
        <w:rPr>
          <w:sz w:val="17"/>
        </w:rPr>
        <w:t xml:space="preserve">43. Liang et al. Neurotoxic A1 astrocytes promote neuronal ferroptosis via CXCL10/CXCR3. Free Radical Biology and Medicine. 2023. </w:t>
      </w:r>
      <w:hyperlink r:id="rId201">
        <w:r w:rsidR="000E6BF1">
          <w:rPr>
            <w:color w:val="0563C1"/>
            <w:u w:val="single"/>
          </w:rPr>
          <w:t>PMID 36610561</w:t>
        </w:r>
      </w:hyperlink>
    </w:p>
    <w:p w14:paraId="724D4120" w14:textId="77777777" w:rsidR="000E6BF1" w:rsidRDefault="00000000">
      <w:pPr>
        <w:spacing w:after="50"/>
        <w:ind w:left="317" w:hanging="317"/>
      </w:pPr>
      <w:r>
        <w:rPr>
          <w:sz w:val="17"/>
        </w:rPr>
        <w:t xml:space="preserve">44. Lee et al. Regulation by lipocalin-2 of neuronal cell death, migration, and morphology. Journal of Neuroscience. 2012. </w:t>
      </w:r>
      <w:hyperlink r:id="rId202">
        <w:r w:rsidR="000E6BF1">
          <w:rPr>
            <w:color w:val="0563C1"/>
            <w:u w:val="single"/>
          </w:rPr>
          <w:t>PMID 22038922</w:t>
        </w:r>
      </w:hyperlink>
    </w:p>
    <w:p w14:paraId="18C85666" w14:textId="77777777" w:rsidR="000E6BF1" w:rsidRDefault="00000000">
      <w:pPr>
        <w:spacing w:after="50"/>
        <w:ind w:left="317" w:hanging="317"/>
      </w:pPr>
      <w:r>
        <w:rPr>
          <w:sz w:val="17"/>
        </w:rPr>
        <w:t xml:space="preserve">45. Nam et al. Lipocalin-2 protein deficiency ameliorates experimental autoimmune encephalomyelitis. Journal of Biological Chemistry. 2014. </w:t>
      </w:r>
      <w:hyperlink r:id="rId203">
        <w:r w:rsidR="000E6BF1">
          <w:rPr>
            <w:color w:val="0563C1"/>
            <w:u w:val="single"/>
          </w:rPr>
          <w:t>PMID 24808182</w:t>
        </w:r>
      </w:hyperlink>
    </w:p>
    <w:p w14:paraId="58A73E93" w14:textId="77777777" w:rsidR="000E6BF1" w:rsidRDefault="00000000">
      <w:pPr>
        <w:spacing w:after="50"/>
        <w:ind w:left="317" w:hanging="317"/>
      </w:pPr>
      <w:r>
        <w:rPr>
          <w:sz w:val="17"/>
        </w:rPr>
        <w:t xml:space="preserve">46. das Neves et al. Lipocalin-2 does not influence EAE clinical score but increases inflammation in the central nervous system. Journal of Neuroimmunology. 2022. </w:t>
      </w:r>
      <w:hyperlink r:id="rId204">
        <w:r w:rsidR="000E6BF1">
          <w:rPr>
            <w:color w:val="0563C1"/>
            <w:u w:val="single"/>
          </w:rPr>
          <w:t>PMID 35504189</w:t>
        </w:r>
      </w:hyperlink>
    </w:p>
    <w:p w14:paraId="23187E19" w14:textId="77777777" w:rsidR="000E6BF1" w:rsidRDefault="00000000">
      <w:pPr>
        <w:spacing w:after="50"/>
        <w:ind w:left="317" w:hanging="317"/>
      </w:pPr>
      <w:r>
        <w:rPr>
          <w:sz w:val="17"/>
        </w:rPr>
        <w:t xml:space="preserve">47. Gasterich et al. Lipocalin 2 attenuates oligodendrocyte loss and immune cell infiltration in EAE. Journal of Neuroinflammation. 2022. </w:t>
      </w:r>
      <w:hyperlink r:id="rId205">
        <w:r w:rsidR="000E6BF1">
          <w:rPr>
            <w:color w:val="0563C1"/>
            <w:u w:val="single"/>
          </w:rPr>
          <w:t>PMID 35856297</w:t>
        </w:r>
      </w:hyperlink>
    </w:p>
    <w:p w14:paraId="7DAA3FBF" w14:textId="77777777" w:rsidR="000E6BF1" w:rsidRDefault="00000000">
      <w:r>
        <w:br w:type="page"/>
      </w:r>
    </w:p>
    <w:p w14:paraId="075C8B36" w14:textId="77777777" w:rsidR="000E6BF1" w:rsidRDefault="00000000">
      <w:pPr>
        <w:pStyle w:val="Heading1"/>
      </w:pPr>
      <w:r>
        <w:lastRenderedPageBreak/>
        <w:t>Appendix A. Exact module membership at a glance</w:t>
      </w:r>
    </w:p>
    <w:tbl>
      <w:tblPr>
        <w:tblW w:w="0" w:type="auto"/>
        <w:jc w:val="center"/>
        <w:tblLayout w:type="fixed"/>
        <w:tblLook w:val="04A0" w:firstRow="1" w:lastRow="0" w:firstColumn="1" w:lastColumn="0" w:noHBand="0" w:noVBand="1"/>
      </w:tblPr>
      <w:tblGrid>
        <w:gridCol w:w="3456"/>
        <w:gridCol w:w="3456"/>
        <w:gridCol w:w="3456"/>
        <w:gridCol w:w="2304"/>
      </w:tblGrid>
      <w:tr w:rsidR="000E6BF1" w14:paraId="229F0CD1" w14:textId="77777777">
        <w:trPr>
          <w:tblHeader/>
          <w:jc w:val="center"/>
        </w:trPr>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04553DCF" w14:textId="77777777" w:rsidR="000E6BF1" w:rsidRDefault="00000000">
            <w:pPr>
              <w:spacing w:after="0"/>
            </w:pPr>
            <w:r>
              <w:rPr>
                <w:b/>
                <w:color w:val="FFFFFF"/>
                <w:sz w:val="17"/>
              </w:rPr>
              <w:t>Module</w:t>
            </w:r>
          </w:p>
        </w:tc>
        <w:tc>
          <w:tcPr>
            <w:tcW w:w="3456" w:type="dxa"/>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5530E199" w14:textId="77777777" w:rsidR="000E6BF1" w:rsidRDefault="00000000">
            <w:pPr>
              <w:spacing w:after="0"/>
            </w:pPr>
            <w:r>
              <w:rPr>
                <w:b/>
                <w:color w:val="FFFFFF"/>
                <w:sz w:val="17"/>
              </w:rPr>
              <w:t>Functional group</w:t>
            </w:r>
          </w:p>
        </w:tc>
        <w:tc>
          <w:tcPr>
            <w:tcW w:w="3456" w:type="dxa"/>
            <w:gridSpan w:val="2"/>
            <w:tcBorders>
              <w:top w:val="single" w:sz="4" w:space="0" w:color="D7DCE1"/>
              <w:left w:val="single" w:sz="4" w:space="0" w:color="D7DCE1"/>
              <w:bottom w:val="single" w:sz="4" w:space="0" w:color="D7DCE1"/>
              <w:right w:val="single" w:sz="4" w:space="0" w:color="D7DCE1"/>
            </w:tcBorders>
            <w:shd w:val="clear" w:color="auto" w:fill="173B63"/>
            <w:tcMar>
              <w:top w:w="80" w:type="dxa"/>
              <w:left w:w="65" w:type="dxa"/>
              <w:bottom w:w="80" w:type="dxa"/>
              <w:right w:w="65" w:type="dxa"/>
            </w:tcMar>
            <w:vAlign w:val="center"/>
          </w:tcPr>
          <w:p w14:paraId="4F4B9BA6" w14:textId="77777777" w:rsidR="000E6BF1" w:rsidRDefault="00000000">
            <w:pPr>
              <w:spacing w:after="0"/>
            </w:pPr>
            <w:r>
              <w:rPr>
                <w:b/>
                <w:color w:val="FFFFFF"/>
                <w:sz w:val="17"/>
              </w:rPr>
              <w:t>Genes</w:t>
            </w:r>
          </w:p>
        </w:tc>
      </w:tr>
      <w:tr w:rsidR="000E6BF1" w14:paraId="54C1E1FC" w14:textId="77777777">
        <w:trPr>
          <w:jc w:val="center"/>
        </w:trPr>
        <w:tc>
          <w:tcPr>
            <w:tcW w:w="108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ABB7BC7" w14:textId="77777777" w:rsidR="000E6BF1" w:rsidRDefault="00000000">
            <w:pPr>
              <w:spacing w:after="0"/>
            </w:pPr>
            <w:r>
              <w:rPr>
                <w:sz w:val="17"/>
              </w:rPr>
              <w:t>Rank 1</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5885092" w14:textId="77777777" w:rsidR="000E6BF1" w:rsidRDefault="00000000">
            <w:pPr>
              <w:spacing w:after="0"/>
            </w:pPr>
            <w:r>
              <w:rPr>
                <w:sz w:val="17"/>
              </w:rPr>
              <w:t>Inflammatory induction / immunoproteasome (8)</w:t>
            </w:r>
          </w:p>
        </w:tc>
        <w:tc>
          <w:tcPr>
            <w:tcW w:w="5760" w:type="dxa"/>
            <w:gridSpan w:val="2"/>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2987AB43" w14:textId="77777777" w:rsidR="000E6BF1" w:rsidRDefault="00000000">
            <w:pPr>
              <w:spacing w:after="0"/>
            </w:pPr>
            <w:r>
              <w:rPr>
                <w:sz w:val="17"/>
              </w:rPr>
              <w:t>TNF, IL1B, STAT1, PSMB8, PSMB9, PSMB10, PSME1, CXCL10</w:t>
            </w:r>
          </w:p>
        </w:tc>
      </w:tr>
      <w:tr w:rsidR="000E6BF1" w14:paraId="366BB8CA" w14:textId="77777777">
        <w:trPr>
          <w:jc w:val="center"/>
        </w:trPr>
        <w:tc>
          <w:tcPr>
            <w:tcW w:w="108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D0766AD" w14:textId="77777777" w:rsidR="000E6BF1" w:rsidRDefault="00000000">
            <w:pPr>
              <w:spacing w:after="0"/>
            </w:pPr>
            <w:r>
              <w:rPr>
                <w:sz w:val="17"/>
              </w:rPr>
              <w:t>Rank 1</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FFAC46E" w14:textId="77777777" w:rsidR="000E6BF1" w:rsidRDefault="00000000">
            <w:pPr>
              <w:spacing w:after="0"/>
            </w:pPr>
            <w:r>
              <w:rPr>
                <w:sz w:val="17"/>
              </w:rPr>
              <w:t>PPP, glucose partitioning and axonal NAD+ (3)</w:t>
            </w:r>
          </w:p>
        </w:tc>
        <w:tc>
          <w:tcPr>
            <w:tcW w:w="5760" w:type="dxa"/>
            <w:gridSpan w:val="2"/>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24E71AD" w14:textId="77777777" w:rsidR="000E6BF1" w:rsidRDefault="00000000">
            <w:pPr>
              <w:spacing w:after="0"/>
            </w:pPr>
            <w:r>
              <w:rPr>
                <w:sz w:val="17"/>
              </w:rPr>
              <w:t>PGD, HK3, NMNAT2</w:t>
            </w:r>
          </w:p>
        </w:tc>
      </w:tr>
      <w:tr w:rsidR="000E6BF1" w14:paraId="72F9EBEA" w14:textId="77777777">
        <w:trPr>
          <w:jc w:val="center"/>
        </w:trPr>
        <w:tc>
          <w:tcPr>
            <w:tcW w:w="108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5D9CE709" w14:textId="77777777" w:rsidR="000E6BF1" w:rsidRDefault="00000000">
            <w:pPr>
              <w:spacing w:after="0"/>
            </w:pPr>
            <w:r>
              <w:rPr>
                <w:sz w:val="17"/>
              </w:rPr>
              <w:t>Rank 1</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7583350" w14:textId="77777777" w:rsidR="000E6BF1" w:rsidRDefault="00000000">
            <w:pPr>
              <w:spacing w:after="0"/>
            </w:pPr>
            <w:r>
              <w:rPr>
                <w:sz w:val="17"/>
              </w:rPr>
              <w:t>NOX2 activation and ROS production (13)</w:t>
            </w:r>
          </w:p>
        </w:tc>
        <w:tc>
          <w:tcPr>
            <w:tcW w:w="5760" w:type="dxa"/>
            <w:gridSpan w:val="2"/>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3DB5653F" w14:textId="77777777" w:rsidR="000E6BF1" w:rsidRDefault="00000000">
            <w:pPr>
              <w:spacing w:after="0"/>
            </w:pPr>
            <w:r>
              <w:rPr>
                <w:sz w:val="17"/>
              </w:rPr>
              <w:t>CYBB, NCF1, NCF2, RAC2, PREX1, PIK3CG, PLCB2, PRKCD, VAV1, FGR, S100A8, S100A9, XDH</w:t>
            </w:r>
          </w:p>
        </w:tc>
      </w:tr>
      <w:tr w:rsidR="000E6BF1" w14:paraId="4EAA6E74" w14:textId="77777777">
        <w:trPr>
          <w:jc w:val="center"/>
        </w:trPr>
        <w:tc>
          <w:tcPr>
            <w:tcW w:w="108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8DC5B87" w14:textId="77777777" w:rsidR="000E6BF1" w:rsidRDefault="00000000">
            <w:pPr>
              <w:spacing w:after="0"/>
            </w:pPr>
            <w:r>
              <w:rPr>
                <w:sz w:val="17"/>
              </w:rPr>
              <w:t>Rank 1</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38B03D0F" w14:textId="77777777" w:rsidR="000E6BF1" w:rsidRDefault="00000000">
            <w:pPr>
              <w:spacing w:after="0"/>
            </w:pPr>
            <w:r>
              <w:rPr>
                <w:sz w:val="17"/>
              </w:rPr>
              <w:t>Iron, lipid, detoxification and organelle buffering (9)</w:t>
            </w:r>
          </w:p>
        </w:tc>
        <w:tc>
          <w:tcPr>
            <w:tcW w:w="5760" w:type="dxa"/>
            <w:gridSpan w:val="2"/>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5C233B65" w14:textId="77777777" w:rsidR="000E6BF1" w:rsidRDefault="00000000">
            <w:pPr>
              <w:spacing w:after="0"/>
            </w:pPr>
            <w:r>
              <w:rPr>
                <w:sz w:val="17"/>
              </w:rPr>
              <w:t>LCN2, HP, LTF, ABCC3, NPC2, PSAP, TSPO, UCP2, TMBIM6</w:t>
            </w:r>
          </w:p>
        </w:tc>
      </w:tr>
      <w:tr w:rsidR="000E6BF1" w14:paraId="623AA01E" w14:textId="77777777">
        <w:trPr>
          <w:jc w:val="center"/>
        </w:trPr>
        <w:tc>
          <w:tcPr>
            <w:tcW w:w="108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B5C2D08" w14:textId="77777777" w:rsidR="000E6BF1" w:rsidRDefault="00000000">
            <w:pPr>
              <w:spacing w:after="0"/>
            </w:pPr>
            <w:r>
              <w:rPr>
                <w:sz w:val="17"/>
              </w:rPr>
              <w:t>Rank 2</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1A388465" w14:textId="77777777" w:rsidR="000E6BF1" w:rsidRDefault="00000000">
            <w:pPr>
              <w:spacing w:after="0"/>
            </w:pPr>
            <w:r>
              <w:rPr>
                <w:sz w:val="17"/>
              </w:rPr>
              <w:t>Cargo/lipid entry and sensing (5)</w:t>
            </w:r>
          </w:p>
        </w:tc>
        <w:tc>
          <w:tcPr>
            <w:tcW w:w="5760" w:type="dxa"/>
            <w:gridSpan w:val="2"/>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053BCD2B" w14:textId="77777777" w:rsidR="000E6BF1" w:rsidRDefault="00000000">
            <w:pPr>
              <w:spacing w:after="0"/>
            </w:pPr>
            <w:r>
              <w:rPr>
                <w:sz w:val="17"/>
              </w:rPr>
              <w:t>APOBR, TREM2, MRC1, CD68, TSPO</w:t>
            </w:r>
          </w:p>
        </w:tc>
      </w:tr>
      <w:tr w:rsidR="000E6BF1" w14:paraId="42622712" w14:textId="77777777">
        <w:trPr>
          <w:jc w:val="center"/>
        </w:trPr>
        <w:tc>
          <w:tcPr>
            <w:tcW w:w="108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7E1D9342" w14:textId="77777777" w:rsidR="000E6BF1" w:rsidRDefault="00000000">
            <w:pPr>
              <w:spacing w:after="0"/>
            </w:pPr>
            <w:r>
              <w:rPr>
                <w:sz w:val="17"/>
              </w:rPr>
              <w:t>Rank 2</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4FA74E8D" w14:textId="77777777" w:rsidR="000E6BF1" w:rsidRDefault="00000000">
            <w:pPr>
              <w:spacing w:after="0"/>
            </w:pPr>
            <w:r>
              <w:rPr>
                <w:sz w:val="17"/>
              </w:rPr>
              <w:t>Lysosomal lumen and catabolism (14)</w:t>
            </w:r>
          </w:p>
        </w:tc>
        <w:tc>
          <w:tcPr>
            <w:tcW w:w="5760" w:type="dxa"/>
            <w:gridSpan w:val="2"/>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607D4F90" w14:textId="77777777" w:rsidR="000E6BF1" w:rsidRDefault="00000000">
            <w:pPr>
              <w:spacing w:after="0"/>
            </w:pPr>
            <w:r>
              <w:rPr>
                <w:sz w:val="17"/>
              </w:rPr>
              <w:t>GRN, PSAP, NPC2, CTSD, NAGLU, LYZ2, IFI30, SLC15A3, CTSC, CTSH, CTSZ, LGMN, PLD4, PLBD1</w:t>
            </w:r>
          </w:p>
        </w:tc>
      </w:tr>
      <w:tr w:rsidR="000E6BF1" w14:paraId="39CA86C4" w14:textId="77777777">
        <w:trPr>
          <w:jc w:val="center"/>
        </w:trPr>
        <w:tc>
          <w:tcPr>
            <w:tcW w:w="108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4A81BC9F" w14:textId="77777777" w:rsidR="000E6BF1" w:rsidRDefault="00000000">
            <w:pPr>
              <w:spacing w:after="0"/>
            </w:pPr>
            <w:r>
              <w:rPr>
                <w:sz w:val="17"/>
              </w:rPr>
              <w:t>Rank 2</w:t>
            </w:r>
          </w:p>
        </w:tc>
        <w:tc>
          <w:tcPr>
            <w:tcW w:w="3240" w:type="dxa"/>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6E2E0CDB" w14:textId="77777777" w:rsidR="000E6BF1" w:rsidRDefault="00000000">
            <w:pPr>
              <w:spacing w:after="0"/>
            </w:pPr>
            <w:r>
              <w:rPr>
                <w:sz w:val="17"/>
              </w:rPr>
              <w:t>Endolysosomal trafficking and logistics (15)</w:t>
            </w:r>
          </w:p>
        </w:tc>
        <w:tc>
          <w:tcPr>
            <w:tcW w:w="5760" w:type="dxa"/>
            <w:gridSpan w:val="2"/>
            <w:tcBorders>
              <w:top w:val="single" w:sz="4" w:space="0" w:color="D7DCE1"/>
              <w:left w:val="single" w:sz="4" w:space="0" w:color="D7DCE1"/>
              <w:bottom w:val="single" w:sz="4" w:space="0" w:color="D7DCE1"/>
              <w:right w:val="single" w:sz="4" w:space="0" w:color="D7DCE1"/>
            </w:tcBorders>
            <w:tcMar>
              <w:top w:w="55" w:type="dxa"/>
              <w:left w:w="55" w:type="dxa"/>
              <w:bottom w:w="55" w:type="dxa"/>
              <w:right w:w="55" w:type="dxa"/>
            </w:tcMar>
          </w:tcPr>
          <w:p w14:paraId="77B01961" w14:textId="77777777" w:rsidR="000E6BF1" w:rsidRDefault="00000000">
            <w:pPr>
              <w:spacing w:after="0"/>
            </w:pPr>
            <w:r>
              <w:rPr>
                <w:sz w:val="17"/>
              </w:rPr>
              <w:t>ARRDC2, CYTH4, FGD2, IFITM1, IFITM3, ITM2C, LAPTM5, LRRK1, MS4A6C, MYO1F, MYO1G, RIN3, SYNGR2, TBC1D13, TSPAN14</w:t>
            </w:r>
          </w:p>
        </w:tc>
      </w:tr>
      <w:tr w:rsidR="000E6BF1" w14:paraId="47E1978D" w14:textId="77777777">
        <w:trPr>
          <w:jc w:val="center"/>
        </w:trPr>
        <w:tc>
          <w:tcPr>
            <w:tcW w:w="108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29A0CFAB" w14:textId="77777777" w:rsidR="000E6BF1" w:rsidRDefault="00000000">
            <w:pPr>
              <w:spacing w:after="0"/>
            </w:pPr>
            <w:r>
              <w:rPr>
                <w:sz w:val="17"/>
              </w:rPr>
              <w:t>Rank 2</w:t>
            </w:r>
          </w:p>
        </w:tc>
        <w:tc>
          <w:tcPr>
            <w:tcW w:w="3240" w:type="dxa"/>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194B8B05" w14:textId="77777777" w:rsidR="000E6BF1" w:rsidRDefault="00000000">
            <w:pPr>
              <w:spacing w:after="0"/>
            </w:pPr>
            <w:r>
              <w:rPr>
                <w:sz w:val="17"/>
              </w:rPr>
              <w:t>Adjacent, non-lysosomal proteolysis (2)</w:t>
            </w:r>
          </w:p>
        </w:tc>
        <w:tc>
          <w:tcPr>
            <w:tcW w:w="5760" w:type="dxa"/>
            <w:gridSpan w:val="2"/>
            <w:tcBorders>
              <w:top w:val="single" w:sz="4" w:space="0" w:color="D7DCE1"/>
              <w:left w:val="single" w:sz="4" w:space="0" w:color="D7DCE1"/>
              <w:bottom w:val="single" w:sz="4" w:space="0" w:color="D7DCE1"/>
              <w:right w:val="single" w:sz="4" w:space="0" w:color="D7DCE1"/>
            </w:tcBorders>
            <w:shd w:val="clear" w:color="auto" w:fill="F6F8FA"/>
            <w:tcMar>
              <w:top w:w="55" w:type="dxa"/>
              <w:left w:w="55" w:type="dxa"/>
              <w:bottom w:w="55" w:type="dxa"/>
              <w:right w:w="55" w:type="dxa"/>
            </w:tcMar>
          </w:tcPr>
          <w:p w14:paraId="022105A1" w14:textId="77777777" w:rsidR="000E6BF1" w:rsidRDefault="00000000">
            <w:pPr>
              <w:spacing w:after="0"/>
            </w:pPr>
            <w:r>
              <w:rPr>
                <w:sz w:val="17"/>
              </w:rPr>
              <w:t>CAPN3, CNDP2</w:t>
            </w:r>
          </w:p>
        </w:tc>
      </w:tr>
      <w:tr w:rsidR="000E6BF1" w14:paraId="4721D06D" w14:textId="77777777">
        <w:trPr>
          <w:gridAfter w:val="1"/>
          <w:wAfter w:w="291" w:type="dxa"/>
          <w:cantSplit/>
          <w:jc w:val="center"/>
        </w:trPr>
        <w:tc>
          <w:tcPr>
            <w:tcW w:w="10368" w:type="dxa"/>
            <w:gridSpan w:val="3"/>
            <w:tcBorders>
              <w:top w:val="single" w:sz="10" w:space="0" w:color="C47A18"/>
              <w:left w:val="single" w:sz="10" w:space="0" w:color="C47A18"/>
              <w:bottom w:val="single" w:sz="10" w:space="0" w:color="C47A18"/>
              <w:right w:val="single" w:sz="10" w:space="0" w:color="C47A18"/>
            </w:tcBorders>
            <w:shd w:val="clear" w:color="auto" w:fill="FFF4E2"/>
            <w:tcMar>
              <w:top w:w="120" w:type="dxa"/>
              <w:left w:w="140" w:type="dxa"/>
              <w:bottom w:w="120" w:type="dxa"/>
              <w:right w:w="140" w:type="dxa"/>
            </w:tcMar>
          </w:tcPr>
          <w:p w14:paraId="347FE08E" w14:textId="77777777" w:rsidR="000E6BF1" w:rsidRDefault="00000000">
            <w:pPr>
              <w:spacing w:after="60"/>
            </w:pPr>
            <w:r>
              <w:rPr>
                <w:b/>
                <w:color w:val="C47A18"/>
              </w:rPr>
              <w:t>Final caution</w:t>
            </w:r>
          </w:p>
          <w:p w14:paraId="28D67A62" w14:textId="77777777" w:rsidR="000E6BF1" w:rsidRDefault="00000000">
            <w:pPr>
              <w:spacing w:after="0"/>
            </w:pPr>
            <w:r>
              <w:t>All listed genes are accepted as neuronally expressed in the submitted datasets and supporting ATAC/single-cell analyses. The literature tables evaluate function and pathway placement; they do not dispute neuronal expression. For genes with limited neuron-specific functional literature, the appropriate conclusion is “function in EAE neurons remains to be tested,” not “the gene is non-neuronal.”</w:t>
            </w:r>
          </w:p>
        </w:tc>
      </w:tr>
    </w:tbl>
    <w:p w14:paraId="7745C2BB" w14:textId="77777777" w:rsidR="000E6BF1" w:rsidRDefault="000E6BF1">
      <w:pPr>
        <w:spacing w:after="20"/>
      </w:pPr>
    </w:p>
    <w:sectPr w:rsidR="000E6BF1" w:rsidSect="00034616">
      <w:headerReference w:type="default" r:id="rId206"/>
      <w:footerReference w:type="default" r:id="rId207"/>
      <w:pgSz w:w="12240" w:h="15840"/>
      <w:pgMar w:top="893" w:right="936" w:bottom="864" w:left="936"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A0C6F" w14:textId="77777777" w:rsidR="00BB46AC" w:rsidRDefault="00BB46AC">
      <w:pPr>
        <w:spacing w:after="0" w:line="240" w:lineRule="auto"/>
      </w:pPr>
      <w:r>
        <w:separator/>
      </w:r>
    </w:p>
  </w:endnote>
  <w:endnote w:type="continuationSeparator" w:id="0">
    <w:p w14:paraId="58892E77" w14:textId="77777777" w:rsidR="00BB46AC" w:rsidRDefault="00BB4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BA15" w14:textId="77777777" w:rsidR="000E6BF1" w:rsidRDefault="00000000">
    <w:pPr>
      <w:pStyle w:val="Footer"/>
      <w:jc w:val="center"/>
    </w:pPr>
    <w:r>
      <w:rPr>
        <w:color w:val="667085"/>
        <w:sz w:val="16"/>
      </w:rPr>
      <w:fldChar w:fldCharType="begin"/>
    </w:r>
    <w:r>
      <w:rPr>
        <w:color w:val="667085"/>
        <w:sz w:val="16"/>
      </w:rPr>
      <w:instrText xml:space="preserve"> PAGE </w:instrText>
    </w:r>
    <w:r>
      <w:rPr>
        <w:color w:val="667085"/>
        <w:sz w:val="16"/>
      </w:rPr>
      <w:fldChar w:fldCharType="separate"/>
    </w:r>
    <w:r w:rsidR="0076469B">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FFB7B" w14:textId="77777777" w:rsidR="00BB46AC" w:rsidRDefault="00BB46AC">
      <w:pPr>
        <w:spacing w:after="0" w:line="240" w:lineRule="auto"/>
      </w:pPr>
      <w:r>
        <w:separator/>
      </w:r>
    </w:p>
  </w:footnote>
  <w:footnote w:type="continuationSeparator" w:id="0">
    <w:p w14:paraId="076CE35B" w14:textId="77777777" w:rsidR="00BB46AC" w:rsidRDefault="00BB4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A9CA" w14:textId="77777777" w:rsidR="000E6BF1" w:rsidRDefault="00000000">
    <w:pPr>
      <w:pStyle w:val="Header"/>
      <w:jc w:val="right"/>
    </w:pPr>
    <w:r>
      <w:rPr>
        <w:color w:val="667085"/>
        <w:sz w:val="16"/>
      </w:rPr>
      <w:t>Integrated neuronal redox and lysosomal metabolism in EAE/MS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565650">
    <w:abstractNumId w:val="8"/>
  </w:num>
  <w:num w:numId="2" w16cid:durableId="1982270148">
    <w:abstractNumId w:val="6"/>
  </w:num>
  <w:num w:numId="3" w16cid:durableId="1995792255">
    <w:abstractNumId w:val="5"/>
  </w:num>
  <w:num w:numId="4" w16cid:durableId="1536696950">
    <w:abstractNumId w:val="4"/>
  </w:num>
  <w:num w:numId="5" w16cid:durableId="1200127454">
    <w:abstractNumId w:val="7"/>
  </w:num>
  <w:num w:numId="6" w16cid:durableId="1632979077">
    <w:abstractNumId w:val="3"/>
  </w:num>
  <w:num w:numId="7" w16cid:durableId="1873154609">
    <w:abstractNumId w:val="2"/>
  </w:num>
  <w:num w:numId="8" w16cid:durableId="1993682423">
    <w:abstractNumId w:val="1"/>
  </w:num>
  <w:num w:numId="9" w16cid:durableId="124526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B9"/>
    <w:rsid w:val="00034616"/>
    <w:rsid w:val="0004237B"/>
    <w:rsid w:val="0006063C"/>
    <w:rsid w:val="000E6BF1"/>
    <w:rsid w:val="0015074B"/>
    <w:rsid w:val="0029639D"/>
    <w:rsid w:val="00326F90"/>
    <w:rsid w:val="00530131"/>
    <w:rsid w:val="006A6FC3"/>
    <w:rsid w:val="0076469B"/>
    <w:rsid w:val="008326B0"/>
    <w:rsid w:val="00895BAE"/>
    <w:rsid w:val="00962869"/>
    <w:rsid w:val="00AA1D8D"/>
    <w:rsid w:val="00B21389"/>
    <w:rsid w:val="00B47730"/>
    <w:rsid w:val="00BB46AC"/>
    <w:rsid w:val="00C041E6"/>
    <w:rsid w:val="00CB0664"/>
    <w:rsid w:val="00E26D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86501"/>
  <w14:defaultImageDpi w14:val="300"/>
  <w15:docId w15:val="{0234F4F0-A8C5-4F3C-8065-39F9E4C9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D232A"/>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B63"/>
      <w:sz w:val="3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B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59636F"/>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59636F"/>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mc.ncbi.nlm.nih.gov/articles/PMC9026333/" TargetMode="External"/><Relationship Id="rId21" Type="http://schemas.openxmlformats.org/officeDocument/2006/relationships/hyperlink" Target="https://pubmed.ncbi.nlm.nih.gov/37542104/" TargetMode="External"/><Relationship Id="rId42" Type="http://schemas.openxmlformats.org/officeDocument/2006/relationships/hyperlink" Target="https://pubmed.ncbi.nlm.nih.gov/18792018/" TargetMode="External"/><Relationship Id="rId63" Type="http://schemas.openxmlformats.org/officeDocument/2006/relationships/hyperlink" Target="https://link.springer.com/article/10.1186/s12974-021-02325-6" TargetMode="External"/><Relationship Id="rId84" Type="http://schemas.openxmlformats.org/officeDocument/2006/relationships/hyperlink" Target="https://pubmed.ncbi.nlm.nih.gov/25873309/" TargetMode="External"/><Relationship Id="rId138" Type="http://schemas.openxmlformats.org/officeDocument/2006/relationships/hyperlink" Target="https://pubmed.ncbi.nlm.nih.gov/30344041/" TargetMode="External"/><Relationship Id="rId159" Type="http://schemas.openxmlformats.org/officeDocument/2006/relationships/hyperlink" Target="https://pubmed.ncbi.nlm.nih.gov/32682869/" TargetMode="External"/><Relationship Id="rId170" Type="http://schemas.openxmlformats.org/officeDocument/2006/relationships/hyperlink" Target="https://pubmed.ncbi.nlm.nih.gov/30289974/" TargetMode="External"/><Relationship Id="rId191" Type="http://schemas.openxmlformats.org/officeDocument/2006/relationships/hyperlink" Target="https://pubmed.ncbi.nlm.nih.gov/39423811/" TargetMode="External"/><Relationship Id="rId205" Type="http://schemas.openxmlformats.org/officeDocument/2006/relationships/hyperlink" Target="https://pubmed.ncbi.nlm.nih.gov/35856297/" TargetMode="External"/><Relationship Id="rId107" Type="http://schemas.openxmlformats.org/officeDocument/2006/relationships/hyperlink" Target="https://www.nature.com/articles/s41467-023-41539-5" TargetMode="External"/><Relationship Id="rId11" Type="http://schemas.openxmlformats.org/officeDocument/2006/relationships/hyperlink" Target="https://pubmed.ncbi.nlm.nih.gov/19448625/" TargetMode="External"/><Relationship Id="rId32" Type="http://schemas.openxmlformats.org/officeDocument/2006/relationships/hyperlink" Target="https://pubmed.ncbi.nlm.nih.gov/41832615/" TargetMode="External"/><Relationship Id="rId53" Type="http://schemas.openxmlformats.org/officeDocument/2006/relationships/hyperlink" Target="https://pmc.ncbi.nlm.nih.gov/articles/PMC6455010/" TargetMode="External"/><Relationship Id="rId74" Type="http://schemas.openxmlformats.org/officeDocument/2006/relationships/hyperlink" Target="https://pubmed.ncbi.nlm.nih.gov/30344041/" TargetMode="External"/><Relationship Id="rId128" Type="http://schemas.openxmlformats.org/officeDocument/2006/relationships/hyperlink" Target="https://pubmed.ncbi.nlm.nih.gov/40146846/" TargetMode="External"/><Relationship Id="rId149" Type="http://schemas.openxmlformats.org/officeDocument/2006/relationships/hyperlink" Target="https://pubmed.ncbi.nlm.nih.gov/23690594/" TargetMode="External"/><Relationship Id="rId5" Type="http://schemas.openxmlformats.org/officeDocument/2006/relationships/webSettings" Target="webSettings.xml"/><Relationship Id="rId95" Type="http://schemas.openxmlformats.org/officeDocument/2006/relationships/hyperlink" Target="https://www.nature.com/articles/s41598-021-92529-w" TargetMode="External"/><Relationship Id="rId160" Type="http://schemas.openxmlformats.org/officeDocument/2006/relationships/hyperlink" Target="https://pubmed.ncbi.nlm.nih.gov/39937646/" TargetMode="External"/><Relationship Id="rId181" Type="http://schemas.openxmlformats.org/officeDocument/2006/relationships/hyperlink" Target="https://pubmed.ncbi.nlm.nih.gov/28903038/" TargetMode="External"/><Relationship Id="rId22" Type="http://schemas.openxmlformats.org/officeDocument/2006/relationships/hyperlink" Target="https://pubmed.ncbi.nlm.nih.gov/37491291/" TargetMode="External"/><Relationship Id="rId43" Type="http://schemas.openxmlformats.org/officeDocument/2006/relationships/hyperlink" Target="https://pmc.ncbi.nlm.nih.gov/articles/PMC539738/" TargetMode="External"/><Relationship Id="rId64" Type="http://schemas.openxmlformats.org/officeDocument/2006/relationships/hyperlink" Target="https://link.springer.com/article/10.15252/emmm.201911674" TargetMode="External"/><Relationship Id="rId118" Type="http://schemas.openxmlformats.org/officeDocument/2006/relationships/hyperlink" Target="https://pubmed.ncbi.nlm.nih.gov/35253783/" TargetMode="External"/><Relationship Id="rId139" Type="http://schemas.openxmlformats.org/officeDocument/2006/relationships/hyperlink" Target="https://pubmed.ncbi.nlm.nih.gov/36351827/" TargetMode="External"/><Relationship Id="rId85" Type="http://schemas.openxmlformats.org/officeDocument/2006/relationships/hyperlink" Target="https://pmc.ncbi.nlm.nih.gov/articles/PMC8493376/" TargetMode="External"/><Relationship Id="rId150" Type="http://schemas.openxmlformats.org/officeDocument/2006/relationships/hyperlink" Target="https://pubmed.ncbi.nlm.nih.gov/11442168/" TargetMode="External"/><Relationship Id="rId171" Type="http://schemas.openxmlformats.org/officeDocument/2006/relationships/hyperlink" Target="https://pubmed.ncbi.nlm.nih.gov/22632970/" TargetMode="External"/><Relationship Id="rId192" Type="http://schemas.openxmlformats.org/officeDocument/2006/relationships/hyperlink" Target="https://pubmed.ncbi.nlm.nih.gov/40146846/" TargetMode="External"/><Relationship Id="rId206" Type="http://schemas.openxmlformats.org/officeDocument/2006/relationships/header" Target="header1.xml"/><Relationship Id="rId12" Type="http://schemas.openxmlformats.org/officeDocument/2006/relationships/hyperlink" Target="https://pubmed.ncbi.nlm.nih.gov/22421967/" TargetMode="External"/><Relationship Id="rId33" Type="http://schemas.openxmlformats.org/officeDocument/2006/relationships/hyperlink" Target="https://pmc.ncbi.nlm.nih.gov/articles/PMC7064956/" TargetMode="External"/><Relationship Id="rId108" Type="http://schemas.openxmlformats.org/officeDocument/2006/relationships/hyperlink" Target="https://www.frontiersin.org/journals/cellular-neuroscience/articles/10.3389/fncel.2020.603710/full" TargetMode="External"/><Relationship Id="rId129" Type="http://schemas.openxmlformats.org/officeDocument/2006/relationships/hyperlink" Target="https://pubmed.ncbi.nlm.nih.gov/30344041/" TargetMode="External"/><Relationship Id="rId54" Type="http://schemas.openxmlformats.org/officeDocument/2006/relationships/hyperlink" Target="https://pubmed.ncbi.nlm.nih.gov/33868265/" TargetMode="External"/><Relationship Id="rId75" Type="http://schemas.openxmlformats.org/officeDocument/2006/relationships/hyperlink" Target="https://pmc.ncbi.nlm.nih.gov/articles/PMC6004386/" TargetMode="External"/><Relationship Id="rId96" Type="http://schemas.openxmlformats.org/officeDocument/2006/relationships/image" Target="media/image3.png"/><Relationship Id="rId140" Type="http://schemas.openxmlformats.org/officeDocument/2006/relationships/hyperlink" Target="https://pubmed.ncbi.nlm.nih.gov/36351827/" TargetMode="External"/><Relationship Id="rId161" Type="http://schemas.openxmlformats.org/officeDocument/2006/relationships/hyperlink" Target="https://pubmed.ncbi.nlm.nih.gov/33565962/" TargetMode="External"/><Relationship Id="rId182" Type="http://schemas.openxmlformats.org/officeDocument/2006/relationships/hyperlink" Target="https://pubmed.ncbi.nlm.nih.gov/32544384/" TargetMode="External"/><Relationship Id="rId6" Type="http://schemas.openxmlformats.org/officeDocument/2006/relationships/footnotes" Target="footnotes.xml"/><Relationship Id="rId23" Type="http://schemas.openxmlformats.org/officeDocument/2006/relationships/hyperlink" Target="https://pubmed.ncbi.nlm.nih.gov/41702081/" TargetMode="External"/><Relationship Id="rId119" Type="http://schemas.openxmlformats.org/officeDocument/2006/relationships/hyperlink" Target="https://pubmed.ncbi.nlm.nih.gov/39719710/" TargetMode="External"/><Relationship Id="rId44" Type="http://schemas.openxmlformats.org/officeDocument/2006/relationships/hyperlink" Target="https://pubmed.ncbi.nlm.nih.gov/40532699/" TargetMode="External"/><Relationship Id="rId65" Type="http://schemas.openxmlformats.org/officeDocument/2006/relationships/hyperlink" Target="https://link.springer.com/article/10.1186/s12974-021-02325-6" TargetMode="External"/><Relationship Id="rId86" Type="http://schemas.openxmlformats.org/officeDocument/2006/relationships/hyperlink" Target="https://pubmed.ncbi.nlm.nih.gov/15465426/" TargetMode="External"/><Relationship Id="rId130" Type="http://schemas.openxmlformats.org/officeDocument/2006/relationships/hyperlink" Target="https://pubmed.ncbi.nlm.nih.gov/36351827/" TargetMode="External"/><Relationship Id="rId151" Type="http://schemas.openxmlformats.org/officeDocument/2006/relationships/hyperlink" Target="https://pubmed.ncbi.nlm.nih.gov/18596543/" TargetMode="External"/><Relationship Id="rId172" Type="http://schemas.openxmlformats.org/officeDocument/2006/relationships/hyperlink" Target="https://pubmed.ncbi.nlm.nih.gov/24439385/" TargetMode="External"/><Relationship Id="rId193" Type="http://schemas.openxmlformats.org/officeDocument/2006/relationships/hyperlink" Target="https://pubmed.ncbi.nlm.nih.gov/20126265/" TargetMode="External"/><Relationship Id="rId207" Type="http://schemas.openxmlformats.org/officeDocument/2006/relationships/footer" Target="footer1.xml"/><Relationship Id="rId13" Type="http://schemas.openxmlformats.org/officeDocument/2006/relationships/hyperlink" Target="https://pubmed.ncbi.nlm.nih.gov/40532699/" TargetMode="External"/><Relationship Id="rId109" Type="http://schemas.openxmlformats.org/officeDocument/2006/relationships/hyperlink" Target="https://pubmed.ncbi.nlm.nih.gov/34031600/" TargetMode="External"/><Relationship Id="rId34" Type="http://schemas.openxmlformats.org/officeDocument/2006/relationships/hyperlink" Target="https://pubmed.ncbi.nlm.nih.gov/39937646/" TargetMode="External"/><Relationship Id="rId55" Type="http://schemas.openxmlformats.org/officeDocument/2006/relationships/hyperlink" Target="https://pmc.ncbi.nlm.nih.gov/articles/PMC515111/" TargetMode="External"/><Relationship Id="rId76" Type="http://schemas.openxmlformats.org/officeDocument/2006/relationships/hyperlink" Target="https://pubmed.ncbi.nlm.nih.gov/30344041/" TargetMode="External"/><Relationship Id="rId97" Type="http://schemas.openxmlformats.org/officeDocument/2006/relationships/hyperlink" Target="https://pubmed.ncbi.nlm.nih.gov/34031600/" TargetMode="External"/><Relationship Id="rId120" Type="http://schemas.openxmlformats.org/officeDocument/2006/relationships/hyperlink" Target="https://pubmed.ncbi.nlm.nih.gov/39243987/" TargetMode="External"/><Relationship Id="rId141" Type="http://schemas.openxmlformats.org/officeDocument/2006/relationships/hyperlink" Target="https://pubmed.ncbi.nlm.nih.gov/34031600/" TargetMode="External"/><Relationship Id="rId7" Type="http://schemas.openxmlformats.org/officeDocument/2006/relationships/endnotes" Target="endnotes.xml"/><Relationship Id="rId162" Type="http://schemas.openxmlformats.org/officeDocument/2006/relationships/hyperlink" Target="https://pubmed.ncbi.nlm.nih.gov/39145444/" TargetMode="External"/><Relationship Id="rId183" Type="http://schemas.openxmlformats.org/officeDocument/2006/relationships/hyperlink" Target="https://pubmed.ncbi.nlm.nih.gov/15465426/" TargetMode="External"/><Relationship Id="rId24" Type="http://schemas.openxmlformats.org/officeDocument/2006/relationships/hyperlink" Target="https://pubmed.ncbi.nlm.nih.gov/34031600/" TargetMode="External"/><Relationship Id="rId45" Type="http://schemas.openxmlformats.org/officeDocument/2006/relationships/hyperlink" Target="https://pubmed.ncbi.nlm.nih.gov/36610561/" TargetMode="External"/><Relationship Id="rId66" Type="http://schemas.openxmlformats.org/officeDocument/2006/relationships/hyperlink" Target="https://pmc.ncbi.nlm.nih.gov/articles/PMC8733854/" TargetMode="External"/><Relationship Id="rId87" Type="http://schemas.openxmlformats.org/officeDocument/2006/relationships/hyperlink" Target="https://pubmed.ncbi.nlm.nih.gov/34592985/" TargetMode="External"/><Relationship Id="rId110" Type="http://schemas.openxmlformats.org/officeDocument/2006/relationships/hyperlink" Target="https://www.nature.com/articles/s41467-023-41539-5" TargetMode="External"/><Relationship Id="rId131" Type="http://schemas.openxmlformats.org/officeDocument/2006/relationships/hyperlink" Target="https://pubmed.ncbi.nlm.nih.gov/36351827/" TargetMode="External"/><Relationship Id="rId61" Type="http://schemas.openxmlformats.org/officeDocument/2006/relationships/hyperlink" Target="https://link.springer.com/article/10.1186/s12974-021-02325-6" TargetMode="External"/><Relationship Id="rId82" Type="http://schemas.openxmlformats.org/officeDocument/2006/relationships/hyperlink" Target="https://pmc.ncbi.nlm.nih.gov/articles/PMC7064956/" TargetMode="External"/><Relationship Id="rId152" Type="http://schemas.openxmlformats.org/officeDocument/2006/relationships/hyperlink" Target="https://pubmed.ncbi.nlm.nih.gov/20126265/" TargetMode="External"/><Relationship Id="rId173" Type="http://schemas.openxmlformats.org/officeDocument/2006/relationships/hyperlink" Target="https://pubmed.ncbi.nlm.nih.gov/37542104/" TargetMode="External"/><Relationship Id="rId194" Type="http://schemas.openxmlformats.org/officeDocument/2006/relationships/hyperlink" Target="https://pubmed.ncbi.nlm.nih.gov/23946398/" TargetMode="External"/><Relationship Id="rId199" Type="http://schemas.openxmlformats.org/officeDocument/2006/relationships/hyperlink" Target="https://pubmed.ncbi.nlm.nih.gov/11442168/" TargetMode="External"/><Relationship Id="rId203" Type="http://schemas.openxmlformats.org/officeDocument/2006/relationships/hyperlink" Target="https://pubmed.ncbi.nlm.nih.gov/24808182/" TargetMode="External"/><Relationship Id="rId208" Type="http://schemas.openxmlformats.org/officeDocument/2006/relationships/fontTable" Target="fontTable.xml"/><Relationship Id="rId19" Type="http://schemas.openxmlformats.org/officeDocument/2006/relationships/hyperlink" Target="https://pubmed.ncbi.nlm.nih.gov/30289974/" TargetMode="External"/><Relationship Id="rId14" Type="http://schemas.openxmlformats.org/officeDocument/2006/relationships/hyperlink" Target="https://pubmed.ncbi.nlm.nih.gov/41832615/" TargetMode="External"/><Relationship Id="rId30" Type="http://schemas.openxmlformats.org/officeDocument/2006/relationships/image" Target="media/image2.png"/><Relationship Id="rId35" Type="http://schemas.openxmlformats.org/officeDocument/2006/relationships/hyperlink" Target="https://pubmed.ncbi.nlm.nih.gov/28486971/" TargetMode="External"/><Relationship Id="rId56" Type="http://schemas.openxmlformats.org/officeDocument/2006/relationships/hyperlink" Target="https://link.springer.com/article/10.1186/s12974-020-01789-2" TargetMode="External"/><Relationship Id="rId77" Type="http://schemas.openxmlformats.org/officeDocument/2006/relationships/hyperlink" Target="https://pmc.ncbi.nlm.nih.gov/articles/PMC3738596/" TargetMode="External"/><Relationship Id="rId100" Type="http://schemas.openxmlformats.org/officeDocument/2006/relationships/hyperlink" Target="https://pubmed.ncbi.nlm.nih.gov/12177162/" TargetMode="External"/><Relationship Id="rId105" Type="http://schemas.openxmlformats.org/officeDocument/2006/relationships/hyperlink" Target="https://pmc.ncbi.nlm.nih.gov/articles/PMC5748373/" TargetMode="External"/><Relationship Id="rId126" Type="http://schemas.openxmlformats.org/officeDocument/2006/relationships/hyperlink" Target="https://pubmed.ncbi.nlm.nih.gov/39423811/" TargetMode="External"/><Relationship Id="rId147" Type="http://schemas.openxmlformats.org/officeDocument/2006/relationships/hyperlink" Target="https://pubmed.ncbi.nlm.nih.gov/21613335/" TargetMode="External"/><Relationship Id="rId168" Type="http://schemas.openxmlformats.org/officeDocument/2006/relationships/hyperlink" Target="https://pubmed.ncbi.nlm.nih.gov/22366799/" TargetMode="External"/><Relationship Id="rId8" Type="http://schemas.openxmlformats.org/officeDocument/2006/relationships/hyperlink" Target="https://pubmed.ncbi.nlm.nih.gov/39937646/" TargetMode="External"/><Relationship Id="rId51" Type="http://schemas.openxmlformats.org/officeDocument/2006/relationships/hyperlink" Target="https://pubmed.ncbi.nlm.nih.gov/37002660/" TargetMode="External"/><Relationship Id="rId72" Type="http://schemas.openxmlformats.org/officeDocument/2006/relationships/hyperlink" Target="https://pubmed.ncbi.nlm.nih.gov/30344041/" TargetMode="External"/><Relationship Id="rId93" Type="http://schemas.openxmlformats.org/officeDocument/2006/relationships/hyperlink" Target="https://pubmed.ncbi.nlm.nih.gov/28130201/" TargetMode="External"/><Relationship Id="rId98" Type="http://schemas.openxmlformats.org/officeDocument/2006/relationships/hyperlink" Target="https://pubmed.ncbi.nlm.nih.gov/37726325/" TargetMode="External"/><Relationship Id="rId121" Type="http://schemas.openxmlformats.org/officeDocument/2006/relationships/hyperlink" Target="https://www.frontiersin.org/journals/cellular-neuroscience/articles/10.3389/fncel.2020.603710/full" TargetMode="External"/><Relationship Id="rId142" Type="http://schemas.openxmlformats.org/officeDocument/2006/relationships/hyperlink" Target="https://pubmed.ncbi.nlm.nih.gov/30344041/" TargetMode="External"/><Relationship Id="rId163" Type="http://schemas.openxmlformats.org/officeDocument/2006/relationships/hyperlink" Target="https://pubmed.ncbi.nlm.nih.gov/40532699/" TargetMode="External"/><Relationship Id="rId184" Type="http://schemas.openxmlformats.org/officeDocument/2006/relationships/hyperlink" Target="https://pubmed.ncbi.nlm.nih.gov/34592985/" TargetMode="External"/><Relationship Id="rId189" Type="http://schemas.openxmlformats.org/officeDocument/2006/relationships/hyperlink" Target="https://pubmed.ncbi.nlm.nih.gov/23690594/" TargetMode="External"/><Relationship Id="rId3" Type="http://schemas.openxmlformats.org/officeDocument/2006/relationships/styles" Target="styles.xml"/><Relationship Id="rId25" Type="http://schemas.openxmlformats.org/officeDocument/2006/relationships/hyperlink" Target="https://pubmed.ncbi.nlm.nih.gov/26370502/" TargetMode="External"/><Relationship Id="rId46" Type="http://schemas.openxmlformats.org/officeDocument/2006/relationships/hyperlink" Target="https://pubmed.ncbi.nlm.nih.gov/24588027/" TargetMode="External"/><Relationship Id="rId67" Type="http://schemas.openxmlformats.org/officeDocument/2006/relationships/hyperlink" Target="https://www.frontiersin.org/journals/cell-and-developmental-biology/articles/10.3389/fcell.2019.00039/full" TargetMode="External"/><Relationship Id="rId116" Type="http://schemas.openxmlformats.org/officeDocument/2006/relationships/hyperlink" Target="https://www.frontiersin.org/journals/cellular-neuroscience/articles/10.3389/fncel.2020.603710/full" TargetMode="External"/><Relationship Id="rId137" Type="http://schemas.openxmlformats.org/officeDocument/2006/relationships/hyperlink" Target="https://pubmed.ncbi.nlm.nih.gov/34031600/" TargetMode="External"/><Relationship Id="rId158" Type="http://schemas.openxmlformats.org/officeDocument/2006/relationships/hyperlink" Target="https://pubmed.ncbi.nlm.nih.gov/18596543/" TargetMode="External"/><Relationship Id="rId20" Type="http://schemas.openxmlformats.org/officeDocument/2006/relationships/hyperlink" Target="https://pubmed.ncbi.nlm.nih.gov/22632970/" TargetMode="External"/><Relationship Id="rId41" Type="http://schemas.openxmlformats.org/officeDocument/2006/relationships/hyperlink" Target="https://pubmed.ncbi.nlm.nih.gov/40532699/" TargetMode="External"/><Relationship Id="rId62" Type="http://schemas.openxmlformats.org/officeDocument/2006/relationships/hyperlink" Target="https://pubmed.ncbi.nlm.nih.gov/33868265/" TargetMode="External"/><Relationship Id="rId83" Type="http://schemas.openxmlformats.org/officeDocument/2006/relationships/hyperlink" Target="https://pmc.ncbi.nlm.nih.gov/articles/PMC6004386/" TargetMode="External"/><Relationship Id="rId88" Type="http://schemas.openxmlformats.org/officeDocument/2006/relationships/hyperlink" Target="https://pubmed.ncbi.nlm.nih.gov/34031600/" TargetMode="External"/><Relationship Id="rId111" Type="http://schemas.openxmlformats.org/officeDocument/2006/relationships/hyperlink" Target="https://pubmed.ncbi.nlm.nih.gov/15465426/" TargetMode="External"/><Relationship Id="rId132" Type="http://schemas.openxmlformats.org/officeDocument/2006/relationships/hyperlink" Target="https://pubmed.ncbi.nlm.nih.gov/24588027/" TargetMode="External"/><Relationship Id="rId153" Type="http://schemas.openxmlformats.org/officeDocument/2006/relationships/hyperlink" Target="https://pubmed.ncbi.nlm.nih.gov/23946398/" TargetMode="External"/><Relationship Id="rId174" Type="http://schemas.openxmlformats.org/officeDocument/2006/relationships/hyperlink" Target="https://pubmed.ncbi.nlm.nih.gov/37491291/" TargetMode="External"/><Relationship Id="rId179" Type="http://schemas.openxmlformats.org/officeDocument/2006/relationships/hyperlink" Target="https://pubmed.ncbi.nlm.nih.gov/26370502/" TargetMode="External"/><Relationship Id="rId195" Type="http://schemas.openxmlformats.org/officeDocument/2006/relationships/hyperlink" Target="https://pubmed.ncbi.nlm.nih.gov/29434374/" TargetMode="External"/><Relationship Id="rId209" Type="http://schemas.openxmlformats.org/officeDocument/2006/relationships/theme" Target="theme/theme1.xml"/><Relationship Id="rId190" Type="http://schemas.openxmlformats.org/officeDocument/2006/relationships/hyperlink" Target="https://pubmed.ncbi.nlm.nih.gov/30260505/" TargetMode="External"/><Relationship Id="rId204" Type="http://schemas.openxmlformats.org/officeDocument/2006/relationships/hyperlink" Target="https://pubmed.ncbi.nlm.nih.gov/35504189/" TargetMode="External"/><Relationship Id="rId15" Type="http://schemas.openxmlformats.org/officeDocument/2006/relationships/hyperlink" Target="https://pubmed.ncbi.nlm.nih.gov/22366799/" TargetMode="External"/><Relationship Id="rId36" Type="http://schemas.openxmlformats.org/officeDocument/2006/relationships/hyperlink" Target="https://pubmed.ncbi.nlm.nih.gov/39243987/" TargetMode="External"/><Relationship Id="rId57" Type="http://schemas.openxmlformats.org/officeDocument/2006/relationships/hyperlink" Target="https://pmc.ncbi.nlm.nih.gov/articles/PMC6455010/" TargetMode="External"/><Relationship Id="rId106" Type="http://schemas.openxmlformats.org/officeDocument/2006/relationships/hyperlink" Target="https://europepmc.org/article/med/27489176" TargetMode="External"/><Relationship Id="rId127" Type="http://schemas.openxmlformats.org/officeDocument/2006/relationships/hyperlink" Target="https://pubmed.ncbi.nlm.nih.gov/30111894/" TargetMode="External"/><Relationship Id="rId10" Type="http://schemas.openxmlformats.org/officeDocument/2006/relationships/image" Target="media/image1.png"/><Relationship Id="rId31" Type="http://schemas.openxmlformats.org/officeDocument/2006/relationships/hyperlink" Target="https://pubmed.ncbi.nlm.nih.gov/40532699/" TargetMode="External"/><Relationship Id="rId52" Type="http://schemas.openxmlformats.org/officeDocument/2006/relationships/hyperlink" Target="https://pubmed.ncbi.nlm.nih.gov/24840802/" TargetMode="External"/><Relationship Id="rId73" Type="http://schemas.openxmlformats.org/officeDocument/2006/relationships/hyperlink" Target="https://pmc.ncbi.nlm.nih.gov/articles/PMC6004386/" TargetMode="External"/><Relationship Id="rId78" Type="http://schemas.openxmlformats.org/officeDocument/2006/relationships/hyperlink" Target="https://pubmed.ncbi.nlm.nih.gov/25873309/" TargetMode="External"/><Relationship Id="rId94" Type="http://schemas.openxmlformats.org/officeDocument/2006/relationships/hyperlink" Target="https://link.springer.com/article/10.1186/s12974-019-1559-4" TargetMode="External"/><Relationship Id="rId99" Type="http://schemas.openxmlformats.org/officeDocument/2006/relationships/hyperlink" Target="https://pubmed.ncbi.nlm.nih.gov/37036445/" TargetMode="External"/><Relationship Id="rId101" Type="http://schemas.openxmlformats.org/officeDocument/2006/relationships/hyperlink" Target="https://pmc.ncbi.nlm.nih.gov/articles/PMC4477963/" TargetMode="External"/><Relationship Id="rId122" Type="http://schemas.openxmlformats.org/officeDocument/2006/relationships/hyperlink" Target="https://pubmed.ncbi.nlm.nih.gov/18792018/" TargetMode="External"/><Relationship Id="rId143" Type="http://schemas.openxmlformats.org/officeDocument/2006/relationships/hyperlink" Target="https://pubmed.ncbi.nlm.nih.gov/34031600/" TargetMode="External"/><Relationship Id="rId148" Type="http://schemas.openxmlformats.org/officeDocument/2006/relationships/hyperlink" Target="https://pubmed.ncbi.nlm.nih.gov/31467413/" TargetMode="External"/><Relationship Id="rId164" Type="http://schemas.openxmlformats.org/officeDocument/2006/relationships/hyperlink" Target="https://pubmed.ncbi.nlm.nih.gov/19448625/" TargetMode="External"/><Relationship Id="rId169" Type="http://schemas.openxmlformats.org/officeDocument/2006/relationships/hyperlink" Target="https://pubmed.ncbi.nlm.nih.gov/23951137/" TargetMode="External"/><Relationship Id="rId185" Type="http://schemas.openxmlformats.org/officeDocument/2006/relationships/hyperlink" Target="https://pubmed.ncbi.nlm.nih.gov/34298019/" TargetMode="External"/><Relationship Id="rId4" Type="http://schemas.openxmlformats.org/officeDocument/2006/relationships/settings" Target="settings.xml"/><Relationship Id="rId9" Type="http://schemas.openxmlformats.org/officeDocument/2006/relationships/hyperlink" Target="https://pubmed.ncbi.nlm.nih.gov/33565962/" TargetMode="External"/><Relationship Id="rId180" Type="http://schemas.openxmlformats.org/officeDocument/2006/relationships/hyperlink" Target="https://pubmed.ncbi.nlm.nih.gov/28541286/" TargetMode="External"/><Relationship Id="rId26" Type="http://schemas.openxmlformats.org/officeDocument/2006/relationships/hyperlink" Target="https://pubmed.ncbi.nlm.nih.gov/28541286/" TargetMode="External"/><Relationship Id="rId47" Type="http://schemas.openxmlformats.org/officeDocument/2006/relationships/hyperlink" Target="https://pubmed.ncbi.nlm.nih.gov/41832615/" TargetMode="External"/><Relationship Id="rId68" Type="http://schemas.openxmlformats.org/officeDocument/2006/relationships/hyperlink" Target="https://pmc.ncbi.nlm.nih.gov/articles/PMC6455010/" TargetMode="External"/><Relationship Id="rId89" Type="http://schemas.openxmlformats.org/officeDocument/2006/relationships/hyperlink" Target="https://www.nature.com/articles/s41467-023-41539-5" TargetMode="External"/><Relationship Id="rId112" Type="http://schemas.openxmlformats.org/officeDocument/2006/relationships/hyperlink" Target="https://pubmed.ncbi.nlm.nih.gov/34592985/" TargetMode="External"/><Relationship Id="rId133" Type="http://schemas.openxmlformats.org/officeDocument/2006/relationships/hyperlink" Target="https://pubmed.ncbi.nlm.nih.gov/24588027/" TargetMode="External"/><Relationship Id="rId154" Type="http://schemas.openxmlformats.org/officeDocument/2006/relationships/hyperlink" Target="https://pubmed.ncbi.nlm.nih.gov/33349630/" TargetMode="External"/><Relationship Id="rId175" Type="http://schemas.openxmlformats.org/officeDocument/2006/relationships/hyperlink" Target="https://pubmed.ncbi.nlm.nih.gov/41702081/" TargetMode="External"/><Relationship Id="rId196" Type="http://schemas.openxmlformats.org/officeDocument/2006/relationships/hyperlink" Target="https://pubmed.ncbi.nlm.nih.gov/33349630/" TargetMode="External"/><Relationship Id="rId200" Type="http://schemas.openxmlformats.org/officeDocument/2006/relationships/hyperlink" Target="https://pubmed.ncbi.nlm.nih.gov/18596543/" TargetMode="External"/><Relationship Id="rId16" Type="http://schemas.openxmlformats.org/officeDocument/2006/relationships/hyperlink" Target="https://pubmed.ncbi.nlm.nih.gov/33191581/" TargetMode="External"/><Relationship Id="rId37" Type="http://schemas.openxmlformats.org/officeDocument/2006/relationships/hyperlink" Target="https://pmc.ncbi.nlm.nih.gov/articles/PMC132942/" TargetMode="External"/><Relationship Id="rId58" Type="http://schemas.openxmlformats.org/officeDocument/2006/relationships/hyperlink" Target="https://pubmed.ncbi.nlm.nih.gov/33868265/" TargetMode="External"/><Relationship Id="rId79" Type="http://schemas.openxmlformats.org/officeDocument/2006/relationships/hyperlink" Target="https://pubmed.ncbi.nlm.nih.gov/22038922/" TargetMode="External"/><Relationship Id="rId102" Type="http://schemas.openxmlformats.org/officeDocument/2006/relationships/hyperlink" Target="https://www.sciencedirect.com/science/article/pii/S0092867417308309" TargetMode="External"/><Relationship Id="rId123" Type="http://schemas.openxmlformats.org/officeDocument/2006/relationships/hyperlink" Target="https://pubmed.ncbi.nlm.nih.gov/28486971/" TargetMode="External"/><Relationship Id="rId144" Type="http://schemas.openxmlformats.org/officeDocument/2006/relationships/hyperlink" Target="https://pubmed.ncbi.nlm.nih.gov/32376969/" TargetMode="External"/><Relationship Id="rId90" Type="http://schemas.openxmlformats.org/officeDocument/2006/relationships/hyperlink" Target="https://pmc.ncbi.nlm.nih.gov/articles/PMC5748373/" TargetMode="External"/><Relationship Id="rId165" Type="http://schemas.openxmlformats.org/officeDocument/2006/relationships/hyperlink" Target="https://pubmed.ncbi.nlm.nih.gov/22421967/" TargetMode="External"/><Relationship Id="rId186" Type="http://schemas.openxmlformats.org/officeDocument/2006/relationships/hyperlink" Target="https://pubmed.ncbi.nlm.nih.gov/21613335/" TargetMode="External"/><Relationship Id="rId27" Type="http://schemas.openxmlformats.org/officeDocument/2006/relationships/hyperlink" Target="https://pubmed.ncbi.nlm.nih.gov/32544384/" TargetMode="External"/><Relationship Id="rId48" Type="http://schemas.openxmlformats.org/officeDocument/2006/relationships/hyperlink" Target="https://pubmed.ncbi.nlm.nih.gov/40532699/" TargetMode="External"/><Relationship Id="rId69" Type="http://schemas.openxmlformats.org/officeDocument/2006/relationships/hyperlink" Target="https://pmc.ncbi.nlm.nih.gov/articles/PMC7064956/" TargetMode="External"/><Relationship Id="rId113" Type="http://schemas.openxmlformats.org/officeDocument/2006/relationships/hyperlink" Target="https://pubmed.ncbi.nlm.nih.gov/27114232/" TargetMode="External"/><Relationship Id="rId134" Type="http://schemas.openxmlformats.org/officeDocument/2006/relationships/hyperlink" Target="https://pubmed.ncbi.nlm.nih.gov/32376969/" TargetMode="External"/><Relationship Id="rId80" Type="http://schemas.openxmlformats.org/officeDocument/2006/relationships/hyperlink" Target="https://pubmed.ncbi.nlm.nih.gov/23431168/" TargetMode="External"/><Relationship Id="rId155" Type="http://schemas.openxmlformats.org/officeDocument/2006/relationships/hyperlink" Target="https://pubmed.ncbi.nlm.nih.gov/32682869/" TargetMode="External"/><Relationship Id="rId176" Type="http://schemas.openxmlformats.org/officeDocument/2006/relationships/hyperlink" Target="https://pubmed.ncbi.nlm.nih.gov/34031600/" TargetMode="External"/><Relationship Id="rId197" Type="http://schemas.openxmlformats.org/officeDocument/2006/relationships/hyperlink" Target="https://pubmed.ncbi.nlm.nih.gov/33191581/" TargetMode="External"/><Relationship Id="rId201" Type="http://schemas.openxmlformats.org/officeDocument/2006/relationships/hyperlink" Target="https://pubmed.ncbi.nlm.nih.gov/36610561/" TargetMode="External"/><Relationship Id="rId17" Type="http://schemas.openxmlformats.org/officeDocument/2006/relationships/hyperlink" Target="https://pubmed.ncbi.nlm.nih.gov/37818836/" TargetMode="External"/><Relationship Id="rId38" Type="http://schemas.openxmlformats.org/officeDocument/2006/relationships/hyperlink" Target="https://pmc.ncbi.nlm.nih.gov/articles/PMC7064956/" TargetMode="External"/><Relationship Id="rId59" Type="http://schemas.openxmlformats.org/officeDocument/2006/relationships/hyperlink" Target="https://pmc.ncbi.nlm.nih.gov/articles/PMC6455010/" TargetMode="External"/><Relationship Id="rId103" Type="http://schemas.openxmlformats.org/officeDocument/2006/relationships/hyperlink" Target="https://pubmed.ncbi.nlm.nih.gov/34031600/" TargetMode="External"/><Relationship Id="rId124" Type="http://schemas.openxmlformats.org/officeDocument/2006/relationships/hyperlink" Target="https://www.frontiersin.org/journals/cellular-neuroscience/articles/10.3389/fncel.2020.603710/full" TargetMode="External"/><Relationship Id="rId70" Type="http://schemas.openxmlformats.org/officeDocument/2006/relationships/hyperlink" Target="https://link.springer.com/article/10.1186/s12974-021-02325-6" TargetMode="External"/><Relationship Id="rId91" Type="http://schemas.openxmlformats.org/officeDocument/2006/relationships/hyperlink" Target="https://europepmc.org/article/med/27489176" TargetMode="External"/><Relationship Id="rId145" Type="http://schemas.openxmlformats.org/officeDocument/2006/relationships/hyperlink" Target="https://pubmed.ncbi.nlm.nih.gov/34549305/" TargetMode="External"/><Relationship Id="rId166" Type="http://schemas.openxmlformats.org/officeDocument/2006/relationships/hyperlink" Target="https://pubmed.ncbi.nlm.nih.gov/19937972/" TargetMode="External"/><Relationship Id="rId187" Type="http://schemas.openxmlformats.org/officeDocument/2006/relationships/hyperlink" Target="https://pubmed.ncbi.nlm.nih.gov/31467413/" TargetMode="External"/><Relationship Id="rId1" Type="http://schemas.openxmlformats.org/officeDocument/2006/relationships/customXml" Target="../customXml/item1.xml"/><Relationship Id="rId28" Type="http://schemas.openxmlformats.org/officeDocument/2006/relationships/hyperlink" Target="https://pubmed.ncbi.nlm.nih.gov/39423811/" TargetMode="External"/><Relationship Id="rId49" Type="http://schemas.openxmlformats.org/officeDocument/2006/relationships/hyperlink" Target="https://www.jci.org/articles/view/177692" TargetMode="External"/><Relationship Id="rId114" Type="http://schemas.openxmlformats.org/officeDocument/2006/relationships/hyperlink" Target="https://www.frontiersin.org/journals/cellular-neuroscience/articles/10.3389/fncel.2020.603710/full" TargetMode="External"/><Relationship Id="rId60" Type="http://schemas.openxmlformats.org/officeDocument/2006/relationships/hyperlink" Target="https://pubmed.ncbi.nlm.nih.gov/33868265/" TargetMode="External"/><Relationship Id="rId81" Type="http://schemas.openxmlformats.org/officeDocument/2006/relationships/hyperlink" Target="https://academic.oup.com/brain/article/135/3/886/1746907" TargetMode="External"/><Relationship Id="rId135" Type="http://schemas.openxmlformats.org/officeDocument/2006/relationships/hyperlink" Target="https://pmc.ncbi.nlm.nih.gov/articles/PMC7064956/" TargetMode="External"/><Relationship Id="rId156" Type="http://schemas.openxmlformats.org/officeDocument/2006/relationships/image" Target="media/image4.png"/><Relationship Id="rId177" Type="http://schemas.openxmlformats.org/officeDocument/2006/relationships/hyperlink" Target="https://pubmed.ncbi.nlm.nih.gov/37726325/" TargetMode="External"/><Relationship Id="rId198" Type="http://schemas.openxmlformats.org/officeDocument/2006/relationships/hyperlink" Target="https://pubmed.ncbi.nlm.nih.gov/37818836/" TargetMode="External"/><Relationship Id="rId202" Type="http://schemas.openxmlformats.org/officeDocument/2006/relationships/hyperlink" Target="https://pubmed.ncbi.nlm.nih.gov/22038922/" TargetMode="External"/><Relationship Id="rId18" Type="http://schemas.openxmlformats.org/officeDocument/2006/relationships/hyperlink" Target="https://pubmed.ncbi.nlm.nih.gov/24439385/" TargetMode="External"/><Relationship Id="rId39" Type="http://schemas.openxmlformats.org/officeDocument/2006/relationships/hyperlink" Target="https://pubmed.ncbi.nlm.nih.gov/18792018/" TargetMode="External"/><Relationship Id="rId50" Type="http://schemas.openxmlformats.org/officeDocument/2006/relationships/hyperlink" Target="https://pmc.ncbi.nlm.nih.gov/articles/PMC7064956/" TargetMode="External"/><Relationship Id="rId104" Type="http://schemas.openxmlformats.org/officeDocument/2006/relationships/hyperlink" Target="https://pubmed.ncbi.nlm.nih.gov/34031600/" TargetMode="External"/><Relationship Id="rId125" Type="http://schemas.openxmlformats.org/officeDocument/2006/relationships/hyperlink" Target="https://pubmed.ncbi.nlm.nih.gov/18792018/" TargetMode="External"/><Relationship Id="rId146" Type="http://schemas.openxmlformats.org/officeDocument/2006/relationships/hyperlink" Target="https://link.springer.com/article/10.1007/s12265-024-10560-4" TargetMode="External"/><Relationship Id="rId167" Type="http://schemas.openxmlformats.org/officeDocument/2006/relationships/hyperlink" Target="https://pubmed.ncbi.nlm.nih.gov/41832615/" TargetMode="External"/><Relationship Id="rId188" Type="http://schemas.openxmlformats.org/officeDocument/2006/relationships/hyperlink" Target="https://pubmed.ncbi.nlm.nih.gov/36514959/" TargetMode="External"/><Relationship Id="rId71" Type="http://schemas.openxmlformats.org/officeDocument/2006/relationships/hyperlink" Target="https://pmc.ncbi.nlm.nih.gov/articles/PMC7064956/" TargetMode="External"/><Relationship Id="rId92" Type="http://schemas.openxmlformats.org/officeDocument/2006/relationships/hyperlink" Target="https://pubmed.ncbi.nlm.nih.gov/26846222/" TargetMode="External"/><Relationship Id="rId2" Type="http://schemas.openxmlformats.org/officeDocument/2006/relationships/numbering" Target="numbering.xml"/><Relationship Id="rId29" Type="http://schemas.openxmlformats.org/officeDocument/2006/relationships/hyperlink" Target="https://pubmed.ncbi.nlm.nih.gov/40146846/" TargetMode="External"/><Relationship Id="rId40" Type="http://schemas.openxmlformats.org/officeDocument/2006/relationships/hyperlink" Target="https://pmc.ncbi.nlm.nih.gov/articles/PMC539738/" TargetMode="External"/><Relationship Id="rId115" Type="http://schemas.openxmlformats.org/officeDocument/2006/relationships/hyperlink" Target="https://pmc.ncbi.nlm.nih.gov/articles/PMC9026333/" TargetMode="External"/><Relationship Id="rId136" Type="http://schemas.openxmlformats.org/officeDocument/2006/relationships/hyperlink" Target="https://www.frontiersin.org/journals/cellular-neuroscience/articles/10.3389/fncel.2020.603710/full" TargetMode="External"/><Relationship Id="rId157" Type="http://schemas.openxmlformats.org/officeDocument/2006/relationships/hyperlink" Target="https://pubmed.ncbi.nlm.nih.gov/11442168/" TargetMode="External"/><Relationship Id="rId178" Type="http://schemas.openxmlformats.org/officeDocument/2006/relationships/hyperlink" Target="https://pubmed.ncbi.nlm.nih.gov/37036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22</Pages>
  <Words>11653</Words>
  <Characters>66426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neuronal redox and lysosomal lipid metabolism in EAE/MS</dc:title>
  <dc:subject>Detailed pathway analysis, novelty assessment and grant framework</dc:subject>
  <dc:creator>OpenAI — prepared from submitted neuronal EAE datasets and peer-reviewed literature</dc:creator>
  <cp:keywords>multiple sclerosis; EAE; neurons; NADPH; pentose phosphate pathway; PSAP; lysosome; ferroptosis; lipid metabolism</cp:keywords>
  <dc:description>generated by python-docx</dc:description>
  <cp:lastModifiedBy>Abdulshakour Mohammadnia</cp:lastModifiedBy>
  <cp:revision>8</cp:revision>
  <dcterms:created xsi:type="dcterms:W3CDTF">2026-09-09T14:11:00Z</dcterms:created>
  <dcterms:modified xsi:type="dcterms:W3CDTF">2026-09-13T19:43:00Z</dcterms:modified>
  <cp:category/>
</cp:coreProperties>
</file>