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rFonts w:ascii="Times New Roman" w:cs="Times New Roman" w:eastAsia="Times New Roman" w:hAnsi="Times New Roman"/>
          <w:b/>
          <w:bCs/>
          <w:sz w:val="27"/>
          <w:szCs w:val="27"/>
        </w:rPr>
        <w:t xml:space="preserve">Pre-Assignment Reflection Paper</w:t>
      </w:r>
    </w:p>
    <w:p>
      <w:pPr>
        <w:spacing w:after="160"/>
        <w:jc w:val="center"/>
      </w:pPr>
      <w:r>
        <w:rPr>
          <w:rFonts w:ascii="Times New Roman" w:cs="Times New Roman" w:eastAsia="Times New Roman" w:hAnsi="Times New Roman"/>
          <w:i/>
          <w:iCs/>
          <w:sz w:val="21"/>
          <w:szCs w:val="21"/>
        </w:rPr>
        <w:t xml:space="preserve">Rethinking Business — Renewal through Leadership, Focus, and Capability Building</w:t>
      </w:r>
    </w:p>
    <w:p>
      <w:pPr>
        <w:spacing w:after="110" w:line="246"/>
        <w:jc w:val="both"/>
      </w:pPr>
      <w:r>
        <w:rPr>
          <w:rFonts w:ascii="Times New Roman" w:cs="Times New Roman" w:eastAsia="Times New Roman" w:hAnsi="Times New Roman"/>
          <w:sz w:val="20"/>
          <w:szCs w:val="20"/>
        </w:rPr>
        <w:t xml:space="preserve">The Kodak, LEGO, and BYD cases illustrate three dimensions of strategic renewal: redefining identity after decline, protecting focus while growing, and building advantage through a deliberate sequence of capabilities. These lessons connect directly to my work at bioMérieux Korea, where we are shifting from a traditional instrument-and-reagent supplier toward a partner offering integrated, automated, and GMP-compliant quality-control solutions.</w:t>
      </w:r>
    </w:p>
    <w:p>
      <w:pPr>
        <w:pStyle w:val="Heading2"/>
        <w:spacing w:after="60" w:before="160"/>
      </w:pPr>
      <w:r>
        <w:rPr>
          <w:rFonts w:ascii="Times New Roman" w:cs="Times New Roman" w:eastAsia="Times New Roman" w:hAnsi="Times New Roman"/>
          <w:b/>
          <w:bCs/>
          <w:sz w:val="23"/>
          <w:szCs w:val="23"/>
        </w:rPr>
        <w:t xml:space="preserve">Kodak: Leading Change after Organizational Decline</w:t>
      </w:r>
    </w:p>
    <w:p>
      <w:pPr>
        <w:spacing w:after="110" w:line="246"/>
        <w:jc w:val="both"/>
      </w:pPr>
      <w:r>
        <w:rPr>
          <w:rFonts w:ascii="Times New Roman" w:cs="Times New Roman" w:eastAsia="Times New Roman" w:hAnsi="Times New Roman"/>
          <w:sz w:val="20"/>
          <w:szCs w:val="20"/>
        </w:rPr>
        <w:t xml:space="preserve">Jeff Clarke's central challenge was stabilizing a company in which roughly 90% of the business was declining, while protecting the small growth core — cutting costs and headcount without losing capabilities needed for the future. He also had to redefine Kodak's identity, shifting emphasis from consumer film toward B2B printing and materials science, and replace a slow, hierarchical culture with transparency and accountability. The harder dilemma was respecting Kodak's heritage — film, the Super 8 camera — without letting nostalgia dictate where scarce resources went.</w:t>
      </w:r>
    </w:p>
    <w:p>
      <w:pPr>
        <w:spacing w:after="110" w:line="246"/>
        <w:jc w:val="both"/>
      </w:pPr>
      <w:r>
        <w:rPr>
          <w:rFonts w:ascii="Times New Roman" w:cs="Times New Roman" w:eastAsia="Times New Roman" w:hAnsi="Times New Roman"/>
          <w:sz w:val="20"/>
          <w:szCs w:val="20"/>
        </w:rPr>
        <w:t xml:space="preserve">I do not believe our company lacks change — quite the opposite. After many years here, I find it refreshing that our new leaders are pursuing change differently than before, with a reasonably clear direction on strategy, culture, ESG, and growth. The challenge I feel most is the gap between the direction of change and market reality: some new leaders drive change without yet fully understanding our product portfolio, how customers actually use our products, and each business unit's market conditions. In pharma especially, customers evaluate GMP compliance, data integrity, validation documentation, regulatory support, and long-term service stability alongside performance — owning a good product and offering a solution customers can actually adopt are different things. The obstacle to change is not leaders resisting it, but change designed from the top without sufficient grounding in the market and the customer.</w:t>
      </w:r>
    </w:p>
    <w:p>
      <w:pPr>
        <w:spacing w:after="110" w:line="246"/>
        <w:jc w:val="both"/>
      </w:pPr>
      <w:r>
        <w:rPr>
          <w:rFonts w:ascii="Times New Roman" w:cs="Times New Roman" w:eastAsia="Times New Roman" w:hAnsi="Times New Roman"/>
          <w:b/>
          <w:bCs/>
          <w:i/>
          <w:iCs/>
          <w:sz w:val="20"/>
          <w:szCs w:val="20"/>
        </w:rPr>
        <w:t xml:space="preserve">The leadership challenge is not a lack of willingness to change, but a gap between the direction of change and a deep understanding of the company's products, market position, and actual customers.</w:t>
      </w:r>
    </w:p>
    <w:p>
      <w:pPr>
        <w:pStyle w:val="Heading2"/>
        <w:spacing w:after="60" w:before="160"/>
      </w:pPr>
      <w:r>
        <w:rPr>
          <w:rFonts w:ascii="Times New Roman" w:cs="Times New Roman" w:eastAsia="Times New Roman" w:hAnsi="Times New Roman"/>
          <w:b/>
          <w:bCs/>
          <w:sz w:val="23"/>
          <w:szCs w:val="23"/>
        </w:rPr>
        <w:t xml:space="preserve">LEGO: Growth without Strategic Focus</w:t>
      </w:r>
    </w:p>
    <w:p>
      <w:pPr>
        <w:spacing w:after="110" w:line="246"/>
        <w:jc w:val="both"/>
      </w:pPr>
      <w:r>
        <w:rPr>
          <w:rFonts w:ascii="Times New Roman" w:cs="Times New Roman" w:eastAsia="Times New Roman" w:hAnsi="Times New Roman"/>
          <w:sz w:val="20"/>
          <w:szCs w:val="20"/>
        </w:rPr>
        <w:t xml:space="preserve">LEGO nearly went bankrupt by expanding far beyond its core logic — into theme parks, media, video games, clothing, watches, and direct retail — treating its strong brand as license to enter almost any category. Product and component complexity exploded, more than doubling after 1993, while management lacked visibility into product-level profitability and fill rates. New initiatives consumed resources and sometimes cannibalized core products, and frequent manager rotation eroded domain expertise. By 2003, sales fell 26%, pushing the company to the edge of bankruptcy in 2004.</w:t>
      </w:r>
    </w:p>
    <w:p>
      <w:pPr>
        <w:spacing w:after="110" w:line="246"/>
        <w:jc w:val="both"/>
      </w:pPr>
      <w:r>
        <w:rPr>
          <w:rFonts w:ascii="Times New Roman" w:cs="Times New Roman" w:eastAsia="Times New Roman" w:hAnsi="Times New Roman"/>
          <w:sz w:val="20"/>
          <w:szCs w:val="20"/>
        </w:rPr>
        <w:t xml:space="preserve">Our company continuously acquires promising technologies and launches products in new areas, moving beyond a pure diagnostics supplier toward a broader healthcare and microbiology solutions company, reinforced by our emphasis on public health impact and ESG. But not every investment equally strengthens every business unit's core. Because most revenue comes from the Clinical Division, shared functions — capital, headcount, IT, quality, regulatory, marketing — naturally gravitate toward Clinical, while my own Industry Pharma business is a smaller share of total revenue. As a result, investment in capabilities pharma customers require — GMP expertise, validation support, data integrity, regulatory documentation, software integration, automation project management — does not always keep pace with our technical innovation: we invest in product development but under-invest in the industry-specific execution capability customers need to adopt it.</w:t>
      </w:r>
    </w:p>
    <w:p>
      <w:pPr>
        <w:spacing w:after="110" w:line="246"/>
        <w:jc w:val="both"/>
      </w:pPr>
      <w:r>
        <w:rPr>
          <w:rFonts w:ascii="Times New Roman" w:cs="Times New Roman" w:eastAsia="Times New Roman" w:hAnsi="Times New Roman"/>
          <w:sz w:val="20"/>
          <w:szCs w:val="20"/>
        </w:rPr>
        <w:t xml:space="preserve">Some strategically promising projects therefore consume disproportionate resources once internal support isn't ready — sales wins the order, but local application, service, quality, IT, and global support absorb far more effort than planned, producing short-term revenue alongside customer dissatisfaction and rising cost. Leadership struggles to see this because revenue and launches are measured immediately while validation burden and support cost are not; strategy is designed around Clinical; M&amp;A signals growth but the follow-on investment to convert it into repeatable value gets less attention; and allocating resources by current BU revenue keeps a smaller business under-invested.</w:t>
      </w:r>
    </w:p>
    <w:p>
      <w:pPr>
        <w:spacing w:after="110" w:line="246"/>
        <w:jc w:val="both"/>
      </w:pPr>
      <w:r>
        <w:rPr>
          <w:rFonts w:ascii="Times New Roman" w:cs="Times New Roman" w:eastAsia="Times New Roman" w:hAnsi="Times New Roman"/>
          <w:b/>
          <w:bCs/>
          <w:i/>
          <w:iCs/>
          <w:sz w:val="20"/>
          <w:szCs w:val="20"/>
        </w:rPr>
        <w:t xml:space="preserve">Our company invests actively in new products and acquisitions, but the supporting capabilities required for pharmaceutical GMP customers do not always receive the same level of investment.</w:t>
      </w:r>
    </w:p>
    <w:p>
      <w:pPr>
        <w:pStyle w:val="Heading2"/>
        <w:spacing w:after="60" w:before="160"/>
      </w:pPr>
      <w:r>
        <w:rPr>
          <w:rFonts w:ascii="Times New Roman" w:cs="Times New Roman" w:eastAsia="Times New Roman" w:hAnsi="Times New Roman"/>
          <w:b/>
          <w:bCs/>
          <w:sz w:val="23"/>
          <w:szCs w:val="23"/>
        </w:rPr>
        <w:t xml:space="preserve">BYD: Building Advantage through a Sequence of Capabilities</w:t>
      </w:r>
    </w:p>
    <w:p>
      <w:pPr>
        <w:spacing w:after="110" w:line="246"/>
        <w:jc w:val="both"/>
      </w:pPr>
      <w:r>
        <w:rPr>
          <w:rFonts w:ascii="Times New Roman" w:cs="Times New Roman" w:eastAsia="Times New Roman" w:hAnsi="Times New Roman"/>
          <w:sz w:val="20"/>
          <w:szCs w:val="20"/>
        </w:rPr>
        <w:t xml:space="preserve">BYD's advantage was not one decision but a sequence of connected capabilities built over roughly 20 years: deep battery expertise, an acquired automotive manufacturing license, and progressively internalized semiconductors, motors, and vehicle production. This vertical integration created cost advantage, faster scaling, and supply security. The most decisive moves were the automotive acquisition, sustained battery R&amp;D, in-house semiconductor production, and the Blade Battery, which turned BYD into a technology supplier as well as an automaker — converting favorable government policy and a large market into capabilities rivals could not quickly copy.</w:t>
      </w:r>
    </w:p>
    <w:p>
      <w:pPr>
        <w:spacing w:after="110" w:line="246"/>
        <w:jc w:val="both"/>
      </w:pPr>
      <w:r>
        <w:rPr>
          <w:rFonts w:ascii="Times New Roman" w:cs="Times New Roman" w:eastAsia="Times New Roman" w:hAnsi="Times New Roman"/>
          <w:sz w:val="20"/>
          <w:szCs w:val="20"/>
        </w:rPr>
        <w:t xml:space="preserve">Our unit's key competitive capability is the ability to reimagine existing testing work and turn it into automated workflows. QC work in pharma still involves heavy manual, repetitive, operator-dependent tasks and documentation burden, and we combine instruments, reagents, software, and workflow expertise — not just one instrument — with microbiological expertise, service, and global experience, a combination pure instrument or reagent companies cannot easily replicate. Decades of microbiology expertise, regulatory credibility, an installed base, and field service capability form a real barrier to entry, since pharma customers evaluate whether a supplier can support them long-term, not just the product itself.</w:t>
      </w:r>
    </w:p>
    <w:p>
      <w:pPr>
        <w:spacing w:after="110" w:line="246"/>
        <w:jc w:val="both"/>
      </w:pPr>
      <w:r>
        <w:rPr>
          <w:rFonts w:ascii="Times New Roman" w:cs="Times New Roman" w:eastAsia="Times New Roman" w:hAnsi="Times New Roman"/>
          <w:b/>
          <w:bCs/>
          <w:i/>
          <w:iCs/>
          <w:sz w:val="20"/>
          <w:szCs w:val="20"/>
        </w:rPr>
        <w:t xml:space="preserve">Our advantage is not automation alone. It is the ability to combine microbiology, instruments, reagents, software, and customer workflow knowledge into a reliable QC solution.</w:t>
      </w:r>
    </w:p>
    <w:p>
      <w:pPr>
        <w:spacing w:after="110" w:line="246"/>
        <w:jc w:val="both"/>
      </w:pPr>
      <w:r>
        <w:rPr>
          <w:rFonts w:ascii="Times New Roman" w:cs="Times New Roman" w:eastAsia="Times New Roman" w:hAnsi="Times New Roman"/>
          <w:sz w:val="20"/>
          <w:szCs w:val="20"/>
        </w:rPr>
        <w:t xml:space="preserve">The most important driver of our own renewal is a strong appetite for continued market growth — we lead in some areas but remain a relative latecomer in pharma automation and integrated QC solutions, a weakness that is also a source of momentum. Growth ambition alone is not enough; it becomes real renewal capability only through fast market learning, willingness to admit failure, and accumulating that knowledge organizationally: finding and acquiring promising external technology, integrating it into existing products and customer base, sensing changing customer needs quickly, adapting global solutions to local GMP environments, and turning one customer's experience into repeatable standard capability for the next.</w:t>
      </w:r>
    </w:p>
    <w:p>
      <w:pPr>
        <w:spacing w:after="110" w:line="246"/>
        <w:jc w:val="both"/>
      </w:pPr>
      <w:r>
        <w:rPr>
          <w:rFonts w:ascii="Times New Roman" w:cs="Times New Roman" w:eastAsia="Times New Roman" w:hAnsi="Times New Roman"/>
          <w:b/>
          <w:bCs/>
          <w:i/>
          <w:iCs/>
          <w:sz w:val="20"/>
          <w:szCs w:val="20"/>
        </w:rPr>
        <w:t xml:space="preserve">The desire for market growth gives our company the motivation to renew, but renewal becomes a real capability only when the company can turn external technologies and customer learning into repeatable organizational knowledge.</w:t>
      </w:r>
    </w:p>
    <w:p>
      <w:pPr>
        <w:pStyle w:val="Heading2"/>
        <w:spacing w:after="60" w:before="160"/>
      </w:pPr>
      <w:r>
        <w:rPr>
          <w:rFonts w:ascii="Times New Roman" w:cs="Times New Roman" w:eastAsia="Times New Roman" w:hAnsi="Times New Roman"/>
          <w:b/>
          <w:bCs/>
          <w:sz w:val="23"/>
          <w:szCs w:val="23"/>
        </w:rPr>
        <w:t xml:space="preserve">Focal Issues I Want to Explore in This Module</w:t>
      </w:r>
    </w:p>
    <w:p>
      <w:pPr>
        <w:spacing w:after="110" w:line="246"/>
        <w:jc w:val="both"/>
      </w:pPr>
      <w:r>
        <w:rPr>
          <w:rFonts w:ascii="Times New Roman" w:cs="Times New Roman" w:eastAsia="Times New Roman" w:hAnsi="Times New Roman"/>
          <w:sz w:val="20"/>
          <w:szCs w:val="20"/>
        </w:rPr>
        <w:t xml:space="preserve">The question I most want to explore is how an established company renews itself — and how new leaders earn the credibility to lead that renewal — without losing what made it successful, and how local market knowledge can become a lasting organizational capability rather than something each new leader must relearn.</w:t>
      </w:r>
    </w:p>
    <w:sectPr>
      <w:pgSz w:w="11906" w:h="16838" w:orient="portrait"/>
      <w:pgMar w:top="860" w:right="900" w:bottom="8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2026-07-19T20:21:14.564Z</dcterms:created>
  <dcterms:modified xsi:type="dcterms:W3CDTF">2026-07-19T20:21:14.575Z</dcterms:modified>
</cp:coreProperties>
</file>

<file path=docProps/custom.xml><?xml version="1.0" encoding="utf-8"?>
<Properties xmlns="http://schemas.openxmlformats.org/officeDocument/2006/custom-properties" xmlns:vt="http://schemas.openxmlformats.org/officeDocument/2006/docPropsVTypes"/>
</file>