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Malgun Gothic" w:cs="Malgun Gothic" w:eastAsia="Malgun Gothic" w:hAnsi="Malgun Gothic"/>
          <w:b/>
          <w:bCs/>
          <w:sz w:val="26"/>
          <w:szCs w:val="26"/>
        </w:rPr>
        <w:t xml:space="preserve">사전과제 성찰 에세이 (질문 답변형)</w:t>
      </w:r>
    </w:p>
    <w:p>
      <w:pPr>
        <w:pStyle w:val="Heading2"/>
        <w:spacing w:after="30" w:before="140"/>
      </w:pPr>
      <w:r>
        <w:rPr>
          <w:rFonts w:ascii="Malgun Gothic" w:cs="Malgun Gothic" w:eastAsia="Malgun Gothic" w:hAnsi="Malgun Gothic"/>
          <w:b/>
          <w:bCs/>
          <w:sz w:val="21"/>
          <w:szCs w:val="21"/>
        </w:rPr>
        <w:t xml:space="preserve">Ryan L. Raffaelli and Christine Snively (2018). "Reinvention of Kodak." HBS Case 419-012.</w:t>
      </w:r>
    </w:p>
    <w:p>
      <w:pPr>
        <w:spacing w:after="30" w:before="30"/>
      </w:pPr>
      <w:r>
        <w:rPr>
          <w:rFonts w:ascii="Malgun Gothic" w:cs="Malgun Gothic" w:eastAsia="Malgun Gothic" w:hAnsi="Malgun Gothic"/>
          <w:i/>
          <w:iCs/>
          <w:sz w:val="19"/>
          <w:szCs w:val="19"/>
        </w:rPr>
        <w:t xml:space="preserve">Clarke가 Kodak을 파산에서 회복시키려 할 때 직면한 리더십 과제는 무엇인가?</w:t>
      </w:r>
    </w:p>
    <w:p>
      <w:pPr>
        <w:spacing w:after="100" w:line="250"/>
        <w:ind w:left="160"/>
        <w:jc w:val="both"/>
      </w:pPr>
      <w:r>
        <w:rPr>
          <w:rFonts w:ascii="Malgun Gothic" w:cs="Malgun Gothic" w:eastAsia="Malgun Gothic" w:hAnsi="Malgun Gothic"/>
          <w:sz w:val="19"/>
          <w:szCs w:val="19"/>
        </w:rPr>
        <w:t xml:space="preserve">Clarke의 핵심 과제는 사업의 약 90%가 쇠퇴하는 상황에서 회사를 안정시키는 동시에, 소수의 성장 핵심을 지켜내는 것이었다 — 비용과 인력을 줄이면서도 미래에 필요한 역량은 잃지 않아야 했다. 또한 그는 Kodak의 정체성을 재정의해야 했다. 소비자용 필름 중심에서 B2B 인쇄·소재과학으로 무게중심을 옮기고, 느리고 위계적인 문화를 투명하고 책임 있는 문화로 바꾸었다. 더 어려운 과제는 Kodak의 유산 — 필름과 Super 8 카메라 — 을 존중하면서도, 향수가 제한된 자원의 배분을 좌우하지 않도록 하는 것이었다.</w:t>
      </w:r>
    </w:p>
    <w:p>
      <w:pPr>
        <w:spacing w:after="30" w:before="30"/>
      </w:pPr>
      <w:r>
        <w:rPr>
          <w:rFonts w:ascii="Malgun Gothic" w:cs="Malgun Gothic" w:eastAsia="Malgun Gothic" w:hAnsi="Malgun Gothic"/>
          <w:i/>
          <w:iCs/>
          <w:sz w:val="19"/>
          <w:szCs w:val="19"/>
        </w:rPr>
        <w:t xml:space="preserve">생각해보기: 회사의 변화를 막을 수 있는, 본인이 직면하거나 목격하고 있는 리더십 과제는 무엇인가?</w:t>
      </w:r>
    </w:p>
    <w:p>
      <w:pPr>
        <w:spacing w:after="100" w:line="250"/>
        <w:ind w:left="160"/>
        <w:jc w:val="both"/>
      </w:pPr>
      <w:r>
        <w:rPr>
          <w:rFonts w:ascii="Malgun Gothic" w:cs="Malgun Gothic" w:eastAsia="Malgun Gothic" w:hAnsi="Malgun Gothic"/>
          <w:sz w:val="19"/>
          <w:szCs w:val="19"/>
        </w:rPr>
        <w:t xml:space="preserve">현재 우리 회사에서 변화 자체가 부족하다고 생각하지는 않는다. 오히려 오랜 기간 근무한 내 입장에서는 새로운 리더들이 이전과 다른 방식으로 변화를 추구하고 있다는 점이 신선하게 느껴진다. 새로운 전략, 조직문화, ESG, 성장사업에 대한 방향도 비교적 분명하게 제시되고 있다.</w:t>
      </w:r>
    </w:p>
    <w:p>
      <w:pPr>
        <w:spacing w:after="100" w:line="250"/>
        <w:ind w:left="160"/>
        <w:jc w:val="both"/>
      </w:pPr>
      <w:r>
        <w:rPr>
          <w:rFonts w:ascii="Malgun Gothic" w:cs="Malgun Gothic" w:eastAsia="Malgun Gothic" w:hAnsi="Malgun Gothic"/>
          <w:sz w:val="19"/>
          <w:szCs w:val="19"/>
        </w:rPr>
        <w:t xml:space="preserve">그러나 내가 느끼는 가장 큰 리더십 과제는 변화의 방향과 실제 시장 현실 사이의 간격이다. 일부 새로운 리더들은 회사의 제품 포트폴리오와 기술적 특성, 고객이 제품을 실제로 사용하는 방식, 그리고 각 사업부가 처한 시장환경에 대한 이해가 충분하지 않은 상태에서 변화를 추진하는 것처럼 보인다. 특히 제약산업에서는 제품의 혁신성만으로 고객의 선택을 받을 수 없다. 고객은 제품의 성능뿐 아니라 GMP 적합성, Data Integrity, Validation 문서, 규제 대응, 기술지원, 장기적인 서비스 안정성을 함께 평가한다. 따라서 좋은 제품을 보유하는 것과 고객이 실제로 도입할 수 있는 솔루션을 제공하는 것은 서로 다른 문제이다. 변화의 장애물은 리더들이 변화를 거부하는 데 있다기보다, 시장과 고객에 대한 충분한 이해 없이 위에서 설계된 변화가 실행되는 것에 있다고 생각한다.</w:t>
      </w:r>
    </w:p>
    <w:p>
      <w:pPr>
        <w:spacing w:after="20" w:line="250"/>
        <w:ind w:left="160"/>
        <w:jc w:val="both"/>
      </w:pPr>
      <w:r>
        <w:rPr>
          <w:rFonts w:ascii="Malgun Gothic" w:cs="Malgun Gothic" w:eastAsia="Malgun Gothic" w:hAnsi="Malgun Gothic"/>
          <w:b/>
          <w:bCs/>
          <w:i/>
          <w:iCs/>
          <w:sz w:val="19"/>
          <w:szCs w:val="19"/>
        </w:rPr>
        <w:t xml:space="preserve">The leadership challenge is not a lack of willingness to change, but a gap between the direction of change and a deep understanding of the company's products, market position, and actual customers.</w:t>
      </w:r>
    </w:p>
    <w:p>
      <w:pPr>
        <w:spacing w:after="110" w:line="250"/>
        <w:ind w:left="160"/>
        <w:jc w:val="both"/>
      </w:pPr>
      <w:r>
        <w:rPr>
          <w:rFonts w:ascii="Malgun Gothic" w:cs="Malgun Gothic" w:eastAsia="Malgun Gothic" w:hAnsi="Malgun Gothic"/>
          <w:b/>
          <w:bCs/>
          <w:sz w:val="18"/>
          <w:szCs w:val="18"/>
        </w:rPr>
        <w:t xml:space="preserve">(리더십의 문제는 변화 의지가 부족한 것이 아니라, 변화의 방향과 회사의 제품, 시장 위치 및 실제 고객에 대한 깊은 이해 사이에 간격이 존재한다는 것이다.)</w:t>
      </w:r>
    </w:p>
    <w:p>
      <w:pPr>
        <w:pStyle w:val="Heading2"/>
        <w:spacing w:after="30" w:before="140"/>
      </w:pPr>
      <w:r>
        <w:rPr>
          <w:rFonts w:ascii="Malgun Gothic" w:cs="Malgun Gothic" w:eastAsia="Malgun Gothic" w:hAnsi="Malgun Gothic"/>
          <w:b/>
          <w:bCs/>
          <w:sz w:val="21"/>
          <w:szCs w:val="21"/>
        </w:rPr>
        <w:t xml:space="preserve">Rivkin, Jan W., Thomke, Stefan and Daniela Beyersdorfer (2012). "LEGO." HBS Case 613-004.</w:t>
      </w:r>
    </w:p>
    <w:p>
      <w:pPr>
        <w:spacing w:after="30" w:before="30"/>
      </w:pPr>
      <w:r>
        <w:rPr>
          <w:rFonts w:ascii="Malgun Gothic" w:cs="Malgun Gothic" w:eastAsia="Malgun Gothic" w:hAnsi="Malgun Gothic"/>
          <w:i/>
          <w:iCs/>
          <w:sz w:val="19"/>
          <w:szCs w:val="19"/>
        </w:rPr>
        <w:t xml:space="preserve">무엇이 LEGO Group을 2004년 파산 직전까지 몰고 갔는가?</w:t>
      </w:r>
    </w:p>
    <w:p>
      <w:pPr>
        <w:spacing w:after="100" w:line="250"/>
        <w:ind w:left="160"/>
        <w:jc w:val="both"/>
      </w:pPr>
      <w:r>
        <w:rPr>
          <w:rFonts w:ascii="Malgun Gothic" w:cs="Malgun Gothic" w:eastAsia="Malgun Gothic" w:hAnsi="Malgun Gothic"/>
          <w:sz w:val="19"/>
          <w:szCs w:val="19"/>
        </w:rPr>
        <w:t xml:space="preserve">LEGO가 파산 직전까지 간 것은 강력한 브랜드를 거의 모든 카테고리에 진출할 수 있는 라이선스로 여기며 테마파크, 미디어, 비디오게임, 의류, 시계, 자체 유통까지 핵심사업의 논리를 벗어나 확장했기 때문이다. 동시에 부품의 모양·색상·엘리먼트 수가 1993년 이후 두 배 이상 늘어났지만, 경영진은 제품별 수익성과 재고 충족률에 대한 가시성을 확보하지 못했다. 신규 사업이 자원을 소비하고 핵심제품을 잠식했으며, 잦은 관리자 순환배치는 도메인 전문성을 약화시켰다. 2003년 매출이 26% 급감하며 2004년 파산 직전 상황으로 이어졌다.</w:t>
      </w:r>
    </w:p>
    <w:p>
      <w:pPr>
        <w:spacing w:after="30" w:before="30"/>
      </w:pPr>
      <w:r>
        <w:rPr>
          <w:rFonts w:ascii="Malgun Gothic" w:cs="Malgun Gothic" w:eastAsia="Malgun Gothic" w:hAnsi="Malgun Gothic"/>
          <w:i/>
          <w:iCs/>
          <w:sz w:val="19"/>
          <w:szCs w:val="19"/>
        </w:rPr>
        <w:t xml:space="preserve">생각해보기: 어떤 활동과 투자가 핵심 경쟁우위를 강화하고 있으며, 어떤 활동은 자원을 소비하면서 핵심에서 멀어지게 하는가?</w:t>
      </w:r>
    </w:p>
    <w:p>
      <w:pPr>
        <w:spacing w:after="100" w:line="250"/>
        <w:ind w:left="160"/>
        <w:jc w:val="both"/>
      </w:pPr>
      <w:r>
        <w:rPr>
          <w:rFonts w:ascii="Malgun Gothic" w:cs="Malgun Gothic" w:eastAsia="Malgun Gothic" w:hAnsi="Malgun Gothic"/>
          <w:sz w:val="19"/>
          <w:szCs w:val="19"/>
        </w:rPr>
        <w:t xml:space="preserve">우리 회사는 지속적으로 유망한 기술기업과 제품을 인수하며 새로운 성장기회를 확보하고, 기존에 시도하지 않았던 영역에서도 신제품을 출시하고 있다. 이러한 활동은 회사가 단순한 진단제품 공급자를 넘어 더 넓은 헬스케어 및 미생물 솔루션 기업으로 변화하는 데 기여한다. 회사가 강조하는 공중보건 기여와 ESG 경영 역시 브랜드와 장기적인 정당성을 강화한다.</w:t>
      </w:r>
    </w:p>
    <w:p>
      <w:pPr>
        <w:spacing w:after="100" w:line="250"/>
        <w:ind w:left="160"/>
        <w:jc w:val="both"/>
      </w:pPr>
      <w:r>
        <w:rPr>
          <w:rFonts w:ascii="Malgun Gothic" w:cs="Malgun Gothic" w:eastAsia="Malgun Gothic" w:hAnsi="Malgun Gothic"/>
          <w:sz w:val="19"/>
          <w:szCs w:val="19"/>
        </w:rPr>
        <w:t xml:space="preserve">그러나 모든 투자와 이니셔티브가 각 사업부의 핵심 경쟁우위를 동일하게 강화하는 것은 아니다. 우리 회사의 주요 수입원은 Clinical Division에서 발생하기 때문에 자본, 인력, IT, Quality, Regulatory, Marketing 등의 Shared Function도 자연스럽게 Clinical 중심으로 배분되는 경향이 있다. 반면 내가 속한 Industry Pharma 사업은 매출 비중이 상대적으로 작아, GMP 전문성, Validation Support, Data Integrity, 규제 문서, Software Integration, Automation Project Management와 같은 역량에 대한 투자가 기술혁신 속도를 충분히 따라가지 못하는 경우가 있다. 제품 개발에는 투자하지만, 고객이 이를 도입하기 위해 필요한 산업별 실행역량에는 상대적으로 적게 투자하는 문제가 발생한다.</w:t>
      </w:r>
    </w:p>
    <w:p>
      <w:pPr>
        <w:spacing w:after="100" w:line="250"/>
        <w:ind w:left="160"/>
        <w:jc w:val="both"/>
      </w:pPr>
      <w:r>
        <w:rPr>
          <w:rFonts w:ascii="Malgun Gothic" w:cs="Malgun Gothic" w:eastAsia="Malgun Gothic" w:hAnsi="Malgun Gothic"/>
          <w:sz w:val="19"/>
          <w:szCs w:val="19"/>
        </w:rPr>
        <w:t xml:space="preserve">이 때문에 전략적으로 유망해 보이는 신규 프로젝트가 내부 지원체계 없이 추진되면 과도한 자원을 소비할 수 있다. 영업은 프로젝트를 수주하지만, 현지 Application, Service, Quality, IT, Global Support 조직이 예상보다 많은 시간을 투입해야 하고, 단기 매출은 만들어지지만 고객 불만과 지원비용이 늘어난다. 리더십이 이를 구분하지 못하는 이유는, 매출과 신제품 출시는 즉시 측정되지만 Validation 부담과 지원비용은 그렇지 않으며, 전략이 Clinical 중심으로 설계되어 Industry Pharma의 특수성이 충분히 반영되지 않고, 인수합병은 성장의 메시지를 주지만 반복 가능한 사업모델로 전환하는 후속투자는 덜 주목받으며, 매출 규모 기준의 자원배분이 작은 사업을 계속 작게 만드는 순환을 만들기 때문이다.</w:t>
      </w:r>
    </w:p>
    <w:p>
      <w:pPr>
        <w:spacing w:after="20" w:line="250"/>
        <w:ind w:left="160"/>
        <w:jc w:val="both"/>
      </w:pPr>
      <w:r>
        <w:rPr>
          <w:rFonts w:ascii="Malgun Gothic" w:cs="Malgun Gothic" w:eastAsia="Malgun Gothic" w:hAnsi="Malgun Gothic"/>
          <w:b/>
          <w:bCs/>
          <w:i/>
          <w:iCs/>
          <w:sz w:val="19"/>
          <w:szCs w:val="19"/>
        </w:rPr>
        <w:t xml:space="preserve">Our company invests actively in new products and acquisitions, but the supporting capabilities required for pharmaceutical GMP customers do not always receive the same level of investment.</w:t>
      </w:r>
    </w:p>
    <w:p>
      <w:pPr>
        <w:spacing w:after="110" w:line="250"/>
        <w:ind w:left="160"/>
        <w:jc w:val="both"/>
      </w:pPr>
      <w:r>
        <w:rPr>
          <w:rFonts w:ascii="Malgun Gothic" w:cs="Malgun Gothic" w:eastAsia="Malgun Gothic" w:hAnsi="Malgun Gothic"/>
          <w:b/>
          <w:bCs/>
          <w:sz w:val="18"/>
          <w:szCs w:val="18"/>
        </w:rPr>
        <w:t xml:space="preserve">(우리 회사는 신제품과 인수합병에는 적극적으로 투자하지만, 제약 GMP 고객에게 필요한 지원역량에는 항상 같은 수준의 투자가 이루어지는 것은 아니다.)</w:t>
      </w:r>
    </w:p>
    <w:p>
      <w:pPr>
        <w:pStyle w:val="Heading2"/>
        <w:spacing w:after="30" w:before="140"/>
      </w:pPr>
      <w:r>
        <w:rPr>
          <w:rFonts w:ascii="Malgun Gothic" w:cs="Malgun Gothic" w:eastAsia="Malgun Gothic" w:hAnsi="Malgun Gothic"/>
          <w:b/>
          <w:bCs/>
          <w:sz w:val="21"/>
          <w:szCs w:val="21"/>
        </w:rPr>
        <w:t xml:space="preserve">Montgomery, Cynthia A. and Max Hancock (2023). "BYD, China, and Global Electric Vehicle Rivalry." HBS Case 724-358.</w:t>
      </w:r>
    </w:p>
    <w:p>
      <w:pPr>
        <w:spacing w:after="30" w:before="30"/>
      </w:pPr>
      <w:r>
        <w:rPr>
          <w:rFonts w:ascii="Malgun Gothic" w:cs="Malgun Gothic" w:eastAsia="Malgun Gothic" w:hAnsi="Malgun Gothic"/>
          <w:i/>
          <w:iCs/>
          <w:sz w:val="19"/>
          <w:szCs w:val="19"/>
        </w:rPr>
        <w:t xml:space="preserve">BYD는 20년에 걸쳐 어떻게 역량을 순차적으로 축적하여 견고한 경쟁우위를 만들었는가? 가장 결정적이었던 전략적 행보는 무엇인가?</w:t>
      </w:r>
    </w:p>
    <w:p>
      <w:pPr>
        <w:spacing w:after="100" w:line="250"/>
        <w:ind w:left="160"/>
        <w:jc w:val="both"/>
      </w:pPr>
      <w:r>
        <w:rPr>
          <w:rFonts w:ascii="Malgun Gothic" w:cs="Malgun Gothic" w:eastAsia="Malgun Gothic" w:hAnsi="Malgun Gothic"/>
          <w:sz w:val="19"/>
          <w:szCs w:val="19"/>
        </w:rPr>
        <w:t xml:space="preserve">BYD의 경쟁우위는 단 하나의 결정이 아니라, 약 20년에 걸쳐 서로 연결된 역량을 순차적으로 축적한 결과다 — 배터리 기술 축적이 먼저였고, 이후 자동차 제조기업 인수를 통해 생산 라이선스를 확보했으며, 반도체·모터·자동차 생산 역량을 점진적으로 내재화했다. 이러한 수직계열화는 원가우위, 빠른 생산 확대, 공급 안정성을 만들어냈다. 가장 결정적인 선택은 초기 자동차기업 인수, 지속적인 배터리 R&amp;D, 반도체 내부 생산, 그리고 BYD를 완성차 업체이자 기술공급자로 만든 Blade Battery였다. 중국 정부의 우호적 정책과 거대한 내수시장을, 경쟁사가 쉽게 복제할 수 없는 운영 역량으로 전환한 것이다.</w:t>
      </w:r>
    </w:p>
    <w:p>
      <w:pPr>
        <w:spacing w:after="30" w:before="30"/>
      </w:pPr>
      <w:r>
        <w:rPr>
          <w:rFonts w:ascii="Malgun Gothic" w:cs="Malgun Gothic" w:eastAsia="Malgun Gothic" w:hAnsi="Malgun Gothic"/>
          <w:i/>
          <w:iCs/>
          <w:sz w:val="19"/>
          <w:szCs w:val="19"/>
        </w:rPr>
        <w:t xml:space="preserve">생각해보기 (a): (a) 지속적인 경쟁우위를 제공하는 핵심역량은 무엇인가?</w:t>
      </w:r>
    </w:p>
    <w:p>
      <w:pPr>
        <w:spacing w:after="100" w:line="250"/>
        <w:ind w:left="160"/>
        <w:jc w:val="both"/>
      </w:pPr>
      <w:r>
        <w:rPr>
          <w:rFonts w:ascii="Malgun Gothic" w:cs="Malgun Gothic" w:eastAsia="Malgun Gothic" w:hAnsi="Malgun Gothic"/>
          <w:sz w:val="19"/>
          <w:szCs w:val="19"/>
        </w:rPr>
        <w:t xml:space="preserve">우리 사업부의 중요한 경쟁역량은 기존의 시험업무를 새로운 방식으로 변화시키는 아이디어와 이를 자동화된 Workflow로 발전시킬 수 있는 능력이다. 제약 품질관리 업무에는 여전히 많은 수작업, 반복작업, 작업자 의존성, 기록 부담이 존재하며, 우리는 장비·시약·Software·Workflow를 통해 이를 더 빠르고 일관되며 표준화된 방식으로 전환할 수 있는 기술을 갖고 있다. 특히 우리는 단순히 하나의 장비를 제공하는 것이 아니라, 미생물학적 전문지식, 검증된 시약, 자동화 기술, 소프트웨어, 서비스와 글로벌 경험을 결합할 수 있으며, 이는 일반적인 장비기업이나 시약기업이 쉽게 따라오기 어려운 경쟁력이다. 오랫동안 축적한 미생물학 전문성, 글로벌 고객기반, 규제기관과 시장에서의 신뢰, 설치장비 기반, 현장 Application·Technical Service 역량은 제약 고객이 공급사의 장기적 지원 여부를 함께 평가하기 때문에 중요한 진입장벽이 된다.</w:t>
      </w:r>
    </w:p>
    <w:p>
      <w:pPr>
        <w:spacing w:after="20" w:line="250"/>
        <w:ind w:left="160"/>
        <w:jc w:val="both"/>
      </w:pPr>
      <w:r>
        <w:rPr>
          <w:rFonts w:ascii="Malgun Gothic" w:cs="Malgun Gothic" w:eastAsia="Malgun Gothic" w:hAnsi="Malgun Gothic"/>
          <w:b/>
          <w:bCs/>
          <w:i/>
          <w:iCs/>
          <w:sz w:val="19"/>
          <w:szCs w:val="19"/>
        </w:rPr>
        <w:t xml:space="preserve">Our advantage is not automation alone. It is the ability to combine microbiology, instruments, reagents, software, and customer workflow knowledge into a reliable QC solution.</w:t>
      </w:r>
    </w:p>
    <w:p>
      <w:pPr>
        <w:spacing w:after="110" w:line="250"/>
        <w:ind w:left="160"/>
        <w:jc w:val="both"/>
      </w:pPr>
      <w:r>
        <w:rPr>
          <w:rFonts w:ascii="Malgun Gothic" w:cs="Malgun Gothic" w:eastAsia="Malgun Gothic" w:hAnsi="Malgun Gothic"/>
          <w:b/>
          <w:bCs/>
          <w:sz w:val="18"/>
          <w:szCs w:val="18"/>
        </w:rPr>
        <w:t xml:space="preserve">(우리의 경쟁우위는 자동화 자체에만 있는 것이 아니다. 미생물학, 장비, 시약, 소프트웨어와 고객의 업무지식을 결합하여 신뢰할 수 있는 QC 솔루션을 만드는 능력에 있다.)</w:t>
      </w:r>
    </w:p>
    <w:p>
      <w:pPr>
        <w:spacing w:after="30" w:before="30"/>
      </w:pPr>
      <w:r>
        <w:rPr>
          <w:rFonts w:ascii="Malgun Gothic" w:cs="Malgun Gothic" w:eastAsia="Malgun Gothic" w:hAnsi="Malgun Gothic"/>
          <w:i/>
          <w:iCs/>
          <w:sz w:val="19"/>
          <w:szCs w:val="19"/>
        </w:rPr>
        <w:t xml:space="preserve">생각해보기 (b): 회사가 스스로를 쇄신하도록 돕는 역량은 무엇인가?</w:t>
      </w:r>
    </w:p>
    <w:p>
      <w:pPr>
        <w:spacing w:after="100" w:line="250"/>
        <w:ind w:left="160"/>
        <w:jc w:val="both"/>
      </w:pPr>
      <w:r>
        <w:rPr>
          <w:rFonts w:ascii="Malgun Gothic" w:cs="Malgun Gothic" w:eastAsia="Malgun Gothic" w:hAnsi="Malgun Gothic"/>
          <w:sz w:val="19"/>
          <w:szCs w:val="19"/>
        </w:rPr>
        <w:t xml:space="preserve">회사 스스로를 쇄신하게 하는 가장 중요한 동력은 지속적인 시장성장에 대한 강한 의지이다. 우리 회사는 일부 사업영역에서는 시장을 선도하고 있지만, 제약 자동화나 통합 QC 솔루션 영역에서는 여전히 후발주자의 성격을 가지고 있다. 이는 약점일 수 있지만, 동시에 변화의 동력이 될 수 있다 — 기존 방식만으로는 시장을 따라잡기 어렵기 때문에 새로운 제품, 인수합병, 자동화, 소프트웨어와 새로운 사업모델을 계속 탐색하게 만들기 때문이다.</w:t>
      </w:r>
    </w:p>
    <w:p>
      <w:pPr>
        <w:spacing w:after="100" w:line="250"/>
        <w:ind w:left="160"/>
        <w:jc w:val="both"/>
      </w:pPr>
      <w:r>
        <w:rPr>
          <w:rFonts w:ascii="Malgun Gothic" w:cs="Malgun Gothic" w:eastAsia="Malgun Gothic" w:hAnsi="Malgun Gothic"/>
          <w:sz w:val="19"/>
          <w:szCs w:val="19"/>
        </w:rPr>
        <w:t xml:space="preserve">다만 '성장에 대한 욕망'만으로는 충분하지 않다. 성장욕구가 실제 쇄신역량이 되기 위해서는 시장에서 빠르게 학습하고, 실패를 인정하며, 새로운 지식을 조직 안에 축적하는 능력이 필요하다. 필요한 역량은 외부의 유망한 기술과 회사를 발견하고 인수하는 능력, 인수한 기술을 기존 제품과 고객기반에 통합하는 능력, 고객의 변화하는 요구를 빠르게 파악하는 능력, Global Solution을 Local GMP 환경에 맞게 적용하는 능력, 그리고 한 고객 프로젝트에서 얻은 경험을 다음 고객에게 적용할 수 있는 표준역량으로 전환하는 능력이다. 현재 회사는 성장하려는 의지와 새로운 기술을 찾는 능력은 강하지만, 진정한 쇄신을 위해서는 인수와 제품출시 이후의 통합, 현지화, 실행과 조직학습 역량을 더 강화해야 한다.</w:t>
      </w:r>
    </w:p>
    <w:p>
      <w:pPr>
        <w:spacing w:after="20" w:line="250"/>
        <w:ind w:left="160"/>
        <w:jc w:val="both"/>
      </w:pPr>
      <w:r>
        <w:rPr>
          <w:rFonts w:ascii="Malgun Gothic" w:cs="Malgun Gothic" w:eastAsia="Malgun Gothic" w:hAnsi="Malgun Gothic"/>
          <w:b/>
          <w:bCs/>
          <w:i/>
          <w:iCs/>
          <w:sz w:val="19"/>
          <w:szCs w:val="19"/>
        </w:rPr>
        <w:t xml:space="preserve">The desire for market growth gives our company the motivation to renew, but renewal becomes a real capability only when the company can turn external technologies and customer learning into repeatable organizational knowledge.</w:t>
      </w:r>
    </w:p>
    <w:p>
      <w:pPr>
        <w:spacing w:after="110" w:line="250"/>
        <w:ind w:left="160"/>
        <w:jc w:val="both"/>
      </w:pPr>
      <w:r>
        <w:rPr>
          <w:rFonts w:ascii="Malgun Gothic" w:cs="Malgun Gothic" w:eastAsia="Malgun Gothic" w:hAnsi="Malgun Gothic"/>
          <w:b/>
          <w:bCs/>
          <w:sz w:val="18"/>
          <w:szCs w:val="18"/>
        </w:rPr>
        <w:t xml:space="preserve">(시장성장에 대한 의지는 회사가 쇄신하도록 동기를 제공하지만, 외부 기술과 고객에게서 얻은 학습을 반복 가능한 조직지식으로 전환할 때 비로소 진정한 쇄신역량이 된다.)</w:t>
      </w:r>
    </w:p>
    <w:p>
      <w:pPr>
        <w:pStyle w:val="Heading2"/>
        <w:spacing w:after="30" w:before="140"/>
      </w:pPr>
      <w:r>
        <w:rPr>
          <w:rFonts w:ascii="Malgun Gothic" w:cs="Malgun Gothic" w:eastAsia="Malgun Gothic" w:hAnsi="Malgun Gothic"/>
          <w:b/>
          <w:bCs/>
          <w:sz w:val="21"/>
          <w:szCs w:val="21"/>
        </w:rPr>
        <w:t xml:space="preserve">이번 모듈에서 답을 찾고 싶은 핵심 질문</w:t>
      </w:r>
    </w:p>
    <w:p>
      <w:pPr>
        <w:spacing w:after="100" w:line="250"/>
        <w:ind w:left="160"/>
        <w:jc w:val="both"/>
      </w:pPr>
      <w:r>
        <w:rPr>
          <w:rFonts w:ascii="Malgun Gothic" w:cs="Malgun Gothic" w:eastAsia="Malgun Gothic" w:hAnsi="Malgun Gothic"/>
          <w:sz w:val="19"/>
          <w:szCs w:val="19"/>
        </w:rPr>
        <w:t xml:space="preserve">이번 모듈에서 내가 가장 알고 싶은 것은, 기존 기업이 자신을 성공하게 만든 강점을 잃지 않으면서 어떻게 재창조되는가, 그리고 새로운 리더가 그 재창조를 이끌 신뢰를 어떻게 빠르게 얻는가이다. 나는 리더가 어떤 역량을 지키고, 새로 만들고, 멈춰야 하는지 어떻게 판단하는지, 그리고 Local Team이 글로벌 조직에 영향을 주어 현지 시장 지식이 매번 새로운 리더가 처음부터 다시 배워야 하는 것이 아니라 지속되는 역량이 되게 하려면 어떻게 해야 하는지 알고 싶다.</w:t>
      </w:r>
    </w:p>
    <w:sectPr>
      <w:pgSz w:w="11906" w:h="16838" w:orient="portrait"/>
      <w:pgMar w:top="760" w:right="820" w:bottom="76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2026-07-19T20:21:15.093Z</dcterms:created>
  <dcterms:modified xsi:type="dcterms:W3CDTF">2026-07-19T20:21:15.093Z</dcterms:modified>
</cp:coreProperties>
</file>

<file path=docProps/custom.xml><?xml version="1.0" encoding="utf-8"?>
<Properties xmlns="http://schemas.openxmlformats.org/officeDocument/2006/custom-properties" xmlns:vt="http://schemas.openxmlformats.org/officeDocument/2006/docPropsVTypes"/>
</file>