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宋体"/>
          <w:b/>
          <w:bCs/>
          <w:sz w:val="30"/>
          <w:szCs w:val="30"/>
          <w:lang w:val="en-US" w:eastAsia="zh-CN"/>
        </w:rPr>
      </w:pPr>
      <w:bookmarkStart w:id="0" w:name="_GoBack"/>
      <w:r>
        <w:rPr>
          <w:rFonts w:hint="eastAsia"/>
          <w:b/>
          <w:bCs/>
          <w:sz w:val="30"/>
          <w:szCs w:val="30"/>
          <w:lang w:val="en-US" w:eastAsia="zh-CN"/>
        </w:rPr>
        <w:t>专业技术报告鉴定意见表</w:t>
      </w:r>
    </w:p>
    <w:bookmarkEnd w:id="0"/>
    <w:tbl>
      <w:tblPr>
        <w:tblStyle w:val="3"/>
        <w:tblpPr w:leftFromText="180" w:rightFromText="180" w:vertAnchor="page" w:horzAnchor="page" w:tblpX="2245" w:tblpY="22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2"/>
        <w:gridCol w:w="1911"/>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82"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r>
            <w:r>
              <w:rPr>
                <w:rFonts w:ascii="仿宋" w:hAnsi="仿宋" w:eastAsia="仿宋"/>
                <w:sz w:val="28"/>
              </w:rPr>
              <w:t>《"11.18"2B氧化风机跳闸异常分析报告》</w:t>
            </w:r>
          </w:p>
        </w:tc>
        <w:tc>
          <w:tcPr>
            <w:tcW w:w="6173" w:type="dxa"/>
            <w:gridSpan w:val="3"/>
            <w:noWrap w:val="0"/>
            <w:vAlign w:val="center"/>
          </w:tcPr>
          <w:p>
            <w:pPr>
              <w:jc w:val="center"/>
              <w:rPr>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82"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t>完成人</w:t>
            </w:r>
          </w:p>
        </w:tc>
        <w:tc>
          <w:tcPr>
            <w:tcW w:w="1911" w:type="dxa"/>
            <w:noWrap w:val="0"/>
            <w:vAlign w:val="center"/>
          </w:tcPr>
          <w:p>
            <w:pPr>
              <w:jc w:val="center"/>
              <w:rPr>
                <w:sz w:val="28"/>
                <w:szCs w:val="28"/>
                <w:vertAlign w:val="baseline"/>
              </w:rPr>
            </w:pPr>
            <w:r>
              <w:rPr>
                <w:rFonts w:ascii="仿宋" w:hAnsi="仿宋" w:eastAsia="仿宋"/>
                <w:sz w:val="24"/>
              </w:rPr>
              <w:t>刘祺</w:t>
            </w:r>
          </w:p>
        </w:tc>
        <w:tc>
          <w:tcPr>
            <w:tcW w:w="2131"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t>完成时间</w:t>
            </w:r>
          </w:p>
        </w:tc>
        <w:tc>
          <w:tcPr>
            <w:tcW w:w="2131" w:type="dxa"/>
            <w:noWrap w:val="0"/>
            <w:vAlign w:val="center"/>
          </w:tcPr>
          <w:p>
            <w:pPr>
              <w:jc w:val="center"/>
              <w:rPr>
                <w:sz w:val="28"/>
                <w:szCs w:val="28"/>
                <w:vertAlign w:val="baseline"/>
              </w:rPr>
            </w:pPr>
            <w:r>
              <w:rPr>
                <w:rFonts w:ascii="仿宋" w:hAnsi="仿宋" w:eastAsia="仿宋"/>
                <w:sz w:val="24"/>
              </w:rPr>
              <w:t>2024年11月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82"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r>
            <w:r>
              <w:rPr>
                <w:rFonts w:ascii="仿宋" w:hAnsi="仿宋" w:eastAsia="仿宋"/>
                <w:sz w:val="24"/>
              </w:rPr>
              <w:t>设备管理部热控班</w:t>
            </w:r>
          </w:p>
        </w:tc>
        <w:tc>
          <w:tcPr>
            <w:tcW w:w="6173" w:type="dxa"/>
            <w:gridSpan w:val="3"/>
            <w:noWrap w:val="0"/>
            <w:vAlign w:val="center"/>
          </w:tcPr>
          <w:p>
            <w:pPr>
              <w:jc w:val="center"/>
              <w:rPr>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8355" w:type="dxa"/>
            <w:gridSpan w:val="4"/>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t>鉴定意见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8" w:hRule="atLeast"/>
        </w:trPr>
        <w:tc>
          <w:tcPr>
            <w:tcW w:w="8355" w:type="dxa"/>
            <w:gridSpan w:val="4"/>
            <w:noWrap w:val="0"/>
            <w:vAlign w:val="top"/>
          </w:tcPr>
          <w:p>
            <w:r>
              <w:t>南阳中誉发电有限公司2×1000MW项目</w:t>
              <w:br/>
              <w:t>技术内容简要概述和鉴定结论：</w:t>
              <w:br/>
              <w:t>该报告针对2024年11月18日2B氧化风机在定期切换运行过程中发生跳闸的异常事件进行了深入分析。报告详细记录了事件发生前的运行方式、跳闸经过及处理情况，通过对设备接线、保护逻辑等方面的排查，明确了跳闸的直接原因（出口电动门失电触发保护动作）和间接原因（设备维护不到位、接线松动、跳闸逻辑设置不合理等），提出了增加阀门接线定期检查维护、排查重要辅机保护设置等改进措施。</w:t>
              <w:br/>
              <w:t>本人主要参与了该异常事件的原因分析、保护逻辑排查及改进措施制定工作，负责氧化风机跳闸逻辑分析及10kV设备单点保护排查，提出了保护逻辑优化建议。</w:t>
              <w:br/>
              <w:t>该报告技术内容详实，原因分析准确，提出的改进措施具有较强的针对性和可操作性。通过实施改进措施，有效消除了设备安全隐患，防止了保护误动，提升了氧化风机运行的稳定性和安全性。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noWrap w:val="0"/>
            <w:vAlign w:val="center"/>
          </w:tcPr>
          <w:p>
            <w:pPr>
              <w:jc w:val="center"/>
              <w:rPr>
                <w:rFonts w:hint="eastAsia"/>
                <w:sz w:val="28"/>
                <w:szCs w:val="28"/>
                <w:vertAlign w:val="baseline"/>
                <w:lang w:val="en-US" w:eastAsia="zh-CN"/>
              </w:rPr>
            </w:pPr>
            <w:r>
              <w:rPr>
                <w:rFonts w:hint="eastAsia"/>
                <w:sz w:val="28"/>
                <w:szCs w:val="28"/>
                <w:vertAlign w:val="baseline"/>
                <w:lang w:val="en-US" w:eastAsia="zh-CN"/>
              </w:rPr>
              <w:t>专业负责人签字</w:t>
            </w:r>
          </w:p>
        </w:tc>
        <w:tc>
          <w:tcPr>
            <w:tcW w:w="6173" w:type="dxa"/>
            <w:gridSpan w:val="3"/>
            <w:noWrap w:val="0"/>
            <w:vAlign w:val="top"/>
          </w:tcPr>
          <w:p>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noWrap w:val="0"/>
            <w:vAlign w:val="center"/>
          </w:tcPr>
          <w:p>
            <w:pPr>
              <w:jc w:val="center"/>
              <w:rPr>
                <w:rFonts w:hint="eastAsia"/>
                <w:sz w:val="28"/>
                <w:szCs w:val="28"/>
                <w:vertAlign w:val="baseline"/>
                <w:lang w:val="en-US" w:eastAsia="zh-CN"/>
              </w:rPr>
            </w:pPr>
            <w:r>
              <w:rPr>
                <w:rFonts w:hint="eastAsia"/>
                <w:sz w:val="28"/>
                <w:szCs w:val="28"/>
                <w:vertAlign w:val="baseline"/>
                <w:lang w:val="en-US" w:eastAsia="zh-CN"/>
              </w:rPr>
              <w:t>职务及职称</w:t>
            </w:r>
          </w:p>
        </w:tc>
        <w:tc>
          <w:tcPr>
            <w:tcW w:w="6173" w:type="dxa"/>
            <w:gridSpan w:val="3"/>
            <w:noWrap w:val="0"/>
            <w:vAlign w:val="top"/>
          </w:tcPr>
          <w:p>
            <w:r>
              <w:t>热控班组长 / 热控工程师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noWrap w:val="0"/>
            <w:vAlign w:val="center"/>
          </w:tcPr>
          <w:p>
            <w:pPr>
              <w:jc w:val="center"/>
              <w:rPr>
                <w:rFonts w:hint="eastAsia"/>
                <w:sz w:val="28"/>
                <w:szCs w:val="28"/>
                <w:vertAlign w:val="baseline"/>
                <w:lang w:val="en-US" w:eastAsia="zh-CN"/>
              </w:rPr>
            </w:pPr>
            <w:r>
              <w:rPr>
                <w:rFonts w:hint="eastAsia"/>
                <w:sz w:val="28"/>
                <w:szCs w:val="28"/>
                <w:vertAlign w:val="baseline"/>
                <w:lang w:val="en-US" w:eastAsia="zh-CN"/>
              </w:rPr>
              <w:t>鉴定时间</w:t>
            </w:r>
          </w:p>
        </w:tc>
        <w:tc>
          <w:tcPr>
            <w:tcW w:w="6173" w:type="dxa"/>
            <w:gridSpan w:val="3"/>
            <w:noWrap w:val="0"/>
            <w:vAlign w:val="top"/>
          </w:tcPr>
          <w:p>
            <w:r>
              <w:t>2024年12月</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3YzhhNTU5MGU3MGJlMTFjNDVkOWU0ODE4NWY5ZDIifQ=="/>
    <w:docVar w:name="KSO_WPS_MARK_KEY" w:val="37eeeae6-125a-47ca-b026-cd1aab672176"/>
  </w:docVars>
  <w:rsids>
    <w:rsidRoot w:val="7B9175BB"/>
    <w:rsid w:val="7B917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2024-04-28T02:25:00Z</dcterms:created>
  <dc:creator>乐乐</dc:creator>
  <cp:lastModifiedBy>乐乐</cp:lastModifiedBy>
  <dcterms:modified xsi:type="dcterms:W3CDTF">2024-04-28T02:25:46Z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533A1D2F49974FDA85A6B5463F7CC3FE_11</vt:lpwstr>
  </property>
</Properties>
</file>