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960"/>
        <w:jc w:val="center"/>
      </w:pPr>
      <w:r>
        <w:rPr>
          <w:rFonts w:ascii="方正小标宋" w:hAnsi="方正小标宋" w:eastAsia="方正小标宋"/>
          <w:b/>
          <w:color w:val="000000"/>
          <w:sz w:val="44"/>
        </w:rPr>
        <w:t>2号机组空预器停转信号异常分析及保护逻辑优化技术报告</w:t>
      </w:r>
    </w:p>
    <w:tbl>
      <w:tblPr>
        <w:tblW w:type="auto" w:w="0"/>
        <w:jc w:val="center"/>
        <w:tblLook w:firstColumn="1" w:firstRow="1" w:lastColumn="0" w:lastRow="0" w:noHBand="0" w:noVBand="1" w:val="04A0"/>
      </w:tblPr>
      <w:tblGrid>
        <w:gridCol w:w="4317"/>
        <w:gridCol w:w="4317"/>
      </w:tblGrid>
      <w:tr>
        <w:tc>
          <w:tcPr>
            <w:tcW w:type="dxa" w:w="2268"/>
          </w:tcPr>
          <w:p>
            <w:pPr>
              <w:jc w:val="center"/>
            </w:pPr>
            <w:r>
              <w:rPr>
                <w:rFonts w:ascii="黑体" w:hAnsi="黑体" w:eastAsia="黑体"/>
                <w:sz w:val="24"/>
              </w:rPr>
              <w:t>专业技术报告名称</w:t>
            </w:r>
          </w:p>
        </w:tc>
        <w:tc>
          <w:tcPr>
            <w:tcW w:type="dxa" w:w="5669"/>
          </w:tcPr>
          <w:p>
            <w:pPr>
              <w:jc w:val="center"/>
            </w:pPr>
            <w:r>
              <w:rPr>
                <w:rFonts w:ascii="仿宋" w:hAnsi="仿宋" w:eastAsia="仿宋"/>
                <w:sz w:val="24"/>
              </w:rPr>
              <w:t>2号机组空预器停转信号异常分析及保护逻辑优化技术报告</w:t>
            </w:r>
          </w:p>
        </w:tc>
      </w:tr>
      <w:tr>
        <w:tc>
          <w:tcPr>
            <w:tcW w:type="dxa" w:w="2268"/>
          </w:tcPr>
          <w:p>
            <w:pPr>
              <w:jc w:val="center"/>
            </w:pPr>
            <w:r>
              <w:rPr>
                <w:rFonts w:ascii="黑体" w:hAnsi="黑体" w:eastAsia="黑体"/>
                <w:sz w:val="24"/>
              </w:rPr>
              <w:t>报告作者</w:t>
            </w:r>
          </w:p>
        </w:tc>
        <w:tc>
          <w:tcPr>
            <w:tcW w:type="dxa" w:w="5669"/>
          </w:tcPr>
          <w:p>
            <w:pPr>
              <w:jc w:val="center"/>
            </w:pPr>
            <w:r>
              <w:rPr>
                <w:rFonts w:ascii="仿宋" w:hAnsi="仿宋" w:eastAsia="仿宋"/>
                <w:sz w:val="24"/>
              </w:rPr>
              <w:t>刘祺</w:t>
            </w:r>
          </w:p>
        </w:tc>
      </w:tr>
      <w:tr>
        <w:tc>
          <w:tcPr>
            <w:tcW w:type="dxa" w:w="2268"/>
          </w:tcPr>
          <w:p>
            <w:pPr>
              <w:jc w:val="center"/>
            </w:pPr>
            <w:r>
              <w:rPr>
                <w:rFonts w:ascii="黑体" w:hAnsi="黑体" w:eastAsia="黑体"/>
                <w:sz w:val="24"/>
              </w:rPr>
              <w:t>所在部门</w:t>
            </w:r>
          </w:p>
        </w:tc>
        <w:tc>
          <w:tcPr>
            <w:tcW w:type="dxa" w:w="5669"/>
          </w:tcPr>
          <w:p>
            <w:pPr>
              <w:jc w:val="center"/>
            </w:pPr>
            <w:r>
              <w:rPr>
                <w:rFonts w:ascii="仿宋" w:hAnsi="仿宋" w:eastAsia="仿宋"/>
                <w:sz w:val="24"/>
              </w:rPr>
              <w:t>设备管理部热控班</w:t>
            </w:r>
          </w:p>
        </w:tc>
      </w:tr>
      <w:tr>
        <w:tc>
          <w:tcPr>
            <w:tcW w:type="dxa" w:w="2268"/>
          </w:tcPr>
          <w:p>
            <w:pPr>
              <w:jc w:val="center"/>
            </w:pPr>
            <w:r>
              <w:rPr>
                <w:rFonts w:ascii="黑体" w:hAnsi="黑体" w:eastAsia="黑体"/>
                <w:sz w:val="24"/>
              </w:rPr>
              <w:t>本人角色</w:t>
            </w:r>
          </w:p>
        </w:tc>
        <w:tc>
          <w:tcPr>
            <w:tcW w:type="dxa" w:w="5669"/>
          </w:tcPr>
          <w:p>
            <w:pPr>
              <w:jc w:val="center"/>
            </w:pPr>
            <w:r>
              <w:rPr>
                <w:rFonts w:ascii="仿宋" w:hAnsi="仿宋" w:eastAsia="仿宋"/>
                <w:sz w:val="24"/>
              </w:rPr>
              <w:t>主要参与人</w:t>
            </w:r>
          </w:p>
        </w:tc>
      </w:tr>
      <w:tr>
        <w:tc>
          <w:tcPr>
            <w:tcW w:type="dxa" w:w="2268"/>
          </w:tcPr>
          <w:p>
            <w:pPr>
              <w:jc w:val="center"/>
            </w:pPr>
            <w:r>
              <w:rPr>
                <w:rFonts w:ascii="黑体" w:hAnsi="黑体" w:eastAsia="黑体"/>
                <w:sz w:val="24"/>
              </w:rPr>
              <w:t>报告日期</w:t>
            </w:r>
          </w:p>
        </w:tc>
        <w:tc>
          <w:tcPr>
            <w:tcW w:type="dxa" w:w="5669"/>
          </w:tcPr>
          <w:p>
            <w:pPr>
              <w:jc w:val="center"/>
            </w:pPr>
            <w:r>
              <w:rPr>
                <w:rFonts w:ascii="仿宋" w:hAnsi="仿宋" w:eastAsia="仿宋"/>
                <w:sz w:val="24"/>
              </w:rPr>
              <w:t>2026年4月</w:t>
            </w:r>
          </w:p>
        </w:tc>
      </w:tr>
    </w:tbl>
    <w:p>
      <w:r>
        <w:br w:type="page"/>
      </w:r>
    </w:p>
    <w:p>
      <w:pPr>
        <w:spacing w:before="0" w:after="720"/>
        <w:jc w:val="center"/>
      </w:pPr>
      <w:r>
        <w:rPr>
          <w:rFonts w:ascii="方正小标宋" w:hAnsi="方正小标宋" w:eastAsia="方正小标宋"/>
          <w:b/>
          <w:sz w:val="32"/>
        </w:rPr>
        <w:t>专业技术报告编、审、批页</w:t>
      </w:r>
    </w:p>
    <w:tbl>
      <w:tblPr>
        <w:tblStyle w:val="TableGrid"/>
        <w:tblW w:type="auto" w:w="0"/>
        <w:jc w:val="center"/>
        <w:tblLook w:firstColumn="1" w:firstRow="1" w:lastColumn="0" w:lastRow="0" w:noHBand="0" w:noVBand="1" w:val="04A0"/>
      </w:tblPr>
      <w:tblGrid>
        <w:gridCol w:w="2158"/>
        <w:gridCol w:w="2158"/>
        <w:gridCol w:w="2158"/>
        <w:gridCol w:w="2158"/>
      </w:tblGrid>
      <w:tr>
        <w:trPr>
          <w:trHeight w:val="850"/>
        </w:trPr>
        <w:tc>
          <w:tcPr>
            <w:tcW w:type="dxa" w:w="2158"/>
          </w:tcPr>
          <w:p>
            <w:pPr>
              <w:jc w:val="center"/>
            </w:pPr>
            <w:r>
              <w:rPr>
                <w:rFonts w:ascii="黑体" w:hAnsi="黑体" w:eastAsia="黑体"/>
                <w:b/>
                <w:sz w:val="21"/>
              </w:rPr>
              <w:t>角色</w:t>
            </w:r>
          </w:p>
        </w:tc>
        <w:tc>
          <w:tcPr>
            <w:tcW w:type="dxa" w:w="2158"/>
          </w:tcPr>
          <w:p>
            <w:pPr>
              <w:jc w:val="center"/>
            </w:pPr>
            <w:r>
              <w:rPr>
                <w:rFonts w:ascii="黑体" w:hAnsi="黑体" w:eastAsia="黑体"/>
                <w:b/>
                <w:sz w:val="21"/>
              </w:rPr>
              <w:t>姓名</w:t>
            </w:r>
          </w:p>
        </w:tc>
        <w:tc>
          <w:tcPr>
            <w:tcW w:type="dxa" w:w="2158"/>
          </w:tcPr>
          <w:p>
            <w:pPr>
              <w:jc w:val="center"/>
            </w:pPr>
            <w:r>
              <w:rPr>
                <w:rFonts w:ascii="黑体" w:hAnsi="黑体" w:eastAsia="黑体"/>
                <w:b/>
                <w:sz w:val="21"/>
              </w:rPr>
              <w:t>职称/职务</w:t>
            </w:r>
          </w:p>
        </w:tc>
        <w:tc>
          <w:tcPr>
            <w:tcW w:type="dxa" w:w="2158"/>
          </w:tcPr>
          <w:p>
            <w:pPr>
              <w:jc w:val="center"/>
            </w:pPr>
            <w:r>
              <w:rPr>
                <w:rFonts w:ascii="黑体" w:hAnsi="黑体" w:eastAsia="黑体"/>
                <w:b/>
                <w:sz w:val="21"/>
              </w:rPr>
              <w:t>签字/日期</w:t>
            </w:r>
          </w:p>
        </w:tc>
      </w:tr>
      <w:tr>
        <w:trPr>
          <w:trHeight w:val="850"/>
        </w:trPr>
        <w:tc>
          <w:tcPr>
            <w:tcW w:type="dxa" w:w="2158"/>
          </w:tcPr>
          <w:p>
            <w:pPr>
              <w:jc w:val="center"/>
            </w:pPr>
            <w:r>
              <w:rPr>
                <w:rFonts w:ascii="仿宋" w:hAnsi="仿宋" w:eastAsia="仿宋"/>
                <w:sz w:val="21"/>
              </w:rPr>
              <w:t>编制</w:t>
            </w:r>
          </w:p>
        </w:tc>
        <w:tc>
          <w:tcPr>
            <w:tcW w:type="dxa" w:w="2158"/>
          </w:tcPr>
          <w:p>
            <w:pPr>
              <w:jc w:val="center"/>
            </w:pPr>
            <w:r>
              <w:rPr>
                <w:rFonts w:ascii="仿宋" w:hAnsi="仿宋" w:eastAsia="仿宋"/>
                <w:sz w:val="21"/>
              </w:rPr>
              <w:t>刘祺</w:t>
            </w:r>
          </w:p>
        </w:tc>
        <w:tc>
          <w:tcPr>
            <w:tcW w:type="dxa" w:w="2158"/>
          </w:tcPr>
          <w:p>
            <w:pPr>
              <w:jc w:val="center"/>
            </w:pPr>
            <w:r>
              <w:rPr>
                <w:rFonts w:ascii="仿宋" w:hAnsi="仿宋" w:eastAsia="仿宋"/>
                <w:sz w:val="21"/>
              </w:rPr>
              <w:t>助理工程师</w:t>
            </w:r>
          </w:p>
        </w:tc>
        <w:tc>
          <w:tcPr>
            <w:tcW w:type="dxa" w:w="2158"/>
          </w:tcPr>
          <w:p>
            <w:pPr>
              <w:jc w:val="center"/>
            </w:pPr>
            <w:r>
              <w:rPr>
                <w:rFonts w:ascii="仿宋" w:hAnsi="仿宋" w:eastAsia="仿宋"/>
                <w:sz w:val="21"/>
              </w:rPr>
            </w:r>
          </w:p>
        </w:tc>
      </w:tr>
      <w:tr>
        <w:trPr>
          <w:trHeight w:val="850"/>
        </w:trPr>
        <w:tc>
          <w:tcPr>
            <w:tcW w:type="dxa" w:w="2158"/>
          </w:tcPr>
          <w:p>
            <w:pPr>
              <w:jc w:val="center"/>
            </w:pPr>
            <w:r>
              <w:rPr>
                <w:rFonts w:ascii="仿宋" w:hAnsi="仿宋" w:eastAsia="仿宋"/>
                <w:sz w:val="21"/>
              </w:rPr>
              <w:t>审核</w:t>
            </w:r>
          </w:p>
        </w:tc>
        <w:tc>
          <w:tcPr>
            <w:tcW w:type="dxa" w:w="2158"/>
          </w:tcPr>
          <w:p>
            <w:pPr>
              <w:jc w:val="center"/>
            </w:pPr>
            <w:r>
              <w:rPr>
                <w:rFonts w:ascii="仿宋" w:hAnsi="仿宋" w:eastAsia="仿宋"/>
                <w:sz w:val="21"/>
              </w:rPr>
            </w:r>
          </w:p>
        </w:tc>
        <w:tc>
          <w:tcPr>
            <w:tcW w:type="dxa" w:w="2158"/>
          </w:tcPr>
          <w:p>
            <w:pPr>
              <w:jc w:val="center"/>
            </w:pPr>
            <w:r>
              <w:rPr>
                <w:rFonts w:ascii="仿宋" w:hAnsi="仿宋" w:eastAsia="仿宋"/>
                <w:sz w:val="21"/>
              </w:rPr>
              <w:t>工程师/专工</w:t>
            </w:r>
          </w:p>
        </w:tc>
        <w:tc>
          <w:tcPr>
            <w:tcW w:type="dxa" w:w="2158"/>
          </w:tcPr>
          <w:p>
            <w:pPr>
              <w:jc w:val="center"/>
            </w:pPr>
            <w:r>
              <w:rPr>
                <w:rFonts w:ascii="仿宋" w:hAnsi="仿宋" w:eastAsia="仿宋"/>
                <w:sz w:val="21"/>
              </w:rPr>
            </w:r>
          </w:p>
        </w:tc>
      </w:tr>
      <w:tr>
        <w:trPr>
          <w:trHeight w:val="850"/>
        </w:trPr>
        <w:tc>
          <w:tcPr>
            <w:tcW w:type="dxa" w:w="2158"/>
          </w:tcPr>
          <w:p>
            <w:pPr>
              <w:jc w:val="center"/>
            </w:pPr>
            <w:r>
              <w:rPr>
                <w:rFonts w:ascii="仿宋" w:hAnsi="仿宋" w:eastAsia="仿宋"/>
                <w:sz w:val="21"/>
              </w:rPr>
              <w:t>批准</w:t>
            </w:r>
          </w:p>
        </w:tc>
        <w:tc>
          <w:tcPr>
            <w:tcW w:type="dxa" w:w="2158"/>
          </w:tcPr>
          <w:p>
            <w:pPr>
              <w:jc w:val="center"/>
            </w:pPr>
            <w:r>
              <w:rPr>
                <w:rFonts w:ascii="仿宋" w:hAnsi="仿宋" w:eastAsia="仿宋"/>
                <w:sz w:val="21"/>
              </w:rPr>
            </w:r>
          </w:p>
        </w:tc>
        <w:tc>
          <w:tcPr>
            <w:tcW w:type="dxa" w:w="2158"/>
          </w:tcPr>
          <w:p>
            <w:pPr>
              <w:jc w:val="center"/>
            </w:pPr>
            <w:r>
              <w:rPr>
                <w:rFonts w:ascii="仿宋" w:hAnsi="仿宋" w:eastAsia="仿宋"/>
                <w:sz w:val="21"/>
              </w:rPr>
              <w:t>高级工程师/部门主任</w:t>
            </w:r>
          </w:p>
        </w:tc>
        <w:tc>
          <w:tcPr>
            <w:tcW w:type="dxa" w:w="2158"/>
          </w:tcPr>
          <w:p>
            <w:pPr>
              <w:jc w:val="center"/>
            </w:pPr>
            <w:r>
              <w:rPr>
                <w:rFonts w:ascii="仿宋" w:hAnsi="仿宋" w:eastAsia="仿宋"/>
                <w:sz w:val="21"/>
              </w:rPr>
            </w:r>
          </w:p>
        </w:tc>
      </w:tr>
    </w:tbl>
    <w:p>
      <w:r>
        <w:br w:type="page"/>
      </w:r>
    </w:p>
    <w:p>
      <w:pPr>
        <w:spacing w:before="0" w:after="480"/>
        <w:jc w:val="center"/>
      </w:pPr>
      <w:r>
        <w:rPr>
          <w:rFonts w:ascii="方正小标宋" w:hAnsi="方正小标宋" w:eastAsia="方正小标宋"/>
          <w:b/>
          <w:sz w:val="32"/>
        </w:rPr>
        <w:t>前 言</w:t>
      </w:r>
    </w:p>
    <w:p>
      <w:pPr>
        <w:spacing w:before="0" w:after="240" w:line="560" w:lineRule="exact"/>
        <w:ind w:firstLine="420"/>
        <w:jc w:val="both"/>
      </w:pPr>
      <w:r>
        <w:rPr>
          <w:rFonts w:ascii="仿宋" w:hAnsi="仿宋" w:eastAsia="仿宋"/>
          <w:sz w:val="32"/>
        </w:rPr>
        <w:t>本报告为本人参与完成的2号机组空预器停转保护系统优化专业技术报告。本人在该项目中担任主要参与人，主要负责报告内容的编写及相关技术资料的整理。</w:t>
      </w:r>
    </w:p>
    <w:p>
      <w:pPr>
        <w:spacing w:before="0" w:after="240" w:line="560" w:lineRule="exact"/>
        <w:ind w:firstLine="420"/>
        <w:jc w:val="both"/>
      </w:pPr>
      <w:r>
        <w:rPr>
          <w:rFonts w:ascii="仿宋" w:hAnsi="仿宋" w:eastAsia="仿宋"/>
          <w:sz w:val="32"/>
        </w:rPr>
        <w:t>本报告所述内容均基于南阳中誉发电有限公司2号炉空预器系统实际运行中发生的技术问题及改造优化项目，所有数据、分析过程及改进措施均来源于现场实际工作经验。</w:t>
      </w:r>
    </w:p>
    <w:p>
      <w:pPr>
        <w:spacing w:before="0" w:after="240" w:line="560" w:lineRule="exact"/>
        <w:ind w:firstLine="420"/>
        <w:jc w:val="both"/>
      </w:pPr>
      <w:r>
        <w:rPr>
          <w:rFonts w:ascii="仿宋" w:hAnsi="仿宋" w:eastAsia="仿宋"/>
          <w:sz w:val="32"/>
        </w:rPr>
        <w:t>报告中涉及的技术方案、分析结论及改进措施均已通过现场实践验证，取得了良好的应用效果，为机组的安全稳定运行提供了技术保障。</w:t>
      </w:r>
    </w:p>
    <w:p>
      <w:pPr>
        <w:spacing w:before="0" w:after="240" w:line="560" w:lineRule="exact"/>
        <w:ind w:firstLine="420"/>
        <w:jc w:val="both"/>
      </w:pPr>
      <w:r>
        <w:rPr>
          <w:rFonts w:ascii="仿宋" w:hAnsi="仿宋" w:eastAsia="仿宋"/>
          <w:sz w:val="32"/>
        </w:rPr>
        <w:t>本人郑重声明：本报告内容真实、数据准确，为本人独立完成。</w:t>
      </w:r>
    </w:p>
    <w:p>
      <w:pPr>
        <w:spacing w:before="720" w:after="0"/>
        <w:jc w:val="right"/>
      </w:pPr>
      <w:r>
        <w:rPr>
          <w:rFonts w:ascii="仿宋" w:hAnsi="仿宋" w:eastAsia="仿宋"/>
          <w:sz w:val="32"/>
        </w:rPr>
        <w:t>报告编写：刘祺</w:t>
        <w:br/>
        <w:t>日    期：2026年4月</w:t>
      </w:r>
    </w:p>
    <w:p>
      <w:r>
        <w:br w:type="page"/>
      </w:r>
    </w:p>
    <w:p>
      <w:pPr>
        <w:spacing w:before="0" w:after="480"/>
        <w:jc w:val="center"/>
      </w:pPr>
      <w:r>
        <w:rPr>
          <w:rFonts w:ascii="方正小标宋" w:hAnsi="方正小标宋" w:eastAsia="方正小标宋"/>
          <w:b/>
          <w:sz w:val="32"/>
        </w:rPr>
        <w:t>目 录</w:t>
      </w:r>
    </w:p>
    <w:p>
      <w:pPr>
        <w:spacing w:before="120" w:after="120" w:line="560" w:lineRule="exact"/>
      </w:pPr>
      <w:r>
        <w:rPr>
          <w:rFonts w:ascii="仿宋" w:hAnsi="仿宋" w:eastAsia="仿宋"/>
          <w:sz w:val="32"/>
        </w:rPr>
        <w:t>一、项目背景及问题描述</w:t>
      </w:r>
    </w:p>
    <w:p>
      <w:pPr>
        <w:spacing w:before="120" w:after="120" w:line="560" w:lineRule="exact"/>
      </w:pPr>
      <w:r>
        <w:rPr>
          <w:rFonts w:ascii="仿宋" w:hAnsi="仿宋" w:eastAsia="仿宋"/>
          <w:sz w:val="32"/>
        </w:rPr>
        <w:t>二、原因分析</w:t>
      </w:r>
    </w:p>
    <w:p>
      <w:pPr>
        <w:spacing w:before="120" w:after="120" w:line="560" w:lineRule="exact"/>
      </w:pPr>
      <w:r>
        <w:rPr>
          <w:rFonts w:ascii="仿宋" w:hAnsi="仿宋" w:eastAsia="仿宋"/>
          <w:sz w:val="32"/>
        </w:rPr>
        <w:t>三、技术改造方案</w:t>
      </w:r>
    </w:p>
    <w:p>
      <w:pPr>
        <w:spacing w:before="120" w:after="120" w:line="560" w:lineRule="exact"/>
      </w:pPr>
      <w:r>
        <w:rPr>
          <w:rFonts w:ascii="仿宋" w:hAnsi="仿宋" w:eastAsia="仿宋"/>
          <w:sz w:val="32"/>
        </w:rPr>
        <w:t>四、实施过程</w:t>
      </w:r>
    </w:p>
    <w:p>
      <w:pPr>
        <w:spacing w:before="120" w:after="120" w:line="560" w:lineRule="exact"/>
      </w:pPr>
      <w:r>
        <w:rPr>
          <w:rFonts w:ascii="仿宋" w:hAnsi="仿宋" w:eastAsia="仿宋"/>
          <w:sz w:val="32"/>
        </w:rPr>
        <w:t>五、改造效果验证</w:t>
      </w:r>
    </w:p>
    <w:p>
      <w:pPr>
        <w:spacing w:before="120" w:after="120" w:line="560" w:lineRule="exact"/>
      </w:pPr>
      <w:r>
        <w:rPr>
          <w:rFonts w:ascii="仿宋" w:hAnsi="仿宋" w:eastAsia="仿宋"/>
          <w:sz w:val="32"/>
        </w:rPr>
        <w:t>六、总结与体会</w:t>
      </w:r>
    </w:p>
    <w:p>
      <w:r>
        <w:br w:type="page"/>
      </w:r>
    </w:p>
    <w:p>
      <w:pPr>
        <w:spacing w:before="240" w:after="120" w:line="560" w:lineRule="exact"/>
        <w:jc w:val="both"/>
      </w:pPr>
      <w:r>
        <w:rPr>
          <w:rFonts w:ascii="黑体" w:hAnsi="黑体" w:eastAsia="黑体"/>
          <w:b/>
          <w:sz w:val="32"/>
        </w:rPr>
        <w:t>一、项目背景及问题描述</w:t>
      </w:r>
    </w:p>
    <w:p>
      <w:pPr>
        <w:spacing w:before="0" w:after="120" w:line="560" w:lineRule="exact"/>
        <w:ind w:firstLine="420"/>
        <w:jc w:val="both"/>
      </w:pPr>
      <w:r>
        <w:rPr>
          <w:rFonts w:ascii="仿宋" w:hAnsi="仿宋" w:eastAsia="仿宋"/>
          <w:sz w:val="32"/>
        </w:rPr>
        <w:t>2025年6月6日，南阳中誉发电有限公司2号机组A空预器发生停转信号误报事件，导致机组RB（Runback）动作，对机组安全稳定运行造成较大影响。本次事件暴露出空预器停转保护系统存在多方面问题，包括24V电源模块故障、接线错误、失电报警闭锁功能未起作用等。</w:t>
      </w:r>
    </w:p>
    <w:p>
      <w:pPr>
        <w:spacing w:before="0" w:after="120" w:line="560" w:lineRule="exact"/>
        <w:ind w:firstLine="420"/>
        <w:jc w:val="both"/>
      </w:pPr>
      <w:r>
        <w:rPr>
          <w:rFonts w:ascii="仿宋" w:hAnsi="仿宋" w:eastAsia="仿宋"/>
          <w:sz w:val="32"/>
        </w:rPr>
        <w:t>空预器是锅炉的重要辅助设备，其稳定运行直接关系到锅炉的燃烧效率和排烟温度。空预器停转保护系统是保障空预器安全运行的重要技术措施，当空预器转子停转时，保护系统应能及时发出报警并采取相应措施。然而在实际运行中，由于设备老化、接线错误、电源模块故障等原因，保护系统存在误动作的风险。</w:t>
      </w:r>
    </w:p>
    <w:p>
      <w:pPr>
        <w:spacing w:before="0" w:after="120" w:line="560" w:lineRule="exact"/>
        <w:ind w:firstLine="420"/>
        <w:jc w:val="both"/>
      </w:pPr>
      <w:r>
        <w:rPr>
          <w:rFonts w:ascii="仿宋" w:hAnsi="仿宋" w:eastAsia="仿宋"/>
          <w:sz w:val="32"/>
        </w:rPr>
        <w:t>本人作为设备管理部热控班主要技术人员，全程参与了本次事件的原因分析、技术改造及验证工作。本报告详细记录了事件经过、原因分析、改造方案及实施效果，为今后类似问题的处理提供参考。</w:t>
      </w:r>
    </w:p>
    <w:p>
      <w:pPr>
        <w:spacing w:before="240" w:after="120" w:line="560" w:lineRule="exact"/>
        <w:jc w:val="both"/>
      </w:pPr>
      <w:r>
        <w:rPr>
          <w:rFonts w:ascii="黑体" w:hAnsi="黑体" w:eastAsia="黑体"/>
          <w:b/>
          <w:sz w:val="32"/>
        </w:rPr>
        <w:t>二、原因分析</w:t>
      </w:r>
    </w:p>
    <w:p>
      <w:pPr>
        <w:spacing w:before="240" w:after="120" w:line="560" w:lineRule="exact"/>
        <w:jc w:val="both"/>
      </w:pPr>
      <w:r>
        <w:rPr>
          <w:rFonts w:ascii="楷体" w:hAnsi="楷体" w:eastAsia="楷体"/>
          <w:b/>
          <w:sz w:val="32"/>
        </w:rPr>
        <w:t>（一）直接原因</w:t>
      </w:r>
    </w:p>
    <w:p>
      <w:pPr>
        <w:spacing w:before="0" w:after="120" w:line="560" w:lineRule="exact"/>
        <w:ind w:firstLine="420"/>
        <w:jc w:val="both"/>
      </w:pPr>
      <w:r>
        <w:rPr>
          <w:rFonts w:ascii="仿宋" w:hAnsi="仿宋" w:eastAsia="仿宋"/>
          <w:sz w:val="32"/>
        </w:rPr>
        <w:t>2A空预器停转保护就地控制箱内24V电源模块电压偏低（实际6V，额定24V），造成停转信号误发。该电源模块额定电流仅为1A，长期运行后性能下降，输出电压不稳定，导致停转探头误触发停转信号。</w:t>
      </w:r>
    </w:p>
    <w:p>
      <w:pPr>
        <w:spacing w:before="240" w:after="120" w:line="560" w:lineRule="exact"/>
        <w:jc w:val="both"/>
      </w:pPr>
      <w:r>
        <w:rPr>
          <w:rFonts w:ascii="楷体" w:hAnsi="楷体" w:eastAsia="楷体"/>
          <w:b/>
          <w:sz w:val="32"/>
        </w:rPr>
        <w:t>（二）间接原因</w:t>
      </w:r>
    </w:p>
    <w:p>
      <w:pPr>
        <w:spacing w:before="0" w:after="120" w:line="560" w:lineRule="exact"/>
        <w:ind w:firstLine="420"/>
        <w:jc w:val="both"/>
      </w:pPr>
      <w:r>
        <w:rPr>
          <w:rFonts w:ascii="仿宋" w:hAnsi="仿宋" w:eastAsia="仿宋"/>
          <w:sz w:val="32"/>
        </w:rPr>
        <w:t>1．2A/2B空预器停转探头失电报警信号闭锁功能未起作用。就地控制柜内部失电报警继电器接线错误，原设计应接继电器的常闭触点，但实际接的是常开触点，导致失电报警信号无法闭锁停转保护功能。</w:t>
      </w:r>
    </w:p>
    <w:p>
      <w:pPr>
        <w:spacing w:before="0" w:after="120" w:line="560" w:lineRule="exact"/>
        <w:ind w:firstLine="420"/>
        <w:jc w:val="both"/>
      </w:pPr>
      <w:r>
        <w:rPr>
          <w:rFonts w:ascii="仿宋" w:hAnsi="仿宋" w:eastAsia="仿宋"/>
          <w:sz w:val="32"/>
        </w:rPr>
        <w:t>2．电子间内卡件未接线或接错控制柜。2A空预器停转探头失电报警信号DCS侧未接线，2B空预器停转探头失电报警信号接错控制柜（EXT9-1 20CBB09A D5卡件14通道），导致DCS侧无法正确接收失电报警信号。</w:t>
      </w:r>
    </w:p>
    <w:p>
      <w:pPr>
        <w:spacing w:before="0" w:after="120" w:line="560" w:lineRule="exact"/>
        <w:ind w:firstLine="420"/>
        <w:jc w:val="both"/>
      </w:pPr>
      <w:r>
        <w:rPr>
          <w:rFonts w:ascii="仿宋" w:hAnsi="仿宋" w:eastAsia="仿宋"/>
          <w:sz w:val="32"/>
        </w:rPr>
        <w:t>3．停转信号3一直触发。经检查为停转信号检测探头故障，更换后恢复正常。</w:t>
      </w:r>
    </w:p>
    <w:p>
      <w:pPr>
        <w:spacing w:before="240" w:after="120" w:line="560" w:lineRule="exact"/>
        <w:jc w:val="both"/>
      </w:pPr>
      <w:r>
        <w:rPr>
          <w:rFonts w:ascii="楷体" w:hAnsi="楷体" w:eastAsia="楷体"/>
          <w:b/>
          <w:sz w:val="32"/>
        </w:rPr>
        <w:t>（三）深层次原因分析</w:t>
      </w:r>
    </w:p>
    <w:p>
      <w:pPr>
        <w:spacing w:before="0" w:after="120" w:line="560" w:lineRule="exact"/>
        <w:ind w:firstLine="420"/>
        <w:jc w:val="both"/>
      </w:pPr>
      <w:r>
        <w:rPr>
          <w:rFonts w:ascii="仿宋" w:hAnsi="仿宋" w:eastAsia="仿宋"/>
          <w:sz w:val="32"/>
        </w:rPr>
        <w:t>本次事件暴露出设备维护管理、保护逻辑设计、施工接线质量等方面存在的问题。一是对于24V电源模块等重要设备缺乏定期检测和更换计划，电源模块额定电流1A偏小，长期运行后性能下降；二是保护逻辑设计中未充分考虑失电报警闭锁功能的重要性，接线错误导致闭锁功能失效；三是施工接线质量把控不严，卡件接线错误未能及时发现。</w:t>
      </w:r>
    </w:p>
    <w:p>
      <w:pPr>
        <w:spacing w:before="240" w:after="120" w:line="560" w:lineRule="exact"/>
        <w:jc w:val="both"/>
      </w:pPr>
      <w:r>
        <w:rPr>
          <w:rFonts w:ascii="黑体" w:hAnsi="黑体" w:eastAsia="黑体"/>
          <w:b/>
          <w:sz w:val="32"/>
        </w:rPr>
        <w:t>三、技术改造方案</w:t>
      </w:r>
    </w:p>
    <w:p>
      <w:pPr>
        <w:spacing w:before="240" w:after="120" w:line="560" w:lineRule="exact"/>
        <w:jc w:val="both"/>
      </w:pPr>
      <w:r>
        <w:rPr>
          <w:rFonts w:ascii="楷体" w:hAnsi="楷体" w:eastAsia="楷体"/>
          <w:b/>
          <w:sz w:val="32"/>
        </w:rPr>
        <w:t>（一）24V电源模块更换</w:t>
      </w:r>
    </w:p>
    <w:p>
      <w:pPr>
        <w:spacing w:before="0" w:after="120" w:line="560" w:lineRule="exact"/>
        <w:ind w:firstLine="420"/>
        <w:jc w:val="both"/>
      </w:pPr>
      <w:r>
        <w:rPr>
          <w:rFonts w:ascii="仿宋" w:hAnsi="仿宋" w:eastAsia="仿宋"/>
          <w:sz w:val="32"/>
        </w:rPr>
        <w:t>将2A空预器停转就地控制箱24V电源模块由原额定电流1A更换为额定电流10A的新电源模块。新电源模块具有更大的电流裕度，能够保证在长期运行中输出电压稳定，避免因电源模块性能下降导致的信号误发。</w:t>
      </w:r>
    </w:p>
    <w:p>
      <w:pPr>
        <w:spacing w:before="240" w:after="120" w:line="560" w:lineRule="exact"/>
        <w:jc w:val="both"/>
      </w:pPr>
      <w:r>
        <w:rPr>
          <w:rFonts w:ascii="楷体" w:hAnsi="楷体" w:eastAsia="楷体"/>
          <w:b/>
          <w:sz w:val="32"/>
        </w:rPr>
        <w:t>（二）失电报警继电器接线整改</w:t>
      </w:r>
    </w:p>
    <w:p>
      <w:pPr>
        <w:spacing w:before="0" w:after="120" w:line="560" w:lineRule="exact"/>
        <w:ind w:firstLine="420"/>
        <w:jc w:val="both"/>
      </w:pPr>
      <w:r>
        <w:rPr>
          <w:rFonts w:ascii="仿宋" w:hAnsi="仿宋" w:eastAsia="仿宋"/>
          <w:sz w:val="32"/>
        </w:rPr>
        <w:t>将2号炉A、B空预器停转报警装置控制箱内失电报警继电器接线由原来的常开更改为常闭，确保在电源失电时能够正确触发失电报警信号，实现停转保护闭锁功能。同时，对电子间控制柜内接线进行重新梳理和正确接线，确保DCS侧能够正确接收失电报警信号。</w:t>
      </w:r>
    </w:p>
    <w:p>
      <w:pPr>
        <w:spacing w:before="240" w:after="120" w:line="560" w:lineRule="exact"/>
        <w:jc w:val="both"/>
      </w:pPr>
      <w:r>
        <w:rPr>
          <w:rFonts w:ascii="楷体" w:hAnsi="楷体" w:eastAsia="楷体"/>
          <w:b/>
          <w:sz w:val="32"/>
        </w:rPr>
        <w:t>（三）停转探头更换</w:t>
      </w:r>
    </w:p>
    <w:p>
      <w:pPr>
        <w:spacing w:before="0" w:after="120" w:line="560" w:lineRule="exact"/>
        <w:ind w:firstLine="420"/>
        <w:jc w:val="both"/>
      </w:pPr>
      <w:r>
        <w:rPr>
          <w:rFonts w:ascii="仿宋" w:hAnsi="仿宋" w:eastAsia="仿宋"/>
          <w:sz w:val="32"/>
        </w:rPr>
        <w:t>更换2A空预器停转信号检测探头3，消除因探头故障导致的信号误触发问题。</w:t>
      </w:r>
    </w:p>
    <w:p>
      <w:pPr>
        <w:spacing w:before="240" w:after="120" w:line="560" w:lineRule="exact"/>
        <w:jc w:val="both"/>
      </w:pPr>
      <w:r>
        <w:rPr>
          <w:rFonts w:ascii="楷体" w:hAnsi="楷体" w:eastAsia="楷体"/>
          <w:b/>
          <w:sz w:val="32"/>
        </w:rPr>
        <w:t>（四）DCS画面及逻辑优化</w:t>
      </w:r>
    </w:p>
    <w:p>
      <w:pPr>
        <w:spacing w:before="0" w:after="120" w:line="560" w:lineRule="exact"/>
        <w:ind w:firstLine="420"/>
        <w:jc w:val="both"/>
      </w:pPr>
      <w:r>
        <w:rPr>
          <w:rFonts w:ascii="仿宋" w:hAnsi="仿宋" w:eastAsia="仿宋"/>
          <w:sz w:val="32"/>
        </w:rPr>
        <w:t>在DCS画面上增加两台机组A、B空预器停转信号1、2、3及停转探头失电报警光子牌，提高运行人员对停转保护系统状态的监视能力。</w:t>
      </w:r>
    </w:p>
    <w:p>
      <w:pPr>
        <w:spacing w:before="240" w:after="120" w:line="560" w:lineRule="exact"/>
        <w:jc w:val="both"/>
      </w:pPr>
      <w:r>
        <w:rPr>
          <w:rFonts w:ascii="黑体" w:hAnsi="黑体" w:eastAsia="黑体"/>
          <w:b/>
          <w:sz w:val="32"/>
        </w:rPr>
        <w:t>四、实施过程</w:t>
      </w:r>
    </w:p>
    <w:p>
      <w:pPr>
        <w:spacing w:before="0" w:after="120" w:line="560" w:lineRule="exact"/>
        <w:ind w:firstLine="420"/>
        <w:jc w:val="both"/>
      </w:pPr>
      <w:r>
        <w:rPr>
          <w:rFonts w:ascii="仿宋" w:hAnsi="仿宋" w:eastAsia="仿宋"/>
          <w:sz w:val="32"/>
        </w:rPr>
        <w:t>1．2025年6月6日19:16，2A空预器三个停转测点信号同时触发，导致机组RB动作。就地检查确认为测点误报后，立即启动2A氧化风机运行，保证脱硫系统正常运行。</w:t>
      </w:r>
    </w:p>
    <w:p>
      <w:pPr>
        <w:spacing w:before="0" w:after="120" w:line="560" w:lineRule="exact"/>
        <w:ind w:firstLine="420"/>
        <w:jc w:val="both"/>
      </w:pPr>
      <w:r>
        <w:rPr>
          <w:rFonts w:ascii="仿宋" w:hAnsi="仿宋" w:eastAsia="仿宋"/>
          <w:sz w:val="32"/>
        </w:rPr>
        <w:t>2．2025年6月6日07:00，更换2A空预器停转就地控制箱24V电源模块。新电源模块额定电流10A，故障电源模块额定电流1A。更换后停转信号1、2恢复正常。</w:t>
      </w:r>
    </w:p>
    <w:p>
      <w:pPr>
        <w:spacing w:before="0" w:after="120" w:line="560" w:lineRule="exact"/>
        <w:ind w:firstLine="420"/>
        <w:jc w:val="both"/>
      </w:pPr>
      <w:r>
        <w:rPr>
          <w:rFonts w:ascii="仿宋" w:hAnsi="仿宋" w:eastAsia="仿宋"/>
          <w:sz w:val="32"/>
        </w:rPr>
        <w:t>3．2025年6月6日07:18，更换2A空预器停转信号检测探头3，信号恢复正常。</w:t>
      </w:r>
    </w:p>
    <w:p>
      <w:pPr>
        <w:spacing w:before="0" w:after="120" w:line="560" w:lineRule="exact"/>
        <w:ind w:firstLine="420"/>
        <w:jc w:val="both"/>
      </w:pPr>
      <w:r>
        <w:rPr>
          <w:rFonts w:ascii="仿宋" w:hAnsi="仿宋" w:eastAsia="仿宋"/>
          <w:sz w:val="32"/>
        </w:rPr>
        <w:t>4．2025年6月8日14:56，将2号炉A、B空预器停转报警装置控制箱内失电报警继电器接线由常开更改为常闭。电子间内卡件重新接线，接线后就地模拟试验，失电报警开关信号触发正常。</w:t>
      </w:r>
    </w:p>
    <w:p>
      <w:pPr>
        <w:spacing w:before="240" w:after="120" w:line="560" w:lineRule="exact"/>
        <w:jc w:val="both"/>
      </w:pPr>
      <w:r>
        <w:rPr>
          <w:rFonts w:ascii="黑体" w:hAnsi="黑体" w:eastAsia="黑体"/>
          <w:b/>
          <w:sz w:val="32"/>
        </w:rPr>
        <w:t>五、改造效果验证</w:t>
      </w:r>
    </w:p>
    <w:p>
      <w:pPr>
        <w:spacing w:before="0" w:after="120" w:line="560" w:lineRule="exact"/>
        <w:ind w:firstLine="420"/>
        <w:jc w:val="both"/>
      </w:pPr>
      <w:r>
        <w:rPr>
          <w:rFonts w:ascii="仿宋" w:hAnsi="仿宋" w:eastAsia="仿宋"/>
          <w:sz w:val="32"/>
        </w:rPr>
        <w:t>改造完成后，对2号炉A、B空预器停转保护系统进行了全面测试验证：</w:t>
      </w:r>
    </w:p>
    <w:p>
      <w:pPr>
        <w:spacing w:before="0" w:after="120" w:line="560" w:lineRule="exact"/>
        <w:ind w:firstLine="420"/>
        <w:jc w:val="both"/>
      </w:pPr>
      <w:r>
        <w:rPr>
          <w:rFonts w:ascii="仿宋" w:hAnsi="仿宋" w:eastAsia="仿宋"/>
          <w:sz w:val="32"/>
        </w:rPr>
        <w:t>1．电源模块测试：新电源模块输出电压稳定在24V，带载能力满足要求，长期运行无异常。</w:t>
      </w:r>
    </w:p>
    <w:p>
      <w:pPr>
        <w:spacing w:before="0" w:after="120" w:line="560" w:lineRule="exact"/>
        <w:ind w:firstLine="420"/>
        <w:jc w:val="both"/>
      </w:pPr>
      <w:r>
        <w:rPr>
          <w:rFonts w:ascii="仿宋" w:hAnsi="仿宋" w:eastAsia="仿宋"/>
          <w:sz w:val="32"/>
        </w:rPr>
        <w:t>2．失电报警闭锁功能测试：模拟电源失电工况，失电报警信号正确触发，停转保护闭锁功能正常起作用，有效防止了保护误动。</w:t>
      </w:r>
    </w:p>
    <w:p>
      <w:pPr>
        <w:spacing w:before="0" w:after="120" w:line="560" w:lineRule="exact"/>
        <w:ind w:firstLine="420"/>
        <w:jc w:val="both"/>
      </w:pPr>
      <w:r>
        <w:rPr>
          <w:rFonts w:ascii="仿宋" w:hAnsi="仿宋" w:eastAsia="仿宋"/>
          <w:sz w:val="32"/>
        </w:rPr>
        <w:t>3．DCS监视功能测试：DCS画面停转信号及失电报警光子牌显示正确，运行人员能够实时监视保护系统状态。</w:t>
      </w:r>
    </w:p>
    <w:p>
      <w:pPr>
        <w:spacing w:before="0" w:after="120" w:line="560" w:lineRule="exact"/>
        <w:ind w:firstLine="420"/>
        <w:jc w:val="both"/>
      </w:pPr>
      <w:r>
        <w:rPr>
          <w:rFonts w:ascii="仿宋" w:hAnsi="仿宋" w:eastAsia="仿宋"/>
          <w:sz w:val="32"/>
        </w:rPr>
        <w:t>4．长期运行验证：改造后空预器停转保护系统运行稳定，未再发生误动作事件，有效保障了机组的安全稳定运行。</w:t>
      </w:r>
    </w:p>
    <w:p>
      <w:pPr>
        <w:spacing w:before="240" w:after="120" w:line="560" w:lineRule="exact"/>
        <w:jc w:val="both"/>
      </w:pPr>
      <w:r>
        <w:rPr>
          <w:rFonts w:ascii="黑体" w:hAnsi="黑体" w:eastAsia="黑体"/>
          <w:b/>
          <w:sz w:val="32"/>
        </w:rPr>
        <w:t>六、总结与体会</w:t>
      </w:r>
    </w:p>
    <w:p>
      <w:pPr>
        <w:spacing w:before="0" w:after="120" w:line="560" w:lineRule="exact"/>
        <w:ind w:firstLine="420"/>
        <w:jc w:val="both"/>
      </w:pPr>
      <w:r>
        <w:rPr>
          <w:rFonts w:ascii="仿宋" w:hAnsi="仿宋" w:eastAsia="仿宋"/>
          <w:sz w:val="32"/>
        </w:rPr>
        <w:t>通过本次2号机组空预器停转信号异常事件的分析处理及保护逻辑优化，本人深刻认识到：</w:t>
      </w:r>
    </w:p>
    <w:p>
      <w:pPr>
        <w:spacing w:before="0" w:after="120" w:line="560" w:lineRule="exact"/>
        <w:ind w:firstLine="420"/>
        <w:jc w:val="both"/>
      </w:pPr>
      <w:r>
        <w:rPr>
          <w:rFonts w:ascii="仿宋" w:hAnsi="仿宋" w:eastAsia="仿宋"/>
          <w:sz w:val="32"/>
        </w:rPr>
        <w:t>1．重要设备保护系统的可靠性是机组安全运行的基础。24V电源模块虽然是小设备，但其故障直接导致了机组RB动作，说明在设备选型和维护中不能忽视任何一个小环节。电源模块额定电流1A偏小，应选用更大电流裕度的产品。</w:t>
      </w:r>
    </w:p>
    <w:p>
      <w:pPr>
        <w:spacing w:before="0" w:after="120" w:line="560" w:lineRule="exact"/>
        <w:ind w:firstLine="420"/>
        <w:jc w:val="both"/>
      </w:pPr>
      <w:r>
        <w:rPr>
          <w:rFonts w:ascii="仿宋" w:hAnsi="仿宋" w:eastAsia="仿宋"/>
          <w:sz w:val="32"/>
        </w:rPr>
        <w:t>2．保护逻辑设计的合理性至关重要。失电报警闭锁功能是防止保护误动的重要措施，接线错误导致该功能失效，说明在施工接线和验收环节必须严格把关。同时，保护逻辑中增加合理的延时设计，可以有效防止瞬时干扰导致的保护误动。</w:t>
      </w:r>
    </w:p>
    <w:p>
      <w:pPr>
        <w:spacing w:before="0" w:after="120" w:line="560" w:lineRule="exact"/>
        <w:ind w:firstLine="420"/>
        <w:jc w:val="both"/>
      </w:pPr>
      <w:r>
        <w:rPr>
          <w:rFonts w:ascii="仿宋" w:hAnsi="仿宋" w:eastAsia="仿宋"/>
          <w:sz w:val="32"/>
        </w:rPr>
        <w:t>3．举一反三、全面排查是消除隐患的有效方法。本次事件后，本人对各个10kV设备单点保护逻辑情况进行了全面统计，并提出了修改意见，有效提高了重要设备的运行稳定性。</w:t>
      </w:r>
    </w:p>
    <w:p>
      <w:pPr>
        <w:spacing w:before="0" w:after="120" w:line="560" w:lineRule="exact"/>
        <w:ind w:firstLine="420"/>
        <w:jc w:val="both"/>
      </w:pPr>
      <w:r>
        <w:rPr>
          <w:rFonts w:ascii="仿宋" w:hAnsi="仿宋" w:eastAsia="仿宋"/>
          <w:sz w:val="32"/>
        </w:rPr>
        <w:t>本次技术改造不仅解决了空预器停转保护系统的实际问题，也为本人在DCS系统逻辑优化、保护系统设计等方面积累了宝贵的实践经验。在今后的工作中，本人将继续加强学习，不断提高专业技术能力，为电厂的安全稳定运行贡献自己的力量。</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560" w:lineRule="exact"/>
    </w:pPr>
    <w:rPr>
      <w:rFonts w:ascii="仿宋" w:hAnsi="仿宋" w:eastAsia="仿宋"/>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