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960"/>
        <w:jc w:val="center"/>
      </w:pPr>
      <w:r>
        <w:rPr>
          <w:rFonts w:ascii="方正小标宋" w:hAnsi="方正小标宋" w:eastAsia="方正小标宋"/>
          <w:b/>
          <w:color w:val="000000"/>
          <w:sz w:val="44"/>
        </w:rPr>
        <w:t>1、2号机组氧化风机保护逻辑优化及10kV设备单点保护排查技术报告</w:t>
      </w:r>
    </w:p>
    <w:tbl>
      <w:tblPr>
        <w:tblW w:type="auto" w:w="0"/>
        <w:jc w:val="center"/>
        <w:tblLook w:firstColumn="1" w:firstRow="1" w:lastColumn="0" w:lastRow="0" w:noHBand="0" w:noVBand="1" w:val="04A0"/>
      </w:tblPr>
      <w:tblGrid>
        <w:gridCol w:w="4317"/>
        <w:gridCol w:w="4317"/>
      </w:tblGrid>
      <w:tr>
        <w:tc>
          <w:tcPr>
            <w:tcW w:type="dxa" w:w="2268"/>
          </w:tcPr>
          <w:p>
            <w:pPr>
              <w:jc w:val="center"/>
            </w:pPr>
            <w:r>
              <w:rPr>
                <w:rFonts w:ascii="黑体" w:hAnsi="黑体" w:eastAsia="黑体"/>
                <w:sz w:val="24"/>
              </w:rPr>
              <w:t>专业技术报告名称</w:t>
            </w:r>
          </w:p>
        </w:tc>
        <w:tc>
          <w:tcPr>
            <w:tcW w:type="dxa" w:w="5669"/>
          </w:tcPr>
          <w:p>
            <w:pPr>
              <w:jc w:val="center"/>
            </w:pPr>
            <w:r>
              <w:rPr>
                <w:rFonts w:ascii="仿宋" w:hAnsi="仿宋" w:eastAsia="仿宋"/>
                <w:sz w:val="24"/>
              </w:rPr>
              <w:t>1、2号机组氧化风机保护逻辑优化及10kV设备单点保护排查技术报告</w:t>
            </w:r>
          </w:p>
        </w:tc>
      </w:tr>
      <w:tr>
        <w:tc>
          <w:tcPr>
            <w:tcW w:type="dxa" w:w="2268"/>
          </w:tcPr>
          <w:p>
            <w:pPr>
              <w:jc w:val="center"/>
            </w:pPr>
            <w:r>
              <w:rPr>
                <w:rFonts w:ascii="黑体" w:hAnsi="黑体" w:eastAsia="黑体"/>
                <w:sz w:val="24"/>
              </w:rPr>
              <w:t>报告作者</w:t>
            </w:r>
          </w:p>
        </w:tc>
        <w:tc>
          <w:tcPr>
            <w:tcW w:type="dxa" w:w="5669"/>
          </w:tcPr>
          <w:p>
            <w:pPr>
              <w:jc w:val="center"/>
            </w:pPr>
            <w:r>
              <w:rPr>
                <w:rFonts w:ascii="仿宋" w:hAnsi="仿宋" w:eastAsia="仿宋"/>
                <w:sz w:val="24"/>
              </w:rPr>
              <w:t>刘祺</w:t>
            </w:r>
          </w:p>
        </w:tc>
      </w:tr>
      <w:tr>
        <w:tc>
          <w:tcPr>
            <w:tcW w:type="dxa" w:w="2268"/>
          </w:tcPr>
          <w:p>
            <w:pPr>
              <w:jc w:val="center"/>
            </w:pPr>
            <w:r>
              <w:rPr>
                <w:rFonts w:ascii="黑体" w:hAnsi="黑体" w:eastAsia="黑体"/>
                <w:sz w:val="24"/>
              </w:rPr>
              <w:t>所在部门</w:t>
            </w:r>
          </w:p>
        </w:tc>
        <w:tc>
          <w:tcPr>
            <w:tcW w:type="dxa" w:w="5669"/>
          </w:tcPr>
          <w:p>
            <w:pPr>
              <w:jc w:val="center"/>
            </w:pPr>
            <w:r>
              <w:rPr>
                <w:rFonts w:ascii="仿宋" w:hAnsi="仿宋" w:eastAsia="仿宋"/>
                <w:sz w:val="24"/>
              </w:rPr>
              <w:t>设备管理部热控班</w:t>
            </w:r>
          </w:p>
        </w:tc>
      </w:tr>
      <w:tr>
        <w:tc>
          <w:tcPr>
            <w:tcW w:type="dxa" w:w="2268"/>
          </w:tcPr>
          <w:p>
            <w:pPr>
              <w:jc w:val="center"/>
            </w:pPr>
            <w:r>
              <w:rPr>
                <w:rFonts w:ascii="黑体" w:hAnsi="黑体" w:eastAsia="黑体"/>
                <w:sz w:val="24"/>
              </w:rPr>
              <w:t>本人角色</w:t>
            </w:r>
          </w:p>
        </w:tc>
        <w:tc>
          <w:tcPr>
            <w:tcW w:type="dxa" w:w="5669"/>
          </w:tcPr>
          <w:p>
            <w:pPr>
              <w:jc w:val="center"/>
            </w:pPr>
            <w:r>
              <w:rPr>
                <w:rFonts w:ascii="仿宋" w:hAnsi="仿宋" w:eastAsia="仿宋"/>
                <w:sz w:val="24"/>
              </w:rPr>
              <w:t>主要参与人</w:t>
            </w:r>
          </w:p>
        </w:tc>
      </w:tr>
      <w:tr>
        <w:tc>
          <w:tcPr>
            <w:tcW w:type="dxa" w:w="2268"/>
          </w:tcPr>
          <w:p>
            <w:pPr>
              <w:jc w:val="center"/>
            </w:pPr>
            <w:r>
              <w:rPr>
                <w:rFonts w:ascii="黑体" w:hAnsi="黑体" w:eastAsia="黑体"/>
                <w:sz w:val="24"/>
              </w:rPr>
              <w:t>报告日期</w:t>
            </w:r>
          </w:p>
        </w:tc>
        <w:tc>
          <w:tcPr>
            <w:tcW w:type="dxa" w:w="5669"/>
          </w:tcPr>
          <w:p>
            <w:pPr>
              <w:jc w:val="center"/>
            </w:pPr>
            <w:r>
              <w:rPr>
                <w:rFonts w:ascii="仿宋" w:hAnsi="仿宋" w:eastAsia="仿宋"/>
                <w:sz w:val="24"/>
              </w:rPr>
              <w:t>2026年4月</w:t>
            </w:r>
          </w:p>
        </w:tc>
      </w:tr>
    </w:tbl>
    <w:p>
      <w:r>
        <w:br w:type="page"/>
      </w:r>
    </w:p>
    <w:p>
      <w:pPr>
        <w:spacing w:before="0" w:after="720"/>
        <w:jc w:val="center"/>
      </w:pPr>
      <w:r>
        <w:rPr>
          <w:rFonts w:ascii="方正小标宋" w:hAnsi="方正小标宋" w:eastAsia="方正小标宋"/>
          <w:b/>
          <w:sz w:val="32"/>
        </w:rPr>
        <w:t>专业技术报告编、审、批页</w:t>
      </w:r>
    </w:p>
    <w:tbl>
      <w:tblPr>
        <w:tblStyle w:val="TableGrid"/>
        <w:tblW w:type="auto" w:w="0"/>
        <w:jc w:val="center"/>
        <w:tblLook w:firstColumn="1" w:firstRow="1" w:lastColumn="0" w:lastRow="0" w:noHBand="0" w:noVBand="1" w:val="04A0"/>
      </w:tblPr>
      <w:tblGrid>
        <w:gridCol w:w="2158"/>
        <w:gridCol w:w="2158"/>
        <w:gridCol w:w="2158"/>
        <w:gridCol w:w="2158"/>
      </w:tblGrid>
      <w:tr>
        <w:trPr>
          <w:trHeight w:val="850"/>
        </w:trPr>
        <w:tc>
          <w:tcPr>
            <w:tcW w:type="dxa" w:w="2158"/>
          </w:tcPr>
          <w:p>
            <w:pPr>
              <w:jc w:val="center"/>
            </w:pPr>
            <w:r>
              <w:rPr>
                <w:rFonts w:ascii="黑体" w:hAnsi="黑体" w:eastAsia="黑体"/>
                <w:b/>
                <w:sz w:val="21"/>
              </w:rPr>
              <w:t>角色</w:t>
            </w:r>
          </w:p>
        </w:tc>
        <w:tc>
          <w:tcPr>
            <w:tcW w:type="dxa" w:w="2158"/>
          </w:tcPr>
          <w:p>
            <w:pPr>
              <w:jc w:val="center"/>
            </w:pPr>
            <w:r>
              <w:rPr>
                <w:rFonts w:ascii="黑体" w:hAnsi="黑体" w:eastAsia="黑体"/>
                <w:b/>
                <w:sz w:val="21"/>
              </w:rPr>
              <w:t>姓名</w:t>
            </w:r>
          </w:p>
        </w:tc>
        <w:tc>
          <w:tcPr>
            <w:tcW w:type="dxa" w:w="2158"/>
          </w:tcPr>
          <w:p>
            <w:pPr>
              <w:jc w:val="center"/>
            </w:pPr>
            <w:r>
              <w:rPr>
                <w:rFonts w:ascii="黑体" w:hAnsi="黑体" w:eastAsia="黑体"/>
                <w:b/>
                <w:sz w:val="21"/>
              </w:rPr>
              <w:t>职称/职务</w:t>
            </w:r>
          </w:p>
        </w:tc>
        <w:tc>
          <w:tcPr>
            <w:tcW w:type="dxa" w:w="2158"/>
          </w:tcPr>
          <w:p>
            <w:pPr>
              <w:jc w:val="center"/>
            </w:pPr>
            <w:r>
              <w:rPr>
                <w:rFonts w:ascii="黑体" w:hAnsi="黑体" w:eastAsia="黑体"/>
                <w:b/>
                <w:sz w:val="21"/>
              </w:rPr>
              <w:t>签字/日期</w:t>
            </w:r>
          </w:p>
        </w:tc>
      </w:tr>
      <w:tr>
        <w:trPr>
          <w:trHeight w:val="850"/>
        </w:trPr>
        <w:tc>
          <w:tcPr>
            <w:tcW w:type="dxa" w:w="2158"/>
          </w:tcPr>
          <w:p>
            <w:pPr>
              <w:jc w:val="center"/>
            </w:pPr>
            <w:r>
              <w:rPr>
                <w:rFonts w:ascii="仿宋" w:hAnsi="仿宋" w:eastAsia="仿宋"/>
                <w:sz w:val="21"/>
              </w:rPr>
              <w:t>编制</w:t>
            </w:r>
          </w:p>
        </w:tc>
        <w:tc>
          <w:tcPr>
            <w:tcW w:type="dxa" w:w="2158"/>
          </w:tcPr>
          <w:p>
            <w:pPr>
              <w:jc w:val="center"/>
            </w:pPr>
            <w:r>
              <w:rPr>
                <w:rFonts w:ascii="仿宋" w:hAnsi="仿宋" w:eastAsia="仿宋"/>
                <w:sz w:val="21"/>
              </w:rPr>
              <w:t>刘祺</w:t>
            </w:r>
          </w:p>
        </w:tc>
        <w:tc>
          <w:tcPr>
            <w:tcW w:type="dxa" w:w="2158"/>
          </w:tcPr>
          <w:p>
            <w:pPr>
              <w:jc w:val="center"/>
            </w:pPr>
            <w:r>
              <w:rPr>
                <w:rFonts w:ascii="仿宋" w:hAnsi="仿宋" w:eastAsia="仿宋"/>
                <w:sz w:val="21"/>
              </w:rPr>
              <w:t>助理工程师</w:t>
            </w:r>
          </w:p>
        </w:tc>
        <w:tc>
          <w:tcPr>
            <w:tcW w:type="dxa" w:w="2158"/>
          </w:tcPr>
          <w:p>
            <w:pPr>
              <w:jc w:val="center"/>
            </w:pPr>
            <w:r>
              <w:rPr>
                <w:rFonts w:ascii="仿宋" w:hAnsi="仿宋" w:eastAsia="仿宋"/>
                <w:sz w:val="21"/>
              </w:rPr>
            </w:r>
          </w:p>
        </w:tc>
      </w:tr>
      <w:tr>
        <w:trPr>
          <w:trHeight w:val="850"/>
        </w:trPr>
        <w:tc>
          <w:tcPr>
            <w:tcW w:type="dxa" w:w="2158"/>
          </w:tcPr>
          <w:p>
            <w:pPr>
              <w:jc w:val="center"/>
            </w:pPr>
            <w:r>
              <w:rPr>
                <w:rFonts w:ascii="仿宋" w:hAnsi="仿宋" w:eastAsia="仿宋"/>
                <w:sz w:val="21"/>
              </w:rPr>
              <w:t>审核</w:t>
            </w:r>
          </w:p>
        </w:tc>
        <w:tc>
          <w:tcPr>
            <w:tcW w:type="dxa" w:w="2158"/>
          </w:tcPr>
          <w:p>
            <w:pPr>
              <w:jc w:val="center"/>
            </w:pPr>
            <w:r>
              <w:rPr>
                <w:rFonts w:ascii="仿宋" w:hAnsi="仿宋" w:eastAsia="仿宋"/>
                <w:sz w:val="21"/>
              </w:rPr>
            </w:r>
          </w:p>
        </w:tc>
        <w:tc>
          <w:tcPr>
            <w:tcW w:type="dxa" w:w="2158"/>
          </w:tcPr>
          <w:p>
            <w:pPr>
              <w:jc w:val="center"/>
            </w:pPr>
            <w:r>
              <w:rPr>
                <w:rFonts w:ascii="仿宋" w:hAnsi="仿宋" w:eastAsia="仿宋"/>
                <w:sz w:val="21"/>
              </w:rPr>
              <w:t>工程师/专工</w:t>
            </w:r>
          </w:p>
        </w:tc>
        <w:tc>
          <w:tcPr>
            <w:tcW w:type="dxa" w:w="2158"/>
          </w:tcPr>
          <w:p>
            <w:pPr>
              <w:jc w:val="center"/>
            </w:pPr>
            <w:r>
              <w:rPr>
                <w:rFonts w:ascii="仿宋" w:hAnsi="仿宋" w:eastAsia="仿宋"/>
                <w:sz w:val="21"/>
              </w:rPr>
            </w:r>
          </w:p>
        </w:tc>
      </w:tr>
      <w:tr>
        <w:trPr>
          <w:trHeight w:val="850"/>
        </w:trPr>
        <w:tc>
          <w:tcPr>
            <w:tcW w:type="dxa" w:w="2158"/>
          </w:tcPr>
          <w:p>
            <w:pPr>
              <w:jc w:val="center"/>
            </w:pPr>
            <w:r>
              <w:rPr>
                <w:rFonts w:ascii="仿宋" w:hAnsi="仿宋" w:eastAsia="仿宋"/>
                <w:sz w:val="21"/>
              </w:rPr>
              <w:t>批准</w:t>
            </w:r>
          </w:p>
        </w:tc>
        <w:tc>
          <w:tcPr>
            <w:tcW w:type="dxa" w:w="2158"/>
          </w:tcPr>
          <w:p>
            <w:pPr>
              <w:jc w:val="center"/>
            </w:pPr>
            <w:r>
              <w:rPr>
                <w:rFonts w:ascii="仿宋" w:hAnsi="仿宋" w:eastAsia="仿宋"/>
                <w:sz w:val="21"/>
              </w:rPr>
            </w:r>
          </w:p>
        </w:tc>
        <w:tc>
          <w:tcPr>
            <w:tcW w:type="dxa" w:w="2158"/>
          </w:tcPr>
          <w:p>
            <w:pPr>
              <w:jc w:val="center"/>
            </w:pPr>
            <w:r>
              <w:rPr>
                <w:rFonts w:ascii="仿宋" w:hAnsi="仿宋" w:eastAsia="仿宋"/>
                <w:sz w:val="21"/>
              </w:rPr>
              <w:t>高级工程师/部门主任</w:t>
            </w:r>
          </w:p>
        </w:tc>
        <w:tc>
          <w:tcPr>
            <w:tcW w:type="dxa" w:w="2158"/>
          </w:tcPr>
          <w:p>
            <w:pPr>
              <w:jc w:val="center"/>
            </w:pPr>
            <w:r>
              <w:rPr>
                <w:rFonts w:ascii="仿宋" w:hAnsi="仿宋" w:eastAsia="仿宋"/>
                <w:sz w:val="21"/>
              </w:rPr>
            </w:r>
          </w:p>
        </w:tc>
      </w:tr>
    </w:tbl>
    <w:p>
      <w:r>
        <w:br w:type="page"/>
      </w:r>
    </w:p>
    <w:p>
      <w:pPr>
        <w:spacing w:before="0" w:after="480"/>
        <w:jc w:val="center"/>
      </w:pPr>
      <w:r>
        <w:rPr>
          <w:rFonts w:ascii="方正小标宋" w:hAnsi="方正小标宋" w:eastAsia="方正小标宋"/>
          <w:b/>
          <w:sz w:val="32"/>
        </w:rPr>
        <w:t>前 言</w:t>
      </w:r>
    </w:p>
    <w:p>
      <w:pPr>
        <w:spacing w:before="0" w:after="240" w:line="560" w:lineRule="exact"/>
        <w:ind w:firstLine="420"/>
        <w:jc w:val="both"/>
      </w:pPr>
      <w:r>
        <w:rPr>
          <w:rFonts w:ascii="仿宋" w:hAnsi="仿宋" w:eastAsia="仿宋"/>
          <w:sz w:val="32"/>
        </w:rPr>
        <w:t>本报告为本人参与完成的脱硫系统氧化风机保护逻辑优化专业技术报告。本人在该项目中担任主要参与人，主要负责报告内容的编写及相关技术资料的整理。</w:t>
      </w:r>
    </w:p>
    <w:p>
      <w:pPr>
        <w:spacing w:before="0" w:after="240" w:line="560" w:lineRule="exact"/>
        <w:ind w:firstLine="420"/>
        <w:jc w:val="both"/>
      </w:pPr>
      <w:r>
        <w:rPr>
          <w:rFonts w:ascii="仿宋" w:hAnsi="仿宋" w:eastAsia="仿宋"/>
          <w:sz w:val="32"/>
        </w:rPr>
        <w:t>本报告所述内容均基于南阳中誉发电有限公司1、2号机组脱硫系统实际运行中发生的技术问题及改造优化项目，所有数据、分析过程及改进措施均来源于现场实际工作经验。</w:t>
      </w:r>
    </w:p>
    <w:p>
      <w:pPr>
        <w:spacing w:before="0" w:after="240" w:line="560" w:lineRule="exact"/>
        <w:ind w:firstLine="420"/>
        <w:jc w:val="both"/>
      </w:pPr>
      <w:r>
        <w:rPr>
          <w:rFonts w:ascii="仿宋" w:hAnsi="仿宋" w:eastAsia="仿宋"/>
          <w:sz w:val="32"/>
        </w:rPr>
        <w:t>报告中涉及的技术方案、分析结论及改进措施均已通过现场实践验证，取得了良好的应用效果，为机组的安全稳定运行提供了技术保障。</w:t>
      </w:r>
    </w:p>
    <w:p>
      <w:pPr>
        <w:spacing w:before="0" w:after="240" w:line="560" w:lineRule="exact"/>
        <w:ind w:firstLine="420"/>
        <w:jc w:val="both"/>
      </w:pPr>
      <w:r>
        <w:rPr>
          <w:rFonts w:ascii="仿宋" w:hAnsi="仿宋" w:eastAsia="仿宋"/>
          <w:sz w:val="32"/>
        </w:rPr>
        <w:t>本人郑重声明：本报告内容真实、数据准确，为本人独立完成。</w:t>
      </w:r>
    </w:p>
    <w:p>
      <w:pPr>
        <w:spacing w:before="720" w:after="0"/>
        <w:jc w:val="right"/>
      </w:pPr>
      <w:r>
        <w:rPr>
          <w:rFonts w:ascii="仿宋" w:hAnsi="仿宋" w:eastAsia="仿宋"/>
          <w:sz w:val="32"/>
        </w:rPr>
        <w:t>报告编写：刘祺</w:t>
        <w:br/>
        <w:t>日    期：2026年4月</w:t>
      </w:r>
    </w:p>
    <w:p>
      <w:r>
        <w:br w:type="page"/>
      </w:r>
    </w:p>
    <w:p>
      <w:pPr>
        <w:spacing w:before="0" w:after="480"/>
        <w:jc w:val="center"/>
      </w:pPr>
      <w:r>
        <w:rPr>
          <w:rFonts w:ascii="方正小标宋" w:hAnsi="方正小标宋" w:eastAsia="方正小标宋"/>
          <w:b/>
          <w:sz w:val="32"/>
        </w:rPr>
        <w:t>目 录</w:t>
      </w:r>
    </w:p>
    <w:p>
      <w:pPr>
        <w:spacing w:before="120" w:after="120" w:line="560" w:lineRule="exact"/>
      </w:pPr>
      <w:r>
        <w:rPr>
          <w:rFonts w:ascii="仿宋" w:hAnsi="仿宋" w:eastAsia="仿宋"/>
          <w:sz w:val="32"/>
        </w:rPr>
        <w:t>一、项目背景及问题描述</w:t>
      </w:r>
    </w:p>
    <w:p>
      <w:pPr>
        <w:spacing w:before="120" w:after="120" w:line="560" w:lineRule="exact"/>
      </w:pPr>
      <w:r>
        <w:rPr>
          <w:rFonts w:ascii="仿宋" w:hAnsi="仿宋" w:eastAsia="仿宋"/>
          <w:sz w:val="32"/>
        </w:rPr>
        <w:t>二、原因分析</w:t>
      </w:r>
    </w:p>
    <w:p>
      <w:pPr>
        <w:spacing w:before="120" w:after="120" w:line="560" w:lineRule="exact"/>
      </w:pPr>
      <w:r>
        <w:rPr>
          <w:rFonts w:ascii="仿宋" w:hAnsi="仿宋" w:eastAsia="仿宋"/>
          <w:sz w:val="32"/>
        </w:rPr>
        <w:t>三、技术改造方案</w:t>
      </w:r>
    </w:p>
    <w:p>
      <w:pPr>
        <w:spacing w:before="120" w:after="120" w:line="560" w:lineRule="exact"/>
      </w:pPr>
      <w:r>
        <w:rPr>
          <w:rFonts w:ascii="仿宋" w:hAnsi="仿宋" w:eastAsia="仿宋"/>
          <w:sz w:val="32"/>
        </w:rPr>
        <w:t>四、实施过程</w:t>
      </w:r>
    </w:p>
    <w:p>
      <w:pPr>
        <w:spacing w:before="120" w:after="120" w:line="560" w:lineRule="exact"/>
      </w:pPr>
      <w:r>
        <w:rPr>
          <w:rFonts w:ascii="仿宋" w:hAnsi="仿宋" w:eastAsia="仿宋"/>
          <w:sz w:val="32"/>
        </w:rPr>
        <w:t>五、改造效果验证</w:t>
      </w:r>
    </w:p>
    <w:p>
      <w:pPr>
        <w:spacing w:before="120" w:after="120" w:line="560" w:lineRule="exact"/>
      </w:pPr>
      <w:r>
        <w:rPr>
          <w:rFonts w:ascii="仿宋" w:hAnsi="仿宋" w:eastAsia="仿宋"/>
          <w:sz w:val="32"/>
        </w:rPr>
        <w:t>六、总结与体会</w:t>
      </w:r>
    </w:p>
    <w:p>
      <w:r>
        <w:br w:type="page"/>
      </w:r>
    </w:p>
    <w:p>
      <w:pPr>
        <w:spacing w:before="240" w:after="120" w:line="560" w:lineRule="exact"/>
        <w:jc w:val="both"/>
      </w:pPr>
      <w:r>
        <w:rPr>
          <w:rFonts w:ascii="黑体" w:hAnsi="黑体" w:eastAsia="黑体"/>
          <w:b/>
          <w:sz w:val="32"/>
        </w:rPr>
        <w:t>一、项目背景及问题描述</w:t>
      </w:r>
    </w:p>
    <w:p>
      <w:pPr>
        <w:spacing w:before="0" w:after="120" w:line="560" w:lineRule="exact"/>
        <w:ind w:firstLine="420"/>
        <w:jc w:val="both"/>
      </w:pPr>
      <w:r>
        <w:rPr>
          <w:rFonts w:ascii="仿宋" w:hAnsi="仿宋" w:eastAsia="仿宋"/>
          <w:sz w:val="32"/>
        </w:rPr>
        <w:t>2024年11月18日，南阳中誉发电有限公司2号机组在执行氧化风机定期切换工作时，2B氧化风机发生跳闸异常事件。本次事件虽然未造成设备损坏，但暴露出氧化风机保护逻辑设置不合理、10kV设备单点保护较多等问题，对机组安全稳定运行构成潜在威胁。</w:t>
      </w:r>
    </w:p>
    <w:p>
      <w:pPr>
        <w:spacing w:before="0" w:after="120" w:line="560" w:lineRule="exact"/>
        <w:ind w:firstLine="420"/>
        <w:jc w:val="both"/>
      </w:pPr>
      <w:r>
        <w:rPr>
          <w:rFonts w:ascii="仿宋" w:hAnsi="仿宋" w:eastAsia="仿宋"/>
          <w:sz w:val="32"/>
        </w:rPr>
        <w:t>氧化风机是脱硫系统的重要设备，为吸收塔提供氧化空气，将亚硫酸钙氧化为硫酸钙。氧化风机的稳定运行直接关系到脱硫效率和环保指标达标。本次事件中，2B氧化风机跳闸首出"出口电动门无开到位信号"，经检查为电动门失电导致。进一步分析发现，保护逻辑中"风机运行，出口电动门开信号消失，延时30秒跳闸"的设置存在不合理性，不能有效防止保护误动。</w:t>
      </w:r>
    </w:p>
    <w:p>
      <w:pPr>
        <w:spacing w:before="0" w:after="120" w:line="560" w:lineRule="exact"/>
        <w:ind w:firstLine="420"/>
        <w:jc w:val="both"/>
      </w:pPr>
      <w:r>
        <w:rPr>
          <w:rFonts w:ascii="仿宋" w:hAnsi="仿宋" w:eastAsia="仿宋"/>
          <w:sz w:val="32"/>
        </w:rPr>
        <w:t>本人作为设备管理部热控班技术人员，全程参与了本次事件的原因分析、举一反三排查及保护逻辑优化工作。本报告详细记录了事件经过、原因分析、排查过程及优化方案。</w:t>
      </w:r>
    </w:p>
    <w:p>
      <w:pPr>
        <w:spacing w:before="240" w:after="120" w:line="560" w:lineRule="exact"/>
        <w:jc w:val="both"/>
      </w:pPr>
      <w:r>
        <w:rPr>
          <w:rFonts w:ascii="黑体" w:hAnsi="黑体" w:eastAsia="黑体"/>
          <w:b/>
          <w:sz w:val="32"/>
        </w:rPr>
        <w:t>二、原因分析</w:t>
      </w:r>
    </w:p>
    <w:p>
      <w:pPr>
        <w:spacing w:before="240" w:after="120" w:line="560" w:lineRule="exact"/>
        <w:jc w:val="both"/>
      </w:pPr>
      <w:r>
        <w:rPr>
          <w:rFonts w:ascii="楷体" w:hAnsi="楷体" w:eastAsia="楷体"/>
          <w:b/>
          <w:sz w:val="32"/>
        </w:rPr>
        <w:t>（一）直接原因</w:t>
      </w:r>
    </w:p>
    <w:p>
      <w:pPr>
        <w:spacing w:before="0" w:after="120" w:line="560" w:lineRule="exact"/>
        <w:ind w:firstLine="420"/>
        <w:jc w:val="both"/>
      </w:pPr>
      <w:r>
        <w:rPr>
          <w:rFonts w:ascii="仿宋" w:hAnsi="仿宋" w:eastAsia="仿宋"/>
          <w:sz w:val="32"/>
        </w:rPr>
        <w:t>2B氧化风机出口电动门失电，触发"风机运行，出口电动门开信号消失，延时30秒跳闸"保护动作，是造成风机跳闸的直接原因。经就地检查，电动门电源线接线松动，长时间振动导致接触不良，最终失电。</w:t>
      </w:r>
    </w:p>
    <w:p>
      <w:pPr>
        <w:spacing w:before="240" w:after="120" w:line="560" w:lineRule="exact"/>
        <w:jc w:val="both"/>
      </w:pPr>
      <w:r>
        <w:rPr>
          <w:rFonts w:ascii="楷体" w:hAnsi="楷体" w:eastAsia="楷体"/>
          <w:b/>
          <w:sz w:val="32"/>
        </w:rPr>
        <w:t>（二）间接原因</w:t>
      </w:r>
    </w:p>
    <w:p>
      <w:pPr>
        <w:spacing w:before="0" w:after="120" w:line="560" w:lineRule="exact"/>
        <w:ind w:firstLine="420"/>
        <w:jc w:val="both"/>
      </w:pPr>
      <w:r>
        <w:rPr>
          <w:rFonts w:ascii="仿宋" w:hAnsi="仿宋" w:eastAsia="仿宋"/>
          <w:sz w:val="32"/>
        </w:rPr>
        <w:t>1．设备维护不到位。未对风机电动门接线进行定期检查维护，接线松动未能及时发现和处理。</w:t>
      </w:r>
    </w:p>
    <w:p>
      <w:pPr>
        <w:spacing w:before="0" w:after="120" w:line="560" w:lineRule="exact"/>
        <w:ind w:firstLine="420"/>
        <w:jc w:val="both"/>
      </w:pPr>
      <w:r>
        <w:rPr>
          <w:rFonts w:ascii="仿宋" w:hAnsi="仿宋" w:eastAsia="仿宋"/>
          <w:sz w:val="32"/>
        </w:rPr>
        <w:t>2．氧化风机出口压力高，风机正常运行时电动门处有小幅振动。定期切换过程中双风机运行振动幅度较大，与其他10kV风机相比切换频繁（14天一次），长此以往，风机电动门接线松动失电是风机跳闸的次要原因。</w:t>
      </w:r>
    </w:p>
    <w:p>
      <w:pPr>
        <w:spacing w:before="0" w:after="120" w:line="560" w:lineRule="exact"/>
        <w:ind w:firstLine="420"/>
        <w:jc w:val="both"/>
      </w:pPr>
      <w:r>
        <w:rPr>
          <w:rFonts w:ascii="仿宋" w:hAnsi="仿宋" w:eastAsia="仿宋"/>
          <w:sz w:val="32"/>
        </w:rPr>
        <w:t>3．风机跳闸逻辑设置不合理。开信号消失30秒即跳闸，延时时间过短，不能有效防止保护误动。在定期切换过程中，电动门开关需要一定时间，30秒的延时裕度不足。</w:t>
      </w:r>
    </w:p>
    <w:p>
      <w:pPr>
        <w:spacing w:before="240" w:after="120" w:line="560" w:lineRule="exact"/>
        <w:jc w:val="both"/>
      </w:pPr>
      <w:r>
        <w:rPr>
          <w:rFonts w:ascii="楷体" w:hAnsi="楷体" w:eastAsia="楷体"/>
          <w:b/>
          <w:sz w:val="32"/>
        </w:rPr>
        <w:t>（三）深层次问题</w:t>
      </w:r>
    </w:p>
    <w:p>
      <w:pPr>
        <w:spacing w:before="0" w:after="120" w:line="560" w:lineRule="exact"/>
        <w:ind w:firstLine="420"/>
        <w:jc w:val="both"/>
      </w:pPr>
      <w:r>
        <w:rPr>
          <w:rFonts w:ascii="仿宋" w:hAnsi="仿宋" w:eastAsia="仿宋"/>
          <w:sz w:val="32"/>
        </w:rPr>
        <w:t>本次事件后，本人对各个10kV设备单点保护逻辑情况进行了全面统计和分析，发现存在以下问题：一是部分重要10kV设备保护逻辑采用单点判断，未采用"三取二"逻辑，误动风险较高；二是保护延时设置不合理，部分保护延时过短，无法有效区分真实故障和瞬时干扰；三是失电报警闭锁功能不完善，部分设备失电后无法正确闭锁保护。</w:t>
      </w:r>
    </w:p>
    <w:p>
      <w:pPr>
        <w:spacing w:before="240" w:after="120" w:line="560" w:lineRule="exact"/>
        <w:jc w:val="both"/>
      </w:pPr>
      <w:r>
        <w:rPr>
          <w:rFonts w:ascii="黑体" w:hAnsi="黑体" w:eastAsia="黑体"/>
          <w:b/>
          <w:sz w:val="32"/>
        </w:rPr>
        <w:t>三、技术改造方案</w:t>
      </w:r>
    </w:p>
    <w:p>
      <w:pPr>
        <w:spacing w:before="240" w:after="120" w:line="560" w:lineRule="exact"/>
        <w:jc w:val="both"/>
      </w:pPr>
      <w:r>
        <w:rPr>
          <w:rFonts w:ascii="楷体" w:hAnsi="楷体" w:eastAsia="楷体"/>
          <w:b/>
          <w:sz w:val="32"/>
        </w:rPr>
        <w:t>（一）保护逻辑延时优化</w:t>
      </w:r>
    </w:p>
    <w:p>
      <w:pPr>
        <w:spacing w:before="0" w:after="120" w:line="560" w:lineRule="exact"/>
        <w:ind w:firstLine="420"/>
        <w:jc w:val="both"/>
      </w:pPr>
      <w:r>
        <w:rPr>
          <w:rFonts w:ascii="仿宋" w:hAnsi="仿宋" w:eastAsia="仿宋"/>
          <w:sz w:val="32"/>
        </w:rPr>
        <w:t>将氧化风机跳闸保护逻辑中的延时时间由30秒调整为60秒，增加延时裕度，有效防止保护误动。同时，在DCS逻辑中增加保护动作条件的二次确认逻辑，提高保护的可靠性。</w:t>
      </w:r>
    </w:p>
    <w:p>
      <w:pPr>
        <w:spacing w:before="240" w:after="120" w:line="560" w:lineRule="exact"/>
        <w:jc w:val="both"/>
      </w:pPr>
      <w:r>
        <w:rPr>
          <w:rFonts w:ascii="楷体" w:hAnsi="楷体" w:eastAsia="楷体"/>
          <w:b/>
          <w:sz w:val="32"/>
        </w:rPr>
        <w:t>（二）10kV设备单点保护排查及优化</w:t>
      </w:r>
    </w:p>
    <w:p>
      <w:pPr>
        <w:spacing w:before="0" w:after="120" w:line="560" w:lineRule="exact"/>
        <w:ind w:firstLine="420"/>
        <w:jc w:val="both"/>
      </w:pPr>
      <w:r>
        <w:rPr>
          <w:rFonts w:ascii="仿宋" w:hAnsi="仿宋" w:eastAsia="仿宋"/>
          <w:sz w:val="32"/>
        </w:rPr>
        <w:t>对全厂10kV设备的单点保护逻辑进行全面排查，统计单点保护设备清单，并针对重要设备提出以下优化意见：一是对于重要保护信号，建议采用"三取二"逻辑判断方式，提高保护的可靠性；二是对于无法实现"三取二"的设备，增加保护动作的延时时间和二次确认逻辑；三是完善失电报警闭锁功能，确保在电源失电时能够正确闭锁保护。</w:t>
      </w:r>
    </w:p>
    <w:p>
      <w:pPr>
        <w:spacing w:before="240" w:after="120" w:line="560" w:lineRule="exact"/>
        <w:jc w:val="both"/>
      </w:pPr>
      <w:r>
        <w:rPr>
          <w:rFonts w:ascii="楷体" w:hAnsi="楷体" w:eastAsia="楷体"/>
          <w:b/>
          <w:sz w:val="32"/>
        </w:rPr>
        <w:t>（三）设备维护措施加强</w:t>
      </w:r>
    </w:p>
    <w:p>
      <w:pPr>
        <w:spacing w:before="0" w:after="120" w:line="560" w:lineRule="exact"/>
        <w:ind w:firstLine="420"/>
        <w:jc w:val="both"/>
      </w:pPr>
      <w:r>
        <w:rPr>
          <w:rFonts w:ascii="仿宋" w:hAnsi="仿宋" w:eastAsia="仿宋"/>
          <w:sz w:val="32"/>
        </w:rPr>
        <w:t>制定振动较大区域阀门接线定期检查维护计划，将接线检查纳入定期工作内容。对于氧化风机等切换频繁的设备，在每次切换前后进行接线检查，发现接线松动及时紧固。</w:t>
      </w:r>
    </w:p>
    <w:p>
      <w:pPr>
        <w:spacing w:before="240" w:after="120" w:line="560" w:lineRule="exact"/>
        <w:jc w:val="both"/>
      </w:pPr>
      <w:r>
        <w:rPr>
          <w:rFonts w:ascii="黑体" w:hAnsi="黑体" w:eastAsia="黑体"/>
          <w:b/>
          <w:sz w:val="32"/>
        </w:rPr>
        <w:t>四、实施过程</w:t>
      </w:r>
    </w:p>
    <w:p>
      <w:pPr>
        <w:spacing w:before="0" w:after="120" w:line="560" w:lineRule="exact"/>
        <w:ind w:firstLine="420"/>
        <w:jc w:val="both"/>
      </w:pPr>
      <w:r>
        <w:rPr>
          <w:rFonts w:ascii="仿宋" w:hAnsi="仿宋" w:eastAsia="仿宋"/>
          <w:sz w:val="32"/>
        </w:rPr>
        <w:t>1．2024年11月18日14:04，发电部执行定期工作，氧化风机由2A切换至2B运行。14:14，2B氧化风机跳闸，首出"出口电动门无开到位信号"。</w:t>
      </w:r>
    </w:p>
    <w:p>
      <w:pPr>
        <w:spacing w:before="0" w:after="120" w:line="560" w:lineRule="exact"/>
        <w:ind w:firstLine="420"/>
        <w:jc w:val="both"/>
      </w:pPr>
      <w:r>
        <w:rPr>
          <w:rFonts w:ascii="仿宋" w:hAnsi="仿宋" w:eastAsia="仿宋"/>
          <w:sz w:val="32"/>
        </w:rPr>
        <w:t>2．就地检查发现电动门失电，电源线接线松动。重新紧固电源插头后，电动门运行正常。</w:t>
      </w:r>
    </w:p>
    <w:p>
      <w:pPr>
        <w:spacing w:before="0" w:after="120" w:line="560" w:lineRule="exact"/>
        <w:ind w:firstLine="420"/>
        <w:jc w:val="both"/>
      </w:pPr>
      <w:r>
        <w:rPr>
          <w:rFonts w:ascii="仿宋" w:hAnsi="仿宋" w:eastAsia="仿宋"/>
          <w:sz w:val="32"/>
        </w:rPr>
        <w:t>3．2024年11月19日，再次将2A氧化风机切换至2B运行，运行正常，验证改造效果。</w:t>
      </w:r>
    </w:p>
    <w:p>
      <w:pPr>
        <w:spacing w:before="0" w:after="120" w:line="560" w:lineRule="exact"/>
        <w:ind w:firstLine="420"/>
        <w:jc w:val="both"/>
      </w:pPr>
      <w:r>
        <w:rPr>
          <w:rFonts w:ascii="仿宋" w:hAnsi="仿宋" w:eastAsia="仿宋"/>
          <w:sz w:val="32"/>
        </w:rPr>
        <w:t>4．对保护逻辑中的延时时间进行修改，将30秒调整为60秒，并在DCS逻辑中增加二次确认逻辑。</w:t>
      </w:r>
    </w:p>
    <w:p>
      <w:pPr>
        <w:spacing w:before="0" w:after="120" w:line="560" w:lineRule="exact"/>
        <w:ind w:firstLine="420"/>
        <w:jc w:val="both"/>
      </w:pPr>
      <w:r>
        <w:rPr>
          <w:rFonts w:ascii="仿宋" w:hAnsi="仿宋" w:eastAsia="仿宋"/>
          <w:sz w:val="32"/>
        </w:rPr>
        <w:t>5．统计全厂10kV设备单点保护情况，形成排查报告，并提出优化建议。</w:t>
      </w:r>
    </w:p>
    <w:p>
      <w:pPr>
        <w:spacing w:before="240" w:after="120" w:line="560" w:lineRule="exact"/>
        <w:jc w:val="both"/>
      </w:pPr>
      <w:r>
        <w:rPr>
          <w:rFonts w:ascii="黑体" w:hAnsi="黑体" w:eastAsia="黑体"/>
          <w:b/>
          <w:sz w:val="32"/>
        </w:rPr>
        <w:t>五、改造效果验证</w:t>
      </w:r>
    </w:p>
    <w:p>
      <w:pPr>
        <w:spacing w:before="0" w:after="120" w:line="560" w:lineRule="exact"/>
        <w:ind w:firstLine="420"/>
        <w:jc w:val="both"/>
      </w:pPr>
      <w:r>
        <w:rPr>
          <w:rFonts w:ascii="仿宋" w:hAnsi="仿宋" w:eastAsia="仿宋"/>
          <w:sz w:val="32"/>
        </w:rPr>
        <w:t>改造完成后，对氧化风机保护系统进行了全面测试验证：</w:t>
      </w:r>
    </w:p>
    <w:p>
      <w:pPr>
        <w:spacing w:before="0" w:after="120" w:line="560" w:lineRule="exact"/>
        <w:ind w:firstLine="420"/>
        <w:jc w:val="both"/>
      </w:pPr>
      <w:r>
        <w:rPr>
          <w:rFonts w:ascii="仿宋" w:hAnsi="仿宋" w:eastAsia="仿宋"/>
          <w:sz w:val="32"/>
        </w:rPr>
        <w:t>1．保护逻辑测试：模拟电动门开信号消失工况，保护系统在60秒延时后正确动作，有效防止了瞬时干扰导致的误动。</w:t>
      </w:r>
    </w:p>
    <w:p>
      <w:pPr>
        <w:spacing w:before="0" w:after="120" w:line="560" w:lineRule="exact"/>
        <w:ind w:firstLine="420"/>
        <w:jc w:val="both"/>
      </w:pPr>
      <w:r>
        <w:rPr>
          <w:rFonts w:ascii="仿宋" w:hAnsi="仿宋" w:eastAsia="仿宋"/>
          <w:sz w:val="32"/>
        </w:rPr>
        <w:t>2．定期切换验证：2024年11月19日进行氧化风机定期切换试验，2B氧化风机启动、运行、切换全过程正常，未发生跳闸事件。</w:t>
      </w:r>
    </w:p>
    <w:p>
      <w:pPr>
        <w:spacing w:before="0" w:after="120" w:line="560" w:lineRule="exact"/>
        <w:ind w:firstLine="420"/>
        <w:jc w:val="both"/>
      </w:pPr>
      <w:r>
        <w:rPr>
          <w:rFonts w:ascii="仿宋" w:hAnsi="仿宋" w:eastAsia="仿宋"/>
          <w:sz w:val="32"/>
        </w:rPr>
        <w:t>3．长期运行验证：改造后氧化风机保护系统运行稳定，未再发生误动作事件。定期切换工作恢复正常，设备可靠性得到有效保障。</w:t>
      </w:r>
    </w:p>
    <w:p>
      <w:pPr>
        <w:spacing w:before="240" w:after="120" w:line="560" w:lineRule="exact"/>
        <w:jc w:val="both"/>
      </w:pPr>
      <w:r>
        <w:rPr>
          <w:rFonts w:ascii="黑体" w:hAnsi="黑体" w:eastAsia="黑体"/>
          <w:b/>
          <w:sz w:val="32"/>
        </w:rPr>
        <w:t>六、总结与体会</w:t>
      </w:r>
    </w:p>
    <w:p>
      <w:pPr>
        <w:spacing w:before="0" w:after="120" w:line="560" w:lineRule="exact"/>
        <w:ind w:firstLine="420"/>
        <w:jc w:val="both"/>
      </w:pPr>
      <w:r>
        <w:rPr>
          <w:rFonts w:ascii="仿宋" w:hAnsi="仿宋" w:eastAsia="仿宋"/>
          <w:sz w:val="32"/>
        </w:rPr>
        <w:t>通过本次2B氧化风机跳闸异常事件的分析处理及保护逻辑优化，本人获得了以下体会：</w:t>
      </w:r>
    </w:p>
    <w:p>
      <w:pPr>
        <w:spacing w:before="0" w:after="120" w:line="560" w:lineRule="exact"/>
        <w:ind w:firstLine="420"/>
        <w:jc w:val="both"/>
      </w:pPr>
      <w:r>
        <w:rPr>
          <w:rFonts w:ascii="仿宋" w:hAnsi="仿宋" w:eastAsia="仿宋"/>
          <w:sz w:val="32"/>
        </w:rPr>
        <w:t>1．保护逻辑的合理性是设备安全运行的重要保障。30秒的延时设置虽然在理论上能够满足保护要求，但在实际运行中，由于设备切换、振动等因素，延时裕度不足容易导致保护误动。通过增加延时时间和二次确认逻辑，有效提高了保护的可靠性。</w:t>
      </w:r>
    </w:p>
    <w:p>
      <w:pPr>
        <w:spacing w:before="0" w:after="120" w:line="560" w:lineRule="exact"/>
        <w:ind w:firstLine="420"/>
        <w:jc w:val="both"/>
      </w:pPr>
      <w:r>
        <w:rPr>
          <w:rFonts w:ascii="仿宋" w:hAnsi="仿宋" w:eastAsia="仿宋"/>
          <w:sz w:val="32"/>
        </w:rPr>
        <w:t>2．举一反三、全面排查是消除隐患的有效方法。本次事件后，本人对全厂10kV设备单点保护逻辑进行了全面统计和分析，不仅解决了氧化风机的具体问题，也发现并推动了其他重要设备保护逻辑的优化工作。</w:t>
      </w:r>
    </w:p>
    <w:p>
      <w:pPr>
        <w:spacing w:before="0" w:after="120" w:line="560" w:lineRule="exact"/>
        <w:ind w:firstLine="420"/>
        <w:jc w:val="both"/>
      </w:pPr>
      <w:r>
        <w:rPr>
          <w:rFonts w:ascii="仿宋" w:hAnsi="仿宋" w:eastAsia="仿宋"/>
          <w:sz w:val="32"/>
        </w:rPr>
        <w:t>3．设备维护和定期巡检的重要性。接线松动虽然是小问题，但长期积累可能导致严重后果。建立完善的定期巡检和维护制度，能够及时发现和处理潜在隐患，避免设备故障的发生。</w:t>
      </w:r>
    </w:p>
    <w:p>
      <w:pPr>
        <w:spacing w:before="0" w:after="120" w:line="560" w:lineRule="exact"/>
        <w:ind w:firstLine="420"/>
        <w:jc w:val="both"/>
      </w:pPr>
      <w:r>
        <w:rPr>
          <w:rFonts w:ascii="仿宋" w:hAnsi="仿宋" w:eastAsia="仿宋"/>
          <w:sz w:val="32"/>
        </w:rPr>
        <w:t>本次技术改造为本人积累了DCS保护逻辑优化、10kV设备保护系统排查等方面的实践经验，对今后类似问题的处理具有重要的指导意义。</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560" w:lineRule="exact"/>
    </w:pPr>
    <w:rPr>
      <w:rFonts w:ascii="仿宋" w:hAnsi="仿宋" w:eastAsia="仿宋"/>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