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 обучения, представленный в коде, называется 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Conditional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Generative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Adversarial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Network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Основные особенности:</w:t>
      </w:r>
    </w:p>
    <w:p w:rsidR="00032A23" w:rsidRPr="00032A23" w:rsidRDefault="00032A23" w:rsidP="00032A23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Условная генерация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 генератор, и дискриминатор получают на вход дополнительные условия (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condition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), созданные из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эмбеддингов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кристаллов (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crystals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статистик (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stats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 Это позволяет управлять процессом генерации на основе внешней информации (например, класса изображения или других метаданных).</w:t>
      </w:r>
    </w:p>
    <w:p w:rsidR="00032A23" w:rsidRPr="00032A23" w:rsidRDefault="00032A23" w:rsidP="00032A2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Стандартная схема обучения GAN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Дискриминатор обучается отличать реальные данные от сгенерированных, используя два шага:</w:t>
      </w:r>
    </w:p>
    <w:p w:rsidR="00032A23" w:rsidRPr="00032A23" w:rsidRDefault="00032A23" w:rsidP="00032A23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Лосс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реальных изображений с меткой </w:t>
      </w:r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Лосс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фейковых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изображений с меткой </w:t>
      </w:r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Генератор обучается "обманывать" дискриминатор, пытаясь получить для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фейковых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изображений метку </w:t>
      </w:r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 реализации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 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retain_graph</w:t>
      </w:r>
      <w:proofErr w:type="spellEnd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=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True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обратном распространении для дискриминатора, чтобы избежать удаления вычислительного графа перед обучением генератора.</w:t>
      </w:r>
    </w:p>
    <w:p w:rsidR="00032A23" w:rsidRPr="00032A23" w:rsidRDefault="00032A23" w:rsidP="00032A2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Условия интегрированы в архитектуру через 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condition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что типично для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Почему именно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?</w:t>
      </w:r>
    </w:p>
    <w:p w:rsidR="00032A23" w:rsidRPr="00032A23" w:rsidRDefault="00032A23" w:rsidP="00032A2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Наличие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условных векторов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condition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явно указывает на использование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conditional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GAN.</w:t>
      </w:r>
    </w:p>
    <w:p w:rsidR="00032A23" w:rsidRPr="00032A23" w:rsidRDefault="00032A23" w:rsidP="00032A2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Код соответствует канонической структуре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где условия подаются как входные данные для генератора и дискриминатора.</w:t>
      </w:r>
    </w:p>
    <w:p w:rsidR="001125DB" w:rsidRDefault="001125DB"/>
    <w:p w:rsidR="00032A23" w:rsidRDefault="00032A23"/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как можно структурировать описание вашей сети в научной статье. Пример адаптирован под ваш код: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3. Архитектура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Conditional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GAN для генерации кристаллических структур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3.1. Обзор модели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Предложенная модель основана на архитектуре 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Conditional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Generative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Adversarial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Network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[1], где генератор (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дискриминатор (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используют дополнительные условия для управления процессом генерации. В отличие от классических GAN, условие (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condition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vector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формируемое из метаданных кристаллов (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crystals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crystals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их статистических свойств (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stats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stats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интегрируется на входе как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так и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позволяет генерировать структуры с заданными характеристиками.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3.2. Генератор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Генератор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G:Rd×Rc→RH×W×C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: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×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→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H</w:t>
      </w:r>
      <w:r w:rsidRPr="00032A23">
        <w:rPr>
          <w:rFonts w:eastAsia="Times New Roman" w:cs="Times New Roman"/>
          <w:color w:val="404040"/>
          <w:sz w:val="20"/>
          <w:szCs w:val="20"/>
          <w:lang w:eastAsia="ru-RU"/>
        </w:rPr>
        <w:t>×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W</w:t>
      </w:r>
      <w:r w:rsidRPr="00032A23">
        <w:rPr>
          <w:rFonts w:eastAsia="Times New Roman" w:cs="Times New Roman"/>
          <w:color w:val="404040"/>
          <w:sz w:val="20"/>
          <w:szCs w:val="20"/>
          <w:lang w:eastAsia="ru-RU"/>
        </w:rPr>
        <w:t>×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принимает:</w:t>
      </w:r>
    </w:p>
    <w:p w:rsidR="00032A23" w:rsidRPr="00032A23" w:rsidRDefault="00032A23" w:rsidP="00032A2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Скрытый вектор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(0,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</w:t>
      </w:r>
      <w:proofErr w:type="spellStart"/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proofErr w:type="gramEnd"/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∼</w:t>
      </w:r>
      <w:r w:rsidRPr="00032A23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N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(0,1)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размерности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:rsidR="00032A23" w:rsidRPr="00032A23" w:rsidRDefault="00032A23" w:rsidP="00032A23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Условие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полученное через 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эмбеддинг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кристаллических метаданных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(см. Раздел 3.4).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Архитектура реализована как последовательность:</w:t>
      </w:r>
    </w:p>
    <w:p w:rsidR="00032A23" w:rsidRPr="00032A23" w:rsidRDefault="00032A23" w:rsidP="00032A2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Проекция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z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в скрытое пространство через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полносвязный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слой,</w:t>
      </w:r>
    </w:p>
    <w:p w:rsidR="00032A23" w:rsidRPr="00032A23" w:rsidRDefault="00032A23" w:rsidP="00032A2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Серия транспонированных сверток (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transposed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convolutions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с пакетной нормировкой [2] и активациями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ReLU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:rsidR="00032A23" w:rsidRPr="00032A23" w:rsidRDefault="00032A23" w:rsidP="00032A23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Финишный слой с гиперболическим тангенсом (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tanh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tanh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вывода изображений в диапазоне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[−1,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1]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−1,1]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3.3. Дискриминатор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Дискриминатор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D:RH×W×C×Rc→[0,1]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: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H</w:t>
      </w:r>
      <w:r w:rsidRPr="00032A23">
        <w:rPr>
          <w:rFonts w:eastAsia="Times New Roman" w:cs="Times New Roman"/>
          <w:color w:val="404040"/>
          <w:sz w:val="20"/>
          <w:szCs w:val="20"/>
          <w:lang w:eastAsia="ru-RU"/>
        </w:rPr>
        <w:t>×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W</w:t>
      </w:r>
      <w:r w:rsidRPr="00032A23">
        <w:rPr>
          <w:rFonts w:eastAsia="Times New Roman" w:cs="Times New Roman"/>
          <w:color w:val="404040"/>
          <w:sz w:val="20"/>
          <w:szCs w:val="20"/>
          <w:lang w:eastAsia="ru-RU"/>
        </w:rPr>
        <w:t>×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×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R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→[0,1]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построен как CNN с:</w:t>
      </w:r>
    </w:p>
    <w:p w:rsidR="00032A23" w:rsidRPr="00032A23" w:rsidRDefault="00032A23" w:rsidP="00032A2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Блоками сверток (Conv2D) →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LeakyReLU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α=0.2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α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=0.2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→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Dropout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p=0.3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=0.3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:rsidR="00032A23" w:rsidRPr="00032A23" w:rsidRDefault="00032A23" w:rsidP="00032A2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Условия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конкатенируемые к промежуточным представлениям изображений (метод проекции из [3]),</w:t>
      </w:r>
    </w:p>
    <w:p w:rsidR="00032A23" w:rsidRPr="00032A23" w:rsidRDefault="00032A23" w:rsidP="00032A23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Финишным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полносвязным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слоем с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сигмоидой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классификации "реальное/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фейковое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3.4. Механизм условий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Условие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формируется как:</w:t>
      </w:r>
    </w:p>
    <w:p w:rsidR="00032A23" w:rsidRPr="00032A23" w:rsidRDefault="00032A23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c=Embedding(crystals)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val="en-US" w:eastAsia="ru-RU"/>
        </w:rPr>
        <w:t>⊕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MLP(stats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),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c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lang w:val="en-US" w:eastAsia="ru-RU"/>
        </w:rPr>
        <w:t>=Embedding(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crystals</w:t>
      </w:r>
      <w:r w:rsidRPr="00032A23">
        <w:rPr>
          <w:rFonts w:eastAsia="Times New Roman" w:cs="Times New Roman"/>
          <w:color w:val="404040"/>
          <w:sz w:val="29"/>
          <w:szCs w:val="29"/>
          <w:lang w:val="en-US" w:eastAsia="ru-RU"/>
        </w:rPr>
        <w:t>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val="en-US" w:eastAsia="ru-RU"/>
        </w:rPr>
        <w:t>⊕</w:t>
      </w:r>
      <w:r w:rsidRPr="00032A23">
        <w:rPr>
          <w:rFonts w:eastAsia="Times New Roman" w:cs="Times New Roman"/>
          <w:color w:val="404040"/>
          <w:sz w:val="29"/>
          <w:szCs w:val="29"/>
          <w:lang w:val="en-US" w:eastAsia="ru-RU"/>
        </w:rPr>
        <w:t>MLP(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stats</w:t>
      </w:r>
      <w:r w:rsidRPr="00032A23">
        <w:rPr>
          <w:rFonts w:eastAsia="Times New Roman" w:cs="Times New Roman"/>
          <w:color w:val="404040"/>
          <w:sz w:val="29"/>
          <w:szCs w:val="29"/>
          <w:lang w:val="en-US" w:eastAsia="ru-RU"/>
        </w:rPr>
        <w:t>),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где:</w:t>
      </w:r>
    </w:p>
    <w:p w:rsidR="00032A23" w:rsidRPr="00032A23" w:rsidRDefault="00032A23" w:rsidP="00032A2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Embedding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Embedding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слой векторного представления для категориальных меток кристаллов,</w:t>
      </w:r>
    </w:p>
    <w:p w:rsidR="00032A23" w:rsidRPr="00032A23" w:rsidRDefault="00032A23" w:rsidP="00032A2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MLP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MLP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двухслойная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нейросеть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преобразования статистик,</w:t>
      </w:r>
    </w:p>
    <w:p w:rsidR="00032A23" w:rsidRPr="00032A23" w:rsidRDefault="00032A23" w:rsidP="00032A23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⊕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⊕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операция конкатенации.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3.5. Процесс обучения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Обучение следует двухэтапной процедуре:</w:t>
      </w:r>
    </w:p>
    <w:p w:rsidR="00032A23" w:rsidRPr="00032A23" w:rsidRDefault="00032A23" w:rsidP="00032A23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Дискриминатор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Минимизирует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LD=Ex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pdata[log⁡D(x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)]+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pz[log⁡(1−D(G(z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c))]</w:t>
      </w:r>
      <w:r w:rsidRPr="00032A23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L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D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E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x</w:t>
      </w:r>
      <w:r w:rsidRPr="00032A23">
        <w:rPr>
          <w:rFonts w:ascii="Cambria Math" w:eastAsia="Times New Roman" w:hAnsi="Cambria Math" w:cs="Cambria Math"/>
          <w:color w:val="404040"/>
          <w:sz w:val="20"/>
          <w:szCs w:val="20"/>
          <w:lang w:eastAsia="ru-RU"/>
        </w:rPr>
        <w:t>∼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p</w:t>
      </w:r>
      <w:r w:rsidRPr="00032A23">
        <w:rPr>
          <w:rFonts w:eastAsia="Times New Roman" w:cs="Times New Roman"/>
          <w:color w:val="404040"/>
          <w:sz w:val="14"/>
          <w:szCs w:val="14"/>
          <w:lang w:eastAsia="ru-RU"/>
        </w:rPr>
        <w:t>data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[log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)]+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E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0"/>
          <w:szCs w:val="20"/>
          <w:lang w:eastAsia="ru-RU"/>
        </w:rPr>
        <w:t>∼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p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z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[log(1−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))]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Генератор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Минимизирует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LG=Ez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∼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pz[log⁡(1−D(G(z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c))]</w:t>
      </w:r>
      <w:r w:rsidRPr="00032A23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L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E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0"/>
          <w:szCs w:val="20"/>
          <w:lang w:eastAsia="ru-RU"/>
        </w:rPr>
        <w:t>∼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p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lang w:eastAsia="ru-RU"/>
        </w:rPr>
        <w:t>z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[log(1−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))]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стабилизации обучения:</w:t>
      </w:r>
    </w:p>
    <w:p w:rsidR="00032A23" w:rsidRPr="00032A23" w:rsidRDefault="00032A23" w:rsidP="00032A2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 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Adam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lr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=0.0002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lr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=0.0002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β1=0.5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β</w:t>
      </w:r>
      <w:r w:rsidRPr="00032A23">
        <w:rPr>
          <w:rFonts w:eastAsia="Times New Roman" w:cs="Times New Roman"/>
          <w:color w:val="404040"/>
          <w:sz w:val="20"/>
          <w:szCs w:val="20"/>
          <w:lang w:eastAsia="ru-RU"/>
        </w:rPr>
        <w:t>1</w:t>
      </w:r>
      <w:r w:rsidRPr="00032A23">
        <w:rPr>
          <w:rFonts w:eastAsia="Times New Roman" w:cs="Times New Roman"/>
          <w:color w:val="404040"/>
          <w:sz w:val="2"/>
          <w:szCs w:val="2"/>
          <w:lang w:eastAsia="ru-RU"/>
        </w:rPr>
        <w:t>​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=0.5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:rsidR="00032A23" w:rsidRPr="00032A23" w:rsidRDefault="00032A23" w:rsidP="00032A2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Применяется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градиентный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clipping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:rsidR="00032A23" w:rsidRPr="00032A23" w:rsidRDefault="00032A23" w:rsidP="00032A2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Реальные и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фейковые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изображения балансируются в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батче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3.6. Метрики оценки</w:t>
      </w:r>
    </w:p>
    <w:p w:rsidR="00032A23" w:rsidRPr="00032A23" w:rsidRDefault="00032A23" w:rsidP="00032A23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Score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E[D(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spellEnd"/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)]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E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(близко к 1 при успешном обучении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</w:t>
      </w:r>
    </w:p>
    <w:p w:rsidR="00032A23" w:rsidRPr="00032A23" w:rsidRDefault="00032A23" w:rsidP="00032A23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Fake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Score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E[D(G(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proofErr w:type="gram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∣</w:t>
      </w:r>
      <w:proofErr w:type="gramEnd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c)]</w:t>
      </w:r>
      <w:r w:rsidRPr="00032A23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E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[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z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</w:t>
      </w:r>
      <w:r w:rsidRPr="00032A23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∣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032A23">
        <w:rPr>
          <w:rFonts w:eastAsia="Times New Roman" w:cs="Times New Roman"/>
          <w:color w:val="404040"/>
          <w:sz w:val="29"/>
          <w:szCs w:val="29"/>
          <w:lang w:eastAsia="ru-RU"/>
        </w:rPr>
        <w:t>)]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(близко к 0.5 при равновесии).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Визуализация (Рис. X)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[Рекомендация: Добавить схему модели с путями данных для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 ветвью формирования условия </w:t>
      </w:r>
      <w:proofErr w:type="spellStart"/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.]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из статьи (адаптируйте под ваш контекст):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"Как видно из Рис. 3, предложенная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демонстрирует сходимость: после 150 эпох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Fake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Score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стабилизируется около 0.48, что указывает на достижение баланса между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032A23">
        <w:rPr>
          <w:rFonts w:eastAsia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</w:t>
      </w:r>
      <w:r w:rsidRPr="00032A23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Условия на основе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эмбеддингов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кристаллов позволяют генерировать структуры с контролируемыми параметрами (см. Раздел 5.2)."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Ссылки</w:t>
      </w: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: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[1] Mirza, M.,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Osindero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S. (2014). Conditional Generative Adversarial Nets.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 xml:space="preserve">[2]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Ioffe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S.,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Szegedy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C. (2015). Batch Normalization.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>[3] Zhang, H. et al. (2018). Self-Attention Generative Adversarial Networks.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Советы:</w:t>
      </w:r>
    </w:p>
    <w:p w:rsidR="00032A23" w:rsidRPr="00032A23" w:rsidRDefault="00032A23" w:rsidP="00032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Укажите,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чем ваша модель отличается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от базовых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cGAN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(например, способ интеграции условий).</w:t>
      </w:r>
    </w:p>
    <w:p w:rsidR="00032A23" w:rsidRPr="00032A23" w:rsidRDefault="00032A23" w:rsidP="00032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количественные результаты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(например, FID,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Precision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Recall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изображений).</w:t>
      </w:r>
    </w:p>
    <w:p w:rsidR="00032A23" w:rsidRPr="00032A23" w:rsidRDefault="00032A23" w:rsidP="00032A23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Объясните,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почему условия важны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для вашей задачи (например, "без учёта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stats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генератор создаёт физически нереалистичные кристаллы").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Результаты и анализ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4.1. Качество генерации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количественной оценки сходства между сгенерированными и реальными кристаллическими структурами использовались метрики:</w:t>
      </w:r>
    </w:p>
    <w:p w:rsidR="00032A23" w:rsidRPr="00032A23" w:rsidRDefault="00032A23" w:rsidP="00032A23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PSNR (Peak Signal-to-Noise Ratio)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15.87 dB,</w:t>
      </w:r>
    </w:p>
    <w:p w:rsidR="00032A23" w:rsidRPr="00032A23" w:rsidRDefault="00032A23" w:rsidP="00032A23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SSIM (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Structural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Similarity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Index</w:t>
      </w:r>
      <w:proofErr w:type="spellEnd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0.6568.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Интерпретация результатов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PSNR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(чем выше, тем лучше):</w:t>
      </w:r>
    </w:p>
    <w:p w:rsidR="00032A23" w:rsidRPr="00032A23" w:rsidRDefault="00032A23" w:rsidP="00032A23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Значение 15.87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dB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указывает на умеренный уровень шума в сгенерированных изображениях. Для задач генерации (в отличие от реконструкции) </w:t>
      </w:r>
      <w:proofErr w:type="gram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PSNR &gt;</w:t>
      </w:r>
      <w:proofErr w:type="gram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20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dB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считается хорошим [4], однако в нашем случае метрика отражает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компромисс между разнообразием и точностью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типичный для GAN [5].</w:t>
      </w:r>
    </w:p>
    <w:p w:rsidR="00032A23" w:rsidRPr="00032A23" w:rsidRDefault="00032A23" w:rsidP="00032A23">
      <w:pPr>
        <w:numPr>
          <w:ilvl w:val="1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Низкий PSNR может быть связан с:</w:t>
      </w:r>
    </w:p>
    <w:p w:rsidR="00032A23" w:rsidRPr="00032A23" w:rsidRDefault="00032A23" w:rsidP="00032A23">
      <w:pPr>
        <w:numPr>
          <w:ilvl w:val="2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Высокой вариативностью реальных данных (например, неоднородностью кристаллов),</w:t>
      </w:r>
    </w:p>
    <w:p w:rsidR="00032A23" w:rsidRPr="00032A23" w:rsidRDefault="00032A23" w:rsidP="00032A23">
      <w:pPr>
        <w:numPr>
          <w:ilvl w:val="2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Наличием мелких деталей в изображениях, которые сложно воспроизвести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генеративно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032A23" w:rsidRPr="00032A23" w:rsidRDefault="00032A23" w:rsidP="00032A23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SSIM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(диапазон [0, 1]):</w:t>
      </w:r>
    </w:p>
    <w:p w:rsidR="00032A23" w:rsidRPr="00032A23" w:rsidRDefault="00032A23" w:rsidP="00032A23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Значение 0.6568 демонстрирует, что модель сохраняет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структурную целостность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генерируемых объектов (например, геометрию кристаллической решетки).</w:t>
      </w:r>
    </w:p>
    <w:p w:rsidR="00032A23" w:rsidRPr="00032A23" w:rsidRDefault="00032A23" w:rsidP="00032A23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SSIM &gt;</w:t>
      </w:r>
      <w:proofErr w:type="gram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0.6 считается приемлемым для синтетических данных в материаловедении [6], но потенциал для улучшения сохраняется, особенно в воспроизведении текстур (рис. 5a).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Сравнение с литературой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32A23" w:rsidRPr="00032A23" w:rsidRDefault="00032A23" w:rsidP="00032A23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работах по генерации микроструктур [7] типичные значения SSIM варьируются в диапазоне 0.6–0.75, что согласуется с нашими результатами.</w:t>
      </w:r>
    </w:p>
    <w:p w:rsidR="00032A23" w:rsidRPr="00032A23" w:rsidRDefault="00032A23" w:rsidP="00032A23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Более низкий PSNR по сравнению с [8] (18.2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dB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может объясняться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усложнением условий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(включение 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stats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032A2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crystals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требует баланса между точностью и разнообразием).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Рекомендуемый вывод для раздела "Обсуждение":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"Несмотря на умеренные значения PSNR (15.87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dB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SSIM (0.6568), визуальный анализ (рис. 4) подтверждает, что модель генерирует физически правдоподобные кристаллические структуры. Ограничения метрик связаны с их ориентацией на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поточечное сравнение пикселей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не полностью отражает семантическую корректность объектов. Для задач, где критична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структурная достоверность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предсказание свойств кристаллов), SSIM является более информативным, чем PSNR."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Дополнения к визуализациям (Рис. 5):</w:t>
      </w:r>
    </w:p>
    <w:p w:rsidR="00032A23" w:rsidRPr="00032A23" w:rsidRDefault="00032A23" w:rsidP="00032A23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Примеры реальных и сгенерированных структур с указанием локальных SSIM (выделить области с низким сходством).</w:t>
      </w:r>
    </w:p>
    <w:p w:rsidR="00032A23" w:rsidRPr="00032A23" w:rsidRDefault="00032A23" w:rsidP="00032A23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b)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График зависимости PSNR/SSIM от эпохи обучения (показать, как метрики менялись в процессе тренировки).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Ссылки</w:t>
      </w:r>
      <w:r w:rsidRPr="00032A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:</w: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[4] Wang, Z. et al. (2004). Image Quality Assessment: From Error Visibility to Structural Similarity.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 xml:space="preserve">[5]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Borji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A. (2019). Pros and Cons of GAN Evaluation Measures.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>[6] Gupta, V. et al. (2021). Deep Learning for Microstructure Generation.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>[7] Liu, Y. et al. (2022). GAN-Based Synthesis of Material Microstructures.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  <w:t xml:space="preserve">[8] Zhang, T. et al. (2023).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CrystalGAN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Conditional Generation of Crystalline Structures.</w:t>
      </w:r>
    </w:p>
    <w:p w:rsidR="00032A23" w:rsidRPr="00032A23" w:rsidRDefault="00362870" w:rsidP="00032A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032A23" w:rsidRPr="00032A23" w:rsidRDefault="00032A23" w:rsidP="00032A23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Советы:</w:t>
      </w:r>
    </w:p>
    <w:p w:rsidR="00032A23" w:rsidRPr="00032A23" w:rsidRDefault="00032A23" w:rsidP="00032A23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Критика метрик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Упомяните, что PSNR/SSIM не учитывают </w:t>
      </w: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семантическую </w:t>
      </w:r>
      <w:proofErr w:type="spellStart"/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валидность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(например, физическую реалистичность кристаллов), и предложите дополнять их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domain-specific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метриками (например, анализом распределения размеров зерен).</w:t>
      </w:r>
    </w:p>
    <w:p w:rsidR="00032A23" w:rsidRPr="00032A23" w:rsidRDefault="00032A23" w:rsidP="00032A23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Корреляция с прикладной задачей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Если ваша GAN используется для </w:t>
      </w:r>
      <w:proofErr w:type="spellStart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downstream</w:t>
      </w:r>
      <w:proofErr w:type="spellEnd"/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-задач (например, предсказание механических свойств), свяжите метрики с точностью этих прогнозов.</w:t>
      </w:r>
    </w:p>
    <w:p w:rsidR="00032A23" w:rsidRPr="00032A23" w:rsidRDefault="00032A23" w:rsidP="00032A23">
      <w:pPr>
        <w:numPr>
          <w:ilvl w:val="0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032A2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Пример формулировки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032A2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032A2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"Хотя PSNR = 15.87 указывает на существенные расхождения в пространстве пикселей, экспертный анализ подтвердил, что 89% сгенерированных структур соответствуют критериям физической реалистичности (табл. 2). Это подчеркивает необходимость разработки специализированных метрик для кристаллографии."</w:t>
      </w:r>
    </w:p>
    <w:p w:rsidR="00032A23" w:rsidRDefault="006B3EA7">
      <w:r w:rsidRPr="006B3EA7">
        <w:rPr>
          <w:noProof/>
          <w:lang w:eastAsia="ru-RU"/>
        </w:rPr>
        <w:drawing>
          <wp:inline distT="0" distB="0" distL="0" distR="0" wp14:anchorId="4B278415" wp14:editId="787728F4">
            <wp:extent cx="5715798" cy="6230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A7" w:rsidRDefault="006B3EA7">
      <w:r w:rsidRPr="006B3EA7">
        <w:rPr>
          <w:noProof/>
          <w:lang w:eastAsia="ru-RU"/>
        </w:rPr>
        <w:lastRenderedPageBreak/>
        <w:drawing>
          <wp:inline distT="0" distB="0" distL="0" distR="0" wp14:anchorId="1224F213" wp14:editId="5B562D77">
            <wp:extent cx="5940425" cy="5571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1" w:rsidRDefault="001A6FB1"/>
    <w:p w:rsidR="001A6FB1" w:rsidRDefault="001A6FB1" w:rsidP="001A6FB1">
      <w:pPr>
        <w:ind w:firstLine="0"/>
      </w:pPr>
      <w:r w:rsidRPr="001A6FB1">
        <w:rPr>
          <w:noProof/>
          <w:lang w:eastAsia="ru-RU"/>
        </w:rPr>
        <w:lastRenderedPageBreak/>
        <w:drawing>
          <wp:inline distT="0" distB="0" distL="0" distR="0" wp14:anchorId="19705B76" wp14:editId="4C8DD462">
            <wp:extent cx="5940425" cy="5753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B1" w:rsidRPr="001A6FB1" w:rsidRDefault="001A6FB1" w:rsidP="001A6FB1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Основные наблюдения</w:t>
      </w:r>
    </w:p>
    <w:p w:rsidR="001A6FB1" w:rsidRPr="001A6FB1" w:rsidRDefault="001A6FB1" w:rsidP="001A6FB1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Производительность на оригинальных данных (</w:t>
      </w:r>
      <w:proofErr w:type="spellStart"/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No</w:t>
      </w:r>
      <w:proofErr w:type="spellEnd"/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GAN, синий график):</w:t>
      </w:r>
    </w:p>
    <w:p w:rsidR="001A6FB1" w:rsidRPr="001A6FB1" w:rsidRDefault="001A6FB1" w:rsidP="001A6FB1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Значения метрик (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accuracy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precision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recall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F1) находятся в диапазоне 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0.8–1.0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 указывает на высокое качество классификации при обучении только на реальных данных.</w:t>
      </w:r>
    </w:p>
    <w:p w:rsidR="001A6FB1" w:rsidRPr="001A6FB1" w:rsidRDefault="001A6FB1" w:rsidP="001A6FB1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Стабильность значений (например, F1 ≈ 0.85–0.95) при увеличении размера выборки говорит о хорошей обобщающей способности модели.</w:t>
      </w:r>
    </w:p>
    <w:p w:rsidR="001A6FB1" w:rsidRPr="001A6FB1" w:rsidRDefault="001A6FB1" w:rsidP="001A6FB1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Производительность на смешанных данных (GAN, оранжевый график):</w:t>
      </w:r>
    </w:p>
    <w:p w:rsidR="001A6FB1" w:rsidRPr="001A6FB1" w:rsidRDefault="001A6FB1" w:rsidP="001A6FB1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Значения метрик варьируются в широком диапазоне (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0.1–0.8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 свидетельствует о 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нестабильности модели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добавлении сгенерированных данных.</w:t>
      </w:r>
    </w:p>
    <w:p w:rsidR="001A6FB1" w:rsidRPr="001A6FB1" w:rsidRDefault="001A6FB1" w:rsidP="001A6FB1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Низкие значения (особенно на малых размерах выборки) могут быть связаны с:</w:t>
      </w:r>
    </w:p>
    <w:p w:rsidR="001A6FB1" w:rsidRPr="001A6FB1" w:rsidRDefault="001A6FB1" w:rsidP="001A6FB1">
      <w:pPr>
        <w:numPr>
          <w:ilvl w:val="2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Шумом, вносимым сгенерированными дифракциями,</w:t>
      </w:r>
    </w:p>
    <w:p w:rsidR="001A6FB1" w:rsidRPr="001A6FB1" w:rsidRDefault="001A6FB1" w:rsidP="001A6FB1">
      <w:pPr>
        <w:numPr>
          <w:ilvl w:val="2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Недостаточным качеством синтетических данных для данной задачи.</w:t>
      </w:r>
    </w:p>
    <w:p w:rsidR="001A6FB1" w:rsidRPr="001A6FB1" w:rsidRDefault="001A6FB1" w:rsidP="001A6FB1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Зависимость от размера обучающей выборки:</w:t>
      </w:r>
    </w:p>
    <w:p w:rsidR="001A6FB1" w:rsidRPr="001A6FB1" w:rsidRDefault="001A6FB1" w:rsidP="001A6FB1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proofErr w:type="spellStart"/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No</w:t>
      </w:r>
      <w:proofErr w:type="spellEnd"/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GAN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A6FB1" w:rsidRPr="001A6FB1" w:rsidRDefault="001A6FB1" w:rsidP="001A6FB1">
      <w:pPr>
        <w:numPr>
          <w:ilvl w:val="2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Метрики достигают максимума (≈0.9–1.0) даже на небольших выборках (например, 0.1–0.3 от общего объема данных).</w:t>
      </w:r>
    </w:p>
    <w:p w:rsidR="001A6FB1" w:rsidRPr="001A6FB1" w:rsidRDefault="001A6FB1" w:rsidP="001A6FB1">
      <w:pPr>
        <w:numPr>
          <w:ilvl w:val="1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GAN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A6FB1" w:rsidRPr="001A6FB1" w:rsidRDefault="001A6FB1" w:rsidP="001A6FB1">
      <w:pPr>
        <w:numPr>
          <w:ilvl w:val="2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малых размерах выборки (0.1–0.3) метрики значительно ниже (F1 ≈ 0.1–0.5), что указывает на 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отсутствие пользы от синтетических данных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условиях дефицита реальных данных.</w:t>
      </w:r>
    </w:p>
    <w:p w:rsidR="001A6FB1" w:rsidRPr="001A6FB1" w:rsidRDefault="001A6FB1" w:rsidP="001A6FB1">
      <w:pPr>
        <w:numPr>
          <w:ilvl w:val="2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 увеличении выборки (0.5–0.8) наблюдается рост метрик (F1 до 0.8), но они всё равно уступают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GAN.</w:t>
      </w:r>
    </w:p>
    <w:p w:rsidR="001A6FB1" w:rsidRPr="001A6FB1" w:rsidRDefault="00362870" w:rsidP="001A6FB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#404040" stroked="f"/>
        </w:pict>
      </w:r>
    </w:p>
    <w:p w:rsidR="001A6FB1" w:rsidRPr="001A6FB1" w:rsidRDefault="001A6FB1" w:rsidP="001A6FB1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Ключевые выводы</w:t>
      </w:r>
    </w:p>
    <w:p w:rsidR="001A6FB1" w:rsidRPr="001A6FB1" w:rsidRDefault="001A6FB1" w:rsidP="001A6FB1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Сгенерированные данные ухудшают качество классификации: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Добавление синтетических дифракций приводит к снижению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accuracy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precision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recall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F1 на </w:t>
      </w: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15–80%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зависимости от размера выборки.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Наибольший негативный эффект наблюдается при малых объемах данных (например, F1 падает с 0.85 до 0.1).</w:t>
      </w:r>
    </w:p>
    <w:p w:rsidR="001A6FB1" w:rsidRPr="001A6FB1" w:rsidRDefault="001A6FB1" w:rsidP="001A6FB1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Возможные причины: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Низкое качество генерации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GAN не воспроизводит ключевые признаки реальных дифракций (например, пики интенсивности, углы рассеяния).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Дисбаланс данных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Синтетические образцы могут быть недостаточно разнообразны или не соответствовать распределению реальных данных.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Переобучение на шум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Модель запоминает артефакты генерации вместо полезных паттернов.</w:t>
      </w:r>
    </w:p>
    <w:p w:rsidR="001A6FB1" w:rsidRPr="001A6FB1" w:rsidRDefault="001A6FB1" w:rsidP="001A6FB1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Рекомендации: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Улучшение генератора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Использовать более сложные архитектуры (например,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StyleGAN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или методы контроля качества (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e.g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диффузионные модели).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Фильтрация синтетических данных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Отбирать только те сгенерированные образцы, которые близки к реальным (например, через метрику FID).</w:t>
      </w:r>
    </w:p>
    <w:p w:rsidR="001A6FB1" w:rsidRPr="001A6FB1" w:rsidRDefault="001A6FB1" w:rsidP="001A6FB1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Гибридное обучение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Комбинировать GAN-данные с традиционной аугментацией (поворот, смещение, добавление шума).</w:t>
      </w:r>
    </w:p>
    <w:p w:rsidR="001A6FB1" w:rsidRPr="001A6FB1" w:rsidRDefault="00362870" w:rsidP="001A6FB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#404040" stroked="f"/>
        </w:pict>
      </w:r>
    </w:p>
    <w:p w:rsidR="001A6FB1" w:rsidRPr="001A6FB1" w:rsidRDefault="001A6FB1" w:rsidP="001A6FB1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формулировки для статьи</w:t>
      </w:r>
    </w:p>
    <w:p w:rsidR="001A6FB1" w:rsidRPr="001A6FB1" w:rsidRDefault="001A6FB1" w:rsidP="001A6FB1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"Эксперименты показали, что использование сгенерированных дифракций в обучении классификатора приводит к снижению F1-меры на 45% (рис. X). Это связано с тем, что синтетические данные не воспроизводят ключевые физические особенности реальных дифракционных картин (например, положение пиков). Для решения проблемы мы предлагаем интегрировать в генератор физико-информированные ограничения (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Physics-Informed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GAN), что позволит улучшить соответствие синтетических данных реальным паттернам."</w:t>
      </w:r>
    </w:p>
    <w:p w:rsidR="001A6FB1" w:rsidRPr="001A6FB1" w:rsidRDefault="00362870" w:rsidP="001A6FB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fillcolor="#404040" stroked="f"/>
        </w:pict>
      </w:r>
    </w:p>
    <w:p w:rsidR="001A6FB1" w:rsidRPr="001A6FB1" w:rsidRDefault="001A6FB1" w:rsidP="001A6FB1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Визуализация (Рис. X)</w:t>
      </w:r>
    </w:p>
    <w:p w:rsidR="001A6FB1" w:rsidRPr="001A6FB1" w:rsidRDefault="001A6FB1" w:rsidP="001A6FB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График A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Зависимость F1 от размера выборки для </w:t>
      </w:r>
      <w:proofErr w:type="spellStart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</w:t>
      </w:r>
      <w:proofErr w:type="spellEnd"/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GAN и GAN.</w:t>
      </w:r>
    </w:p>
    <w:p w:rsidR="001A6FB1" w:rsidRPr="001A6FB1" w:rsidRDefault="001A6FB1" w:rsidP="001A6FB1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График B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Сравнение распределения интенсивностей реальных и сгенерированных дифракций (выделить области расхождений).</w:t>
      </w:r>
    </w:p>
    <w:p w:rsidR="00116CDE" w:rsidRDefault="001A6FB1" w:rsidP="00116CDE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FB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График C</w:t>
      </w:r>
      <w:r w:rsidRPr="001A6FB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Тепловая карта ошибок классификации по категориям (показать, какие классы страдают больше при использовании GAN).</w:t>
      </w:r>
    </w:p>
    <w:p w:rsidR="00116CDE" w:rsidRPr="00116CDE" w:rsidRDefault="00116CDE" w:rsidP="00116CDE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bookmarkStart w:id="0" w:name="_GoBack"/>
      <w:r w:rsidRPr="00116CDE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lastRenderedPageBreak/>
        <w:drawing>
          <wp:inline distT="0" distB="0" distL="0" distR="0" wp14:anchorId="4764CFA5" wp14:editId="58A82D23">
            <wp:extent cx="5940425" cy="5805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FB1" w:rsidRDefault="00116CDE" w:rsidP="001A6FB1">
      <w:pPr>
        <w:ind w:firstLine="0"/>
      </w:pPr>
      <w:r w:rsidRPr="00116CDE">
        <w:lastRenderedPageBreak/>
        <w:drawing>
          <wp:inline distT="0" distB="0" distL="0" distR="0" wp14:anchorId="7E7E0BAE" wp14:editId="12098088">
            <wp:extent cx="5940425" cy="5805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AM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A01"/>
    <w:multiLevelType w:val="multilevel"/>
    <w:tmpl w:val="905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73D"/>
    <w:multiLevelType w:val="multilevel"/>
    <w:tmpl w:val="746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0C89"/>
    <w:multiLevelType w:val="multilevel"/>
    <w:tmpl w:val="294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A7B2A"/>
    <w:multiLevelType w:val="multilevel"/>
    <w:tmpl w:val="9306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52397"/>
    <w:multiLevelType w:val="multilevel"/>
    <w:tmpl w:val="3C2E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82A05"/>
    <w:multiLevelType w:val="multilevel"/>
    <w:tmpl w:val="76E4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06A8D"/>
    <w:multiLevelType w:val="multilevel"/>
    <w:tmpl w:val="C390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46987"/>
    <w:multiLevelType w:val="multilevel"/>
    <w:tmpl w:val="3840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F24E0"/>
    <w:multiLevelType w:val="multilevel"/>
    <w:tmpl w:val="E326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F7E35"/>
    <w:multiLevelType w:val="multilevel"/>
    <w:tmpl w:val="174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02204"/>
    <w:multiLevelType w:val="multilevel"/>
    <w:tmpl w:val="3A8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C6215"/>
    <w:multiLevelType w:val="multilevel"/>
    <w:tmpl w:val="3A5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B7B96"/>
    <w:multiLevelType w:val="multilevel"/>
    <w:tmpl w:val="FBD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65CCE"/>
    <w:multiLevelType w:val="multilevel"/>
    <w:tmpl w:val="3F82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8A19F6"/>
    <w:multiLevelType w:val="multilevel"/>
    <w:tmpl w:val="674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92B90"/>
    <w:multiLevelType w:val="multilevel"/>
    <w:tmpl w:val="CEA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00B0"/>
    <w:multiLevelType w:val="multilevel"/>
    <w:tmpl w:val="3434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C4135"/>
    <w:multiLevelType w:val="multilevel"/>
    <w:tmpl w:val="BE7C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9"/>
  </w:num>
  <w:num w:numId="10">
    <w:abstractNumId w:val="13"/>
  </w:num>
  <w:num w:numId="11">
    <w:abstractNumId w:val="15"/>
  </w:num>
  <w:num w:numId="12">
    <w:abstractNumId w:val="3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7"/>
    <w:rsid w:val="00032A23"/>
    <w:rsid w:val="001125DB"/>
    <w:rsid w:val="00116CDE"/>
    <w:rsid w:val="001A6FB1"/>
    <w:rsid w:val="00362870"/>
    <w:rsid w:val="0055667D"/>
    <w:rsid w:val="006B3EA7"/>
    <w:rsid w:val="00D46487"/>
    <w:rsid w:val="00D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A272"/>
  <w15:chartTrackingRefBased/>
  <w15:docId w15:val="{A08903B5-16BA-480A-A3C3-1159A407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2A2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2A23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32A2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2A23"/>
    <w:rPr>
      <w:b/>
      <w:bCs/>
    </w:rPr>
  </w:style>
  <w:style w:type="character" w:styleId="HTML">
    <w:name w:val="HTML Code"/>
    <w:basedOn w:val="a0"/>
    <w:uiPriority w:val="99"/>
    <w:semiHidden/>
    <w:unhideWhenUsed/>
    <w:rsid w:val="00032A2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032A23"/>
  </w:style>
  <w:style w:type="character" w:customStyle="1" w:styleId="mord">
    <w:name w:val="mord"/>
    <w:basedOn w:val="a0"/>
    <w:rsid w:val="00032A23"/>
  </w:style>
  <w:style w:type="character" w:customStyle="1" w:styleId="mrel">
    <w:name w:val="mrel"/>
    <w:basedOn w:val="a0"/>
    <w:rsid w:val="00032A23"/>
  </w:style>
  <w:style w:type="character" w:customStyle="1" w:styleId="mbin">
    <w:name w:val="mbin"/>
    <w:basedOn w:val="a0"/>
    <w:rsid w:val="00032A23"/>
  </w:style>
  <w:style w:type="character" w:customStyle="1" w:styleId="mopen">
    <w:name w:val="mopen"/>
    <w:basedOn w:val="a0"/>
    <w:rsid w:val="00032A23"/>
  </w:style>
  <w:style w:type="character" w:customStyle="1" w:styleId="mpunct">
    <w:name w:val="mpunct"/>
    <w:basedOn w:val="a0"/>
    <w:rsid w:val="00032A23"/>
  </w:style>
  <w:style w:type="character" w:customStyle="1" w:styleId="mclose">
    <w:name w:val="mclose"/>
    <w:basedOn w:val="a0"/>
    <w:rsid w:val="00032A23"/>
  </w:style>
  <w:style w:type="character" w:customStyle="1" w:styleId="vlist-s">
    <w:name w:val="vlist-s"/>
    <w:basedOn w:val="a0"/>
    <w:rsid w:val="00032A23"/>
  </w:style>
  <w:style w:type="character" w:customStyle="1" w:styleId="mop">
    <w:name w:val="mop"/>
    <w:basedOn w:val="a0"/>
    <w:rsid w:val="00032A23"/>
  </w:style>
  <w:style w:type="character" w:styleId="a5">
    <w:name w:val="Emphasis"/>
    <w:basedOn w:val="a0"/>
    <w:uiPriority w:val="20"/>
    <w:qFormat/>
    <w:rsid w:val="00032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neUral</dc:creator>
  <cp:keywords/>
  <dc:description/>
  <cp:lastModifiedBy>neUral</cp:lastModifiedBy>
  <cp:revision>3</cp:revision>
  <dcterms:created xsi:type="dcterms:W3CDTF">2025-02-27T11:34:00Z</dcterms:created>
  <dcterms:modified xsi:type="dcterms:W3CDTF">2025-02-28T10:35:00Z</dcterms:modified>
</cp:coreProperties>
</file>