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1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[√</w:t>
            </w:r>
            <w:bookmarkStart w:id="27" w:name="_GoBack"/>
            <w:bookmarkEnd w:id="27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  <w:lang w:val="en-US" w:eastAsia="zh-CN"/>
        </w:rPr>
        <w:t>测试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  <w:lang w:val="en-US" w:eastAsia="zh-CN"/>
        </w:rPr>
        <w:t>Testing</w:t>
      </w:r>
      <w:r>
        <w:rPr>
          <w:rFonts w:cs="Times New Roman"/>
          <w:b/>
          <w:spacing w:val="15"/>
          <w:sz w:val="32"/>
          <w:szCs w:val="56"/>
        </w:rPr>
        <w:t xml:space="preserve">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27132"/>
      <w:bookmarkStart w:id="1" w:name="_Toc447553497"/>
      <w:bookmarkStart w:id="2" w:name="_Toc502228458"/>
      <w:bookmarkStart w:id="3" w:name="_Toc495739754"/>
      <w:bookmarkStart w:id="4" w:name="_Toc466742046"/>
      <w:bookmarkStart w:id="5" w:name="_Toc466020645"/>
      <w:bookmarkStart w:id="6" w:name="_Toc12861"/>
      <w:bookmarkStart w:id="7" w:name="_Toc446076693"/>
      <w:bookmarkStart w:id="8" w:name="_Toc60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4048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在CSDN找到了中文翻译的IEEE829的测试计划模板，并尝试融合到我项目小组的文档格式中。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2019/1/13-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完善了部分内容，但还有大量内容需要修改。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2019/1/15-2019/1/15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由于评审需求故将其提到发布版本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1999"/>
        <w:docPartObj>
          <w:docPartGallery w:val="Table of Contents"/>
          <w:docPartUnique/>
        </w:docPartObj>
      </w:sdtPr>
      <w:sdtEndPr>
        <w:rPr>
          <w:rFonts w:ascii="Calibri Light" w:hAnsi="Calibri Light" w:eastAsia="宋体" w:cs="Times New Roman"/>
          <w:spacing w:val="15"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ascii="Calibri Light" w:hAnsi="Calibri Light"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_Toc4048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_Toc3772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_Toc3772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_Toc24594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_Toc24594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_Toc19701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测试项</w:t>
          </w:r>
          <w:r>
            <w:tab/>
          </w:r>
          <w:r>
            <w:fldChar w:fldCharType="begin"/>
          </w:r>
          <w:r>
            <w:instrText xml:space="preserve"> PAGEREF _Toc19701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_Toc16908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要测试的特性</w:t>
          </w:r>
          <w:r>
            <w:tab/>
          </w:r>
          <w:r>
            <w:fldChar w:fldCharType="begin"/>
          </w:r>
          <w:r>
            <w:instrText xml:space="preserve"> PAGEREF _Toc16908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_Toc21553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不会被测试的特性</w:t>
          </w:r>
          <w:r>
            <w:tab/>
          </w:r>
          <w:r>
            <w:fldChar w:fldCharType="begin"/>
          </w:r>
          <w:r>
            <w:instrText xml:space="preserve"> PAGEREF _Toc21553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_Toc7023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_Toc7023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_Toc5856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测试项通过/失败准则</w:t>
          </w:r>
          <w:r>
            <w:tab/>
          </w:r>
          <w:r>
            <w:fldChar w:fldCharType="begin"/>
          </w:r>
          <w:r>
            <w:instrText xml:space="preserve"> PAGEREF _Toc5856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_Toc4737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暂停准则和继续准则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_Toc29044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测试交付物</w:t>
          </w:r>
          <w:r>
            <w:tab/>
          </w:r>
          <w:r>
            <w:fldChar w:fldCharType="begin"/>
          </w:r>
          <w:r>
            <w:instrText xml:space="preserve"> PAGEREF _Toc29044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_Toc19464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测试任务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_Toc20279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_Toc20279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_Toc24921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责任</w:t>
          </w:r>
          <w:r>
            <w:tab/>
          </w:r>
          <w:r>
            <w:fldChar w:fldCharType="begin"/>
          </w:r>
          <w:r>
            <w:instrText xml:space="preserve"> PAGEREF _Toc24921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_Toc6799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人手和培训的需要</w:t>
          </w:r>
          <w:r>
            <w:tab/>
          </w:r>
          <w:r>
            <w:fldChar w:fldCharType="begin"/>
          </w:r>
          <w:r>
            <w:instrText xml:space="preserve"> PAGEREF _Toc6799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_Toc6150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时间表</w:t>
          </w:r>
          <w:r>
            <w:tab/>
          </w:r>
          <w:r>
            <w:fldChar w:fldCharType="begin"/>
          </w:r>
          <w:r>
            <w:instrText xml:space="preserve"> PAGEREF _Toc6150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_Toc31882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风险以及应急措施</w:t>
          </w:r>
          <w:r>
            <w:tab/>
          </w:r>
          <w:r>
            <w:fldChar w:fldCharType="begin"/>
          </w:r>
          <w:r>
            <w:instrText xml:space="preserve"> PAGEREF _Toc31882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_Toc28601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授权</w:t>
          </w:r>
          <w:r>
            <w:tab/>
          </w:r>
          <w:r>
            <w:fldChar w:fldCharType="begin"/>
          </w:r>
          <w:r>
            <w:instrText xml:space="preserve"> PAGEREF _Toc28601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begin"/>
          </w:r>
          <w:r>
            <w:rPr>
              <w:rFonts w:ascii="Calibri Light" w:hAnsi="Calibri Light" w:cs="Times New Roman"/>
              <w:spacing w:val="15"/>
              <w:szCs w:val="56"/>
            </w:rPr>
            <w:instrText xml:space="preserve"> HYPERLINK \l _Toc19882 </w:instrText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_Toc19882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textAlignment w:val="center"/>
            <w:rPr>
              <w:rFonts w:ascii="Calibri Light" w:hAnsi="Calibri Light" w:cs="Times New Roman"/>
              <w:b/>
              <w:spacing w:val="15"/>
              <w:sz w:val="32"/>
              <w:szCs w:val="56"/>
            </w:rPr>
          </w:pPr>
          <w:r>
            <w:rPr>
              <w:rFonts w:ascii="Calibri Light" w:hAnsi="Calibri Light" w:cs="Times New Roman"/>
              <w:spacing w:val="15"/>
              <w:szCs w:val="56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772"/>
      <w:r>
        <w:rPr>
          <w:rFonts w:hint="eastAsia"/>
        </w:rPr>
        <w:t>目的</w:t>
      </w:r>
      <w:bookmarkEnd w:id="10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渔乐生活APP测试计划文档有助于实现以下目标：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1．规定测试的范围、测试的方法、测试所需的资源和测试活动的时间表。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2．确定测试项、要测试的特性、要执行的测试任务、每个任务的责任人和本计划相关的风险。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1" w:name="_Toc24594"/>
      <w:r>
        <w:rPr>
          <w:rFonts w:hint="eastAsia"/>
        </w:rPr>
        <w:t>介绍</w:t>
      </w:r>
      <w:bookmarkEnd w:id="1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5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8" w:type="dxa"/>
            <w:shd w:val="clear" w:color="auto" w:fill="BDD5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软件项</w:t>
            </w:r>
          </w:p>
        </w:tc>
        <w:tc>
          <w:tcPr>
            <w:tcW w:w="5974" w:type="dxa"/>
            <w:shd w:val="clear" w:color="auto" w:fill="BDD5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软件用途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安卓客户端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注册用户和游客使用的安卓平台客户端软件，集成地点发现、活动发起、渔友交流等功能。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IOS客户端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注册用户和游客使用的IOS平台客户端软件，集成地点发现、活动发起、渔友交流等功能。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安卓客户端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管理员在安卓平台用来发布公告、处理举报和反馈信息、维护软件系统的工具。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渔乐生活APP IOS客户端</w:t>
            </w:r>
          </w:p>
        </w:tc>
        <w:tc>
          <w:tcPr>
            <w:tcW w:w="5974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Helvetica-Bold+2" w:hAnsi="Helvetica-Bold+2" w:cs="Helvetica-Bold+2"/>
                <w:b w:val="0"/>
                <w:bCs w:val="0"/>
                <w:kern w:val="0"/>
                <w:sz w:val="20"/>
                <w:szCs w:val="20"/>
                <w:vertAlign w:val="baseline"/>
                <w:lang w:val="en-US" w:eastAsia="zh-CN"/>
              </w:rPr>
              <w:t>管理员在IOS平台用来发布公告、处理举报和反馈信息、维护软件系统的工具。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</w:p>
    <w:tbl>
      <w:tblPr>
        <w:tblStyle w:val="18"/>
        <w:tblW w:w="60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可以标记、查看附近的钓鱼点、渔具店</w:t>
            </w:r>
            <w:r>
              <w:rPr>
                <w:rFonts w:hint="eastAsia"/>
              </w:rPr>
              <w:t>、自定义地点（如饵料购买点）等地理位置信息</w:t>
            </w:r>
            <w:r>
              <w:t>。</w:t>
            </w:r>
            <w:r>
              <w:rPr>
                <w:rFonts w:hint="eastAsia"/>
              </w:rPr>
              <w:t>可以上传地点的图片、评论地点。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钓友账号注册、登陆、信息修改。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管理员</w:t>
            </w:r>
            <w:r>
              <w:rPr>
                <w:rFonts w:hint="eastAsia"/>
              </w:rPr>
              <w:t>操作日志。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可以搜索钓友、关注钓友。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钓友私信</w:t>
            </w:r>
            <w:r>
              <w:rPr>
                <w:rFonts w:hint="eastAsia"/>
              </w:rPr>
              <w:t>、钓友群聊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FE-6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发布动态、</w:t>
            </w:r>
            <w:r>
              <w:t>分享动态、查看动态、点赞、评论。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FE-7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举报违规用户、违规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FE-8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警告、封禁违规用户，屏蔽违规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FE-9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发起、修改、加入、评论活动（如约钓活动、钓鱼聚会活动等）。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FE-10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对地理位置标点加入详情页，对钓点信息特别加入“地域特征、气候特征、建议钓法”等信息点。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地理信息维护。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数据库维护。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bug反馈和处理。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发送系统通知消息。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FE-15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接受系统通知消息，接受活动邀请。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 w:val="0"/>
          <w:bCs w:val="0"/>
          <w:kern w:val="0"/>
          <w:sz w:val="20"/>
          <w:szCs w:val="20"/>
          <w:lang w:val="en-US" w:eastAsia="zh-CN"/>
        </w:rPr>
      </w:pPr>
    </w:p>
    <w:p>
      <w:pPr>
        <w:pStyle w:val="2"/>
        <w:rPr>
          <w:rFonts w:hint="eastAsia"/>
        </w:rPr>
      </w:pPr>
      <w:bookmarkStart w:id="12" w:name="_Toc19701"/>
      <w:r>
        <w:rPr>
          <w:rFonts w:hint="eastAsia"/>
        </w:rPr>
        <w:t>测试项</w:t>
      </w:r>
      <w:bookmarkEnd w:id="12"/>
    </w:p>
    <w:p>
      <w:pPr>
        <w:ind w:left="72" w:right="29"/>
      </w:pPr>
      <w:r>
        <w:rPr>
          <w:rFonts w:hint="eastAsia"/>
        </w:rPr>
        <w:t>1．单元测试：单元测试阶段由开发人员与测试人员协调完成，运用白盒测试方法。</w:t>
      </w:r>
    </w:p>
    <w:p>
      <w:pPr>
        <w:ind w:left="72" w:right="29"/>
      </w:pPr>
      <w:r>
        <w:rPr>
          <w:rFonts w:hint="eastAsia"/>
        </w:rPr>
        <w:t>2．集成测试：集成测试阶段由测试人员单独完成，集成过程中运用黑盒测试方法进行功能测试，开发人员回避，只负责根据测试结果完善系统。</w:t>
      </w:r>
    </w:p>
    <w:p>
      <w:pPr>
        <w:ind w:left="72" w:right="29"/>
        <w:rPr>
          <w:rFonts w:hint="eastAsia"/>
        </w:rPr>
      </w:pPr>
      <w:r>
        <w:rPr>
          <w:rFonts w:hint="eastAsia"/>
        </w:rPr>
        <w:t>3．系统测试：系统测试由测试人员完成，需进行功能测试，性能测试，压力测试，安全测试等对系统的全面测试。</w:t>
      </w:r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5.回归测试：使用自动回归测试来降低系统测试、维护升级等阶段的成本。</w:t>
      </w: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3" w:name="_Toc16908"/>
      <w:r>
        <w:rPr>
          <w:rFonts w:hint="eastAsia"/>
        </w:rPr>
        <w:t>要测试的特性</w:t>
      </w:r>
      <w:bookmarkEnd w:id="1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要测试的特性及其组合和相关的测试设计规格说明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[列出所有要测试的特性及其组合和相关的测试设计规格说明。]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60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5EE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可以标记、查看附近的钓鱼点、渔具店</w:t>
            </w:r>
            <w:r>
              <w:rPr>
                <w:rFonts w:hint="eastAsia"/>
              </w:rPr>
              <w:t>、自定义地点（如饵料购买点）等地理位置信息</w:t>
            </w:r>
            <w:r>
              <w:t>。</w:t>
            </w:r>
            <w:r>
              <w:rPr>
                <w:rFonts w:hint="eastAsia"/>
              </w:rPr>
              <w:t>可以上传地点的图片、评论地点。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t>钓友账号注册、登陆、信息修改。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管理员</w:t>
            </w:r>
            <w:r>
              <w:rPr>
                <w:rFonts w:hint="eastAsia"/>
              </w:rPr>
              <w:t>操作日志。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可以搜索钓友、关注钓友。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钓友私信</w:t>
            </w:r>
            <w:r>
              <w:rPr>
                <w:rFonts w:hint="eastAsia"/>
              </w:rPr>
              <w:t>、钓友群聊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FE-6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发布动态、</w:t>
            </w:r>
            <w:r>
              <w:t>分享动态、查看动态、点赞、评论。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FE-7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举报违规用户、违规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FE-8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t>警告、封禁违规用户，屏蔽违规</w:t>
            </w:r>
            <w:r>
              <w:rPr>
                <w:rFonts w:hint="eastAsia"/>
              </w:rPr>
              <w:t>动态、违规活动、违规群聊</w:t>
            </w:r>
            <w: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FE-9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发起、修改、加入、评论活动（如约钓活动、钓鱼聚会活动等）。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FE-10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对地理位置标点加入详情页，对钓点信息特别加入“地域特征、气候特征、建议钓法”等信息点。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FE-11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地理信息维护。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FE-12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数据库维护。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FE-13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bug反馈和处理。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FE-14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发送系统通知消息。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FE-15</w:t>
            </w:r>
          </w:p>
        </w:tc>
        <w:tc>
          <w:tcPr>
            <w:tcW w:w="5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接受系统通知消息，接受活动邀请。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/>
          <w:bCs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4" w:name="_Toc21553"/>
      <w:r>
        <w:rPr>
          <w:rFonts w:hint="eastAsia"/>
        </w:rPr>
        <w:t>不会被测试的特性</w:t>
      </w:r>
      <w:bookmarkEnd w:id="1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eastAsia="宋体" w:cs="Helvetica-Bold+2"/>
          <w:kern w:val="0"/>
          <w:sz w:val="20"/>
          <w:szCs w:val="20"/>
          <w:lang w:val="en-US" w:eastAsia="zh-CN"/>
        </w:rPr>
      </w:pPr>
      <w:r>
        <w:rPr>
          <w:rFonts w:hint="eastAsia" w:ascii="Helvetica-Bold+2" w:hAnsi="Helvetica-Bold+2" w:cs="Helvetica-Bold+2"/>
          <w:kern w:val="0"/>
          <w:sz w:val="20"/>
          <w:szCs w:val="20"/>
          <w:lang w:val="en-US" w:eastAsia="zh-CN"/>
        </w:rPr>
        <w:t>无</w:t>
      </w:r>
    </w:p>
    <w:p>
      <w:pPr>
        <w:pStyle w:val="2"/>
        <w:rPr>
          <w:rFonts w:hint="eastAsia"/>
        </w:rPr>
      </w:pPr>
      <w:bookmarkStart w:id="15" w:name="_Toc7023"/>
      <w:r>
        <w:rPr>
          <w:rFonts w:hint="eastAsia"/>
        </w:rPr>
        <w:t>方法</w:t>
      </w:r>
      <w:bookmarkEnd w:id="15"/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tbl>
      <w:tblPr>
        <w:tblStyle w:val="1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用途</w:t>
            </w:r>
          </w:p>
        </w:tc>
        <w:tc>
          <w:tcPr>
            <w:tcW w:w="3081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工具</w:t>
            </w:r>
          </w:p>
        </w:tc>
        <w:tc>
          <w:tcPr>
            <w:tcW w:w="3081" w:type="dxa"/>
            <w:shd w:val="clear" w:color="auto" w:fill="BDD5EE"/>
          </w:tcPr>
          <w:p>
            <w:pPr>
              <w:ind w:left="0" w:leftChars="0" w:right="29"/>
            </w:pPr>
            <w:r>
              <w:rPr>
                <w:rFonts w:hint="eastAsia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Studio、Xcode自带的unit test工具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白盒测试为主，黑盒测试为辅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代码审计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VisualCodeGrepper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自动化冒烟测试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Monkey(adb shell monkey)</w:t>
            </w:r>
            <w:r>
              <w:rPr>
                <w:rFonts w:hint="eastAsia"/>
                <w:lang w:val="en-US" w:eastAsia="zh-CN"/>
              </w:rPr>
              <w:t>(安卓平台)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Anroid Studio、Xcode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回归测试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TestBird</w:t>
            </w:r>
            <w:r>
              <w:rPr>
                <w:rFonts w:hint="eastAsia"/>
                <w:lang w:val="en-US" w:eastAsia="zh-CN"/>
              </w:rPr>
              <w:t>(安卓平台)、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6" w:name="_Toc5856"/>
      <w:r>
        <w:rPr>
          <w:rFonts w:hint="eastAsia"/>
        </w:rPr>
        <w:t>测试项通过/失败准则</w:t>
      </w:r>
      <w:bookmarkEnd w:id="16"/>
    </w:p>
    <w:p>
      <w:pPr>
        <w:ind w:left="72" w:right="29"/>
        <w:rPr>
          <w:lang w:val="en-US"/>
        </w:rPr>
      </w:pPr>
      <w:r>
        <w:rPr>
          <w:rFonts w:hint="eastAsia" w:ascii="Times-Roman+2" w:hAnsi="Times-Roman+2" w:cs="Times-Roman+2"/>
          <w:kern w:val="0"/>
          <w:sz w:val="20"/>
          <w:szCs w:val="20"/>
        </w:rPr>
        <w:tab/>
      </w:r>
      <w:r>
        <w:rPr>
          <w:rFonts w:hint="eastAsia"/>
          <w:lang w:val="en-US"/>
        </w:rPr>
        <w:t>通过标准：测试用例的预期结果与实际结果完全一致，无内部报错，无功能性出错问题</w:t>
      </w:r>
    </w:p>
    <w:p>
      <w:pPr>
        <w:ind w:left="72" w:right="29"/>
        <w:rPr>
          <w:lang w:val="en-US"/>
        </w:rPr>
      </w:pPr>
      <w:r>
        <w:rPr>
          <w:rFonts w:hint="eastAsia"/>
          <w:lang w:val="en-US"/>
        </w:rPr>
        <w:t>失败标准：测试用例的预期结果与实际结果不一致，甚至出现系统崩溃，乱码等非预期情况出现</w:t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7" w:name="_Toc4737"/>
      <w:r>
        <w:rPr>
          <w:rFonts w:hint="eastAsia"/>
        </w:rPr>
        <w:t>暂停准则和继续准则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18" w:name="_Toc29044"/>
      <w:r>
        <w:rPr>
          <w:rFonts w:hint="eastAsia"/>
        </w:rPr>
        <w:t>测试交付物</w:t>
      </w:r>
      <w:bookmarkEnd w:id="1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325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交付物描述</w:t>
            </w:r>
          </w:p>
        </w:tc>
        <w:tc>
          <w:tcPr>
            <w:tcW w:w="5536" w:type="dxa"/>
            <w:shd w:val="clear" w:color="auto" w:fill="BDD6EE"/>
          </w:tcPr>
          <w:p>
            <w:pPr>
              <w:autoSpaceDE w:val="0"/>
              <w:autoSpaceDN w:val="0"/>
              <w:adjustRightInd w:val="0"/>
              <w:ind w:firstLine="372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PRD2018-G07-测试计划.docx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测试计划规格说明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PRD2018-G07-测试计划规格说明.docx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测试用例规格说明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PRD2018-G07-测试用例规格说明.docx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测试规程规格说明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PRD2018-G07-测试规程规格说明.docx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测试项移交报告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PRD2018-G07-测试项移交报告.docx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测试日志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PRD2018-G07-测试日志.docx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测试事件报告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PRD2018-G07-测试事件报告.docx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测试总结报告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PRD2018-G07-测试总结报告.docx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测试所需的输入数据和输出数据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PRD2018-G07-测试所需数据集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325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测试工具（如，模块驱动器和桩）</w:t>
            </w:r>
          </w:p>
        </w:tc>
        <w:tc>
          <w:tcPr>
            <w:tcW w:w="5536" w:type="dxa"/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i w:val="0"/>
                <w:iCs/>
                <w:color w:val="4D4D4D"/>
                <w:kern w:val="0"/>
                <w:sz w:val="22"/>
                <w:vertAlign w:val="baseline"/>
                <w:lang w:val="en-US" w:eastAsia="zh-CN"/>
              </w:rPr>
              <w:t>PRD2018-G07-测试工具集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19" w:name="_Toc19464"/>
      <w:r>
        <w:rPr>
          <w:rFonts w:hint="eastAsia"/>
        </w:rPr>
        <w:t>测试任务</w:t>
      </w:r>
      <w:bookmarkEnd w:id="19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准备测试和执行测试所需的任务集、它们之间的依赖、所需的技能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[列出准备测试和执行测试所需的任务集、它们之间的依赖、所需的技能。]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20" w:name="_Toc20279"/>
      <w:r>
        <w:rPr>
          <w:rFonts w:hint="eastAsia"/>
        </w:rPr>
        <w:t>环境需求</w:t>
      </w:r>
      <w:bookmarkEnd w:id="20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tbl>
      <w:tblPr>
        <w:tblStyle w:val="19"/>
        <w:tblW w:w="7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4"/>
        <w:gridCol w:w="1938"/>
        <w:gridCol w:w="19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机器名称</w:t>
            </w: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硬件配置</w:t>
            </w: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操作系统</w:t>
            </w: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阿里云</w:t>
            </w:r>
            <w:r>
              <w:rPr>
                <w:rFonts w:hint="eastAsia"/>
                <w:lang w:val="en-US" w:eastAsia="zh-CN"/>
              </w:rPr>
              <w:t>服务器</w:t>
            </w:r>
          </w:p>
        </w:tc>
        <w:tc>
          <w:tcPr>
            <w:tcW w:w="1938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内存32G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网络带宽</w:t>
            </w:r>
            <w:r>
              <w:rPr>
                <w:rFonts w:hint="eastAsia"/>
              </w:rPr>
              <w:t>100M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硬盘40T SSD</w:t>
            </w: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Cs w:val="21"/>
                <w:shd w:val="clear" w:color="auto" w:fill="FFFFFF"/>
              </w:rPr>
              <w:t>Windows Server 2012 R2 数据中心版</w:t>
            </w: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Mysql8.0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gridSpan w:val="2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BDD6E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1" w:type="dxa"/>
            <w:gridSpan w:val="5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eastAsia="宋体" w:cs="Times-Roman+2"/>
          <w:kern w:val="0"/>
          <w:sz w:val="20"/>
          <w:szCs w:val="20"/>
          <w:lang w:val="en-US" w:eastAsia="zh-CN"/>
        </w:rPr>
      </w:pPr>
      <w:r>
        <w:rPr>
          <w:rFonts w:hint="eastAsia" w:ascii="Times-Roman+2" w:hAnsi="Times-Roman+2" w:cs="Times-Roman+2"/>
          <w:kern w:val="0"/>
          <w:sz w:val="20"/>
          <w:szCs w:val="20"/>
          <w:lang w:val="en-US" w:eastAsia="zh-CN"/>
        </w:rPr>
        <w:t>TBD</w:t>
      </w:r>
    </w:p>
    <w:p>
      <w:pPr>
        <w:pStyle w:val="2"/>
        <w:rPr>
          <w:rFonts w:hint="eastAsia"/>
        </w:rPr>
      </w:pPr>
      <w:bookmarkStart w:id="21" w:name="_Toc24921"/>
      <w:r>
        <w:rPr>
          <w:rFonts w:hint="eastAsia"/>
        </w:rPr>
        <w:t>责任</w:t>
      </w:r>
      <w:bookmarkEnd w:id="21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以下小组，包括管理、设计、准备、执行、作证、检查，解决。另外列出提供4.2.3中所述的测试项的小组和4.2.11中所述的环境需求的小组。这些小组的成员可以包含开发人员、测试员、运营人员、用户代表、技术支持人员、数据管理员和质量支持人员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3081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3081" w:type="dxa"/>
            <w:shd w:val="clear" w:color="auto" w:fill="BDD6EE"/>
          </w:tcPr>
          <w:p>
            <w:pPr>
              <w:ind w:left="0" w:leftChars="0" w:right="29"/>
            </w:pPr>
            <w:r>
              <w:rPr>
                <w:rFonts w:hint="eastAsia"/>
              </w:rPr>
              <w:t>所需工具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赵伟宏、林翼力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  <w:lang w:val="en-US" w:eastAsia="zh-CN"/>
              </w:rPr>
              <w:t>Android Studio、Xcode自带的unit test工具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赵伟宏、张荣阳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全组人员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陈帆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随身调</w:t>
            </w:r>
            <w:r>
              <w:rPr>
                <w:rFonts w:hint="eastAsia"/>
                <w:lang w:val="en-US" w:eastAsia="zh-CN"/>
              </w:rPr>
              <w:t>(腾讯出品的APP的随身调测平台，支持安卓和ios平台)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>容量测试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刘浥</w:t>
            </w:r>
          </w:p>
        </w:tc>
        <w:tc>
          <w:tcPr>
            <w:tcW w:w="3081" w:type="dxa"/>
            <w:shd w:val="clear" w:color="auto" w:fill="FFFFFF"/>
          </w:tcPr>
          <w:p>
            <w:pPr>
              <w:ind w:left="0" w:leftChars="0" w:right="29"/>
            </w:pPr>
            <w:r>
              <w:rPr>
                <w:rFonts w:hint="eastAsia"/>
              </w:rPr>
              <w:t xml:space="preserve">LoadRunner  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2" w:name="_Toc6799"/>
      <w:r>
        <w:rPr>
          <w:rFonts w:hint="eastAsia"/>
        </w:rPr>
        <w:t>人手和培训的需要</w:t>
      </w:r>
      <w:bookmarkEnd w:id="22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需要的测试人员、他们应具有的技能级别以及技能培训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[列出需要的测试人员、他们应具有的技能级别以及技能培训。]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4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角色</w:t>
            </w:r>
          </w:p>
        </w:tc>
        <w:tc>
          <w:tcPr>
            <w:tcW w:w="1980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分配的角色</w:t>
            </w:r>
          </w:p>
        </w:tc>
        <w:tc>
          <w:tcPr>
            <w:tcW w:w="4814" w:type="dxa"/>
            <w:shd w:val="clear" w:color="auto" w:fill="BDD5EE"/>
          </w:tcPr>
          <w:p>
            <w:pPr>
              <w:ind w:left="72" w:right="29"/>
            </w:pPr>
            <w:r>
              <w:rPr>
                <w:rFonts w:hint="eastAsia"/>
              </w:rPr>
              <w:t>具体职责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组织、分工、控制进度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张荣阳、赵伟宏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制定维护测试计划，设计测试用例与测试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程，提交测试报告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测试编码人员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陈帆、林翼力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设计、编写、执行系统单元测试用例，完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980" w:type="dxa"/>
            <w:shd w:val="clear" w:color="auto" w:fill="FFFFFF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赵伟宏</w:t>
            </w:r>
          </w:p>
        </w:tc>
        <w:tc>
          <w:tcPr>
            <w:tcW w:w="4814" w:type="dxa"/>
            <w:shd w:val="clear" w:color="auto" w:fill="FFFFFF"/>
          </w:tcPr>
          <w:p>
            <w:pPr>
              <w:ind w:left="72" w:right="29"/>
            </w:pPr>
            <w:r>
              <w:rPr>
                <w:rFonts w:hint="eastAsia"/>
              </w:rPr>
              <w:t>搭建测试环境，执行集成测试、功能测试</w:t>
            </w:r>
          </w:p>
          <w:p>
            <w:pPr>
              <w:ind w:left="72" w:right="29"/>
            </w:pPr>
            <w:r>
              <w:rPr>
                <w:rFonts w:hint="eastAsia"/>
              </w:rPr>
              <w:t>系统测试、验收测试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3" w:name="_Toc6150"/>
      <w:r>
        <w:rPr>
          <w:rFonts w:hint="eastAsia"/>
        </w:rPr>
        <w:t>时间表</w:t>
      </w:r>
      <w:bookmarkEnd w:id="23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8"/>
        <w:tblpPr w:leftFromText="180" w:rightFromText="180" w:vertAnchor="text" w:horzAnchor="margin" w:tblpXSpec="center" w:tblpY="40"/>
        <w:tblW w:w="806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2222"/>
        <w:gridCol w:w="2754"/>
        <w:gridCol w:w="1432"/>
        <w:gridCol w:w="94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里程碑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测试任务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辅助物/工具</w:t>
            </w: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eastAsia="宋体"/>
                <w:sz w:val="21"/>
              </w:rPr>
              <w:t>里程碑时间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BDD6EE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执行</w:t>
            </w:r>
            <w:r>
              <w:rPr>
                <w:rFonts w:hint="eastAsia" w:ascii="宋体" w:hAnsi="宋体" w:eastAsia="宋体"/>
                <w:sz w:val="21"/>
              </w:rPr>
              <w:t>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M0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M1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1-4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M2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M3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选择测试工具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M4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-14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M5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-18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M6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-22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M7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-22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nil"/>
              <w:right w:val="single" w:color="C0C0C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</w:rPr>
              <w:t>M8</w:t>
            </w:r>
          </w:p>
        </w:tc>
        <w:tc>
          <w:tcPr>
            <w:tcW w:w="2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94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M9</w:t>
            </w:r>
          </w:p>
        </w:tc>
        <w:tc>
          <w:tcPr>
            <w:tcW w:w="2222" w:type="dxa"/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54" w:type="dxa"/>
            <w:shd w:val="clear" w:color="auto" w:fill="FFFFFF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-3</w:t>
            </w:r>
          </w:p>
        </w:tc>
        <w:tc>
          <w:tcPr>
            <w:tcW w:w="943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M10</w:t>
            </w:r>
          </w:p>
        </w:tc>
        <w:tc>
          <w:tcPr>
            <w:tcW w:w="2222" w:type="dxa"/>
            <w:shd w:val="clear" w:color="auto" w:fill="FFFFFF"/>
            <w:vAlign w:val="top"/>
          </w:tcPr>
          <w:p>
            <w:pPr>
              <w:ind w:left="0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2754" w:type="dxa"/>
            <w:shd w:val="clear" w:color="auto" w:fill="FFFFFF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432" w:type="dxa"/>
            <w:shd w:val="clear" w:color="auto" w:fill="FFFFFF"/>
            <w:vAlign w:val="top"/>
          </w:tcPr>
          <w:p>
            <w:pPr>
              <w:ind w:left="72" w:leftChars="0" w:right="29" w:rightChars="0"/>
              <w:rPr>
                <w:rFonts w:hint="eastAsia" w:ascii="宋体" w:hAnsi="宋体" w:eastAsia="宋体"/>
                <w:color w:val="000000"/>
                <w:sz w:val="21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-5</w:t>
            </w:r>
          </w:p>
        </w:tc>
        <w:tc>
          <w:tcPr>
            <w:tcW w:w="943" w:type="dxa"/>
            <w:shd w:val="clear" w:color="auto" w:fill="FFFFFF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Times-Roman+2" w:hAnsi="Times-Roman+2" w:cs="Times-Roman+2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4" w:name="_Toc31882"/>
      <w:r>
        <w:rPr>
          <w:rFonts w:hint="eastAsia"/>
        </w:rPr>
        <w:t>风险以及应急措施</w:t>
      </w:r>
      <w:bookmarkEnd w:id="24"/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</w:pP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begin">
          <w:ffData>
            <w:enabled/>
            <w:calcOnExit w:val="0"/>
            <w:textInput>
              <w:default w:val="[列出所有高风险的假设，说明它们的应急措施（如，测试项交付延期可能要求测试人员加班以求按时交付）]"/>
            </w:textInput>
          </w:ffData>
        </w:fldChar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instrText xml:space="preserve"> FORMTEXT </w:instrTex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separate"/>
      </w:r>
      <w:r>
        <w:rPr>
          <w:rFonts w:hint="eastAsia" w:ascii="Helvetica-Bold+2" w:hAnsi="Helvetica-Bold+2" w:cs="Helvetica-Bold+2"/>
          <w:bCs/>
          <w:i/>
          <w:color w:val="4D4D4D"/>
          <w:kern w:val="0"/>
          <w:sz w:val="22"/>
        </w:rPr>
        <w:t>[列出所有高风险的假设，说明它们的应急措施（如，测试项交付延期可能要求测试人员加班以求按时交付）]</w:t>
      </w:r>
      <w:r>
        <w:rPr>
          <w:rFonts w:ascii="Helvetica-Bold+2" w:hAnsi="Helvetica-Bold+2" w:cs="Helvetica-Bold+2"/>
          <w:bCs/>
          <w:i/>
          <w:color w:val="4D4D4D"/>
          <w:kern w:val="0"/>
          <w:sz w:val="22"/>
        </w:rPr>
        <w:fldChar w:fldCharType="end"/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712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序号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风险识别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应急措施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Bug的修复情况不乐观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模块功能的实现情况不乐观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系统整体功能的实现情况不乐观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开发人员加班、督促项目经理决策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代码的编写质量不及格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开发人员返工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人员经验以及对软件的熟悉程度不高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进行相应的培训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开发人员、测试人员关于项目约定的执行未完成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开发人员和测试人员加班，赶上项目进度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271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人员调整导致研发周期延迟</w:t>
            </w:r>
          </w:p>
        </w:tc>
        <w:tc>
          <w:tcPr>
            <w:tcW w:w="50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-Roman+2" w:hAnsi="Times-Roman+2" w:eastAsia="宋体" w:cs="Times-Roman+2"/>
                <w:ker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0"/>
                <w:szCs w:val="20"/>
                <w:vertAlign w:val="baseline"/>
                <w:lang w:val="en-US" w:eastAsia="zh-CN"/>
              </w:rPr>
              <w:t>启用B角色顶上职务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-Roman+2" w:hAnsi="Times-Roman+2" w:cs="Times-Roman+2"/>
          <w:kern w:val="0"/>
          <w:sz w:val="20"/>
          <w:szCs w:val="20"/>
        </w:rPr>
      </w:pPr>
    </w:p>
    <w:p>
      <w:pPr>
        <w:pStyle w:val="2"/>
      </w:pPr>
      <w:bookmarkStart w:id="25" w:name="_Toc28601"/>
      <w:r>
        <w:rPr>
          <w:rFonts w:hint="eastAsia"/>
        </w:rPr>
        <w:t>授权</w:t>
      </w:r>
      <w:bookmarkEnd w:id="25"/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  <w:t>对该项目进行审阅并给予批准</w: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cs="Helvetica-Bold+2"/>
          <w:bCs/>
          <w:i w:val="0"/>
          <w:iCs/>
          <w:color w:val="4D4D4D"/>
          <w:kern w:val="0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626745</wp:posOffset>
                </wp:positionV>
                <wp:extent cx="3542030" cy="909955"/>
                <wp:effectExtent l="4445" t="5080" r="15875" b="1841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030" cy="909955"/>
                          <a:chOff x="5687" y="112972"/>
                          <a:chExt cx="5578" cy="1433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687" y="112981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发起人：侯宏仑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515" y="112972"/>
                            <a:ext cx="2750" cy="1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发起人：杨枨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签字：</w:t>
                              </w: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368"/>
                                </w:tabs>
                                <w:spacing w:beforeLines="0" w:afterLines="0"/>
                                <w:rPr>
                                  <w:rFonts w:hint="eastAsia"/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8年 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 xml:space="preserve">月 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宋体"/>
                                  <w:sz w:val="21"/>
                                </w:rPr>
                                <w:t>日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49.35pt;height:71.65pt;width:278.9pt;mso-wrap-distance-bottom:0pt;mso-wrap-distance-top:0pt;z-index:251658240;mso-width-relative:page;mso-height-relative:page;" coordorigin="5687,112972" coordsize="5578,1433" o:gfxdata="UEsDBAoAAAAAAIdO4kAAAAAAAAAAAAAAAAAEAAAAZHJzL1BLAwQUAAAACACHTuJA2/MAOdoAAAAI&#10;AQAADwAAAGRycy9kb3ducmV2LnhtbE2PQWvCQBSE74X+h+UVetPdxKbaNBsp0vYkQrUg3p7JMwlm&#10;34bsmui/7/bUHocZZr7JllfTioF611jWEE0VCOLClg1XGr53H5MFCOeRS2wtk4YbOVjm93cZpqUd&#10;+YuGra9EKGGXooba+y6V0hU1GXRT2xEH72R7gz7IvpJlj2MoN62MlXqWBhsOCzV2tKqpOG8vRsPn&#10;iOPbLHof1ufT6nbYJZv9OiKtHx8i9QrC09X/heEXP6BDHpiO9sKlE62GySwENbws5iCCnSTzBMRR&#10;Q/wUK5B5Jv8fyH8AUEsDBBQAAAAIAIdO4kBHkZju1wIAAHoIAAAOAAAAZHJzL2Uyb0RvYy54bWzt&#10;Vs1y0zAQvjPDO2h0p44du0k8dTqhJR1mOrQzheGsyLLjQZaEpMQpZwY4cuLEhTtvwPNQXoOVbKc/&#10;6akMt+agSNr1p91P3659cLipOVozbSopMhzuDTBigsq8EmWG37yePxtjZCwROeFSsAxfMoMPp0+f&#10;HDQqZZFcSp4zjQBEmLRRGV5aq9IgMHTJamL2pGICjIXUNbGw1GWQa9IAes2DaDDYDxqpc6UlZcbA&#10;7nFrxFOPXxSM2rOiMMwinmGIzfpR+3HhxmB6QNJSE7WsaBcGeUAUNakEHLqFOiaWoJWudqDqimpp&#10;ZGH3qKwDWRQVZT4HyCYc3MnmRMuV8rmUaVOqLU1A7R2eHgxLX63PNaryDO9jJEgNV/Tn18ffX7+g&#10;fcdNo8oUXE60ulDnutso25VLd1Po2v1DImjjWb3csso2FlHYHCZxNBgC+RRsk8FkkiQt7XQJd+Me&#10;S/bHI4zAGobRZBT11hcdQJKMQEXu6TAeDp016E8OXIDbeBoFIjLXPJl/4+liSRTz9BtHQsdT3PN0&#10;9e3z1fefVz8+odjF5A4HL8cTspvnEvIK+30Dm/fQdSvvsfcmaU9bNEo6zsI48idssyap0saeMFkj&#10;N8mwBp17+ZH1qbEtQb2LO9dIXuXzinO/0OXiiGu0JlATc//rOL3lxgVqQBVDiGIHwmFvIRac0He7&#10;CBAtF3BVjpc2fzezm8WmI2sh80vgSsu2KI2i8wpwT4mx50RDFUL60FnsGQwFlxCM7GYYLaX+cN++&#10;84dLBytGDVR1hs37FdEMI/5SgBwmYRy7NuAXcTKKYKFvWhY3LWJVH0kgKYQepqifOn/L+2mhZf0W&#10;GtDMnQomIiicnWHbT49s22uggVE2m3knKHxF7Km4UNRBO3KFnK2sLCp/dY6mlpuOPZB0K6//ru1k&#10;V9u+Vh+g7XESAtqdmn7U9qO279G27+LwgvONvXsZuzfozbWvhetPhu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2/MAOdoAAAAIAQAADwAAAAAAAAABACAAAAAiAAAAZHJzL2Rvd25yZXYueG1sUEsB&#10;AhQAFAAAAAgAh07iQEeRmO7XAgAAeggAAA4AAAAAAAAAAQAgAAAAKQEAAGRycy9lMm9Eb2MueG1s&#10;UEsFBgAAAAAGAAYAWQEAAHIGAAAAAA==&#10;">
                <o:lock v:ext="edit" aspectratio="f"/>
                <v:shape id="_x0000_s1026" o:spid="_x0000_s1026" o:spt="202" type="#_x0000_t202" style="position:absolute;left:5687;top:112981;height:1424;width:275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发起人：侯宏仑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515;top:112972;height:1424;width:275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发起人：杨枨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 w:eastAsia="宋体"/>
                            <w:sz w:val="21"/>
                          </w:rPr>
                          <w:t>签字：</w:t>
                        </w: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3368"/>
                          </w:tabs>
                          <w:spacing w:beforeLines="0" w:afterLines="0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201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8年 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 xml:space="preserve">月 </w:t>
                        </w:r>
                        <w:r>
                          <w:rPr>
                            <w:rFonts w:hint="eastAsia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hint="eastAsia" w:eastAsia="宋体"/>
                            <w:sz w:val="21"/>
                          </w:rPr>
                          <w:t>日</w:t>
                        </w:r>
                      </w:p>
                      <w:p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Helvetica-Bold+2" w:hAnsi="Helvetica-Bold+2" w:eastAsia="宋体" w:cs="Helvetica-Bold+2"/>
          <w:bCs/>
          <w:i w:val="0"/>
          <w:iCs/>
          <w:color w:val="4D4D4D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Helvetica-Bold+2" w:hAnsi="Helvetica-Bold+2" w:cs="Helvetica-Bold+2"/>
          <w:bCs/>
          <w:i/>
          <w:color w:val="4D4D4D"/>
          <w:kern w:val="0"/>
          <w:sz w:val="22"/>
        </w:rPr>
      </w:pPr>
    </w:p>
    <w:p>
      <w:pPr>
        <w:pStyle w:val="2"/>
      </w:pPr>
      <w:bookmarkStart w:id="26" w:name="_Toc19882"/>
      <w:r>
        <w:t>参考资料</w:t>
      </w:r>
      <w:bookmarkEnd w:id="26"/>
    </w:p>
    <w:p>
      <w:pPr>
        <w:rPr>
          <w:rFonts w:hint="eastAsia" w:eastAsia="宋体"/>
          <w:lang w:val="en-US" w:eastAsia="zh-CN"/>
        </w:rPr>
      </w:pPr>
      <w:r>
        <w:t>[1]</w:t>
      </w:r>
      <w:r>
        <w:rPr>
          <w:rFonts w:hint="eastAsia"/>
          <w:lang w:val="en-US" w:eastAsia="zh-CN"/>
        </w:rPr>
        <w:t>秦航,杨强.软件质量保证与测试（第2版）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pPr>
        <w:rPr>
          <w:rFonts w:hint="eastAsia" w:eastAsia="宋体"/>
          <w:lang w:val="en-US" w:eastAsia="zh-CN"/>
        </w:rPr>
      </w:pPr>
      <w:r>
        <w:t xml:space="preserve">[4] </w:t>
      </w:r>
      <w:r>
        <w:rPr>
          <w:rFonts w:hint="eastAsia"/>
          <w:lang w:val="en-US" w:eastAsia="zh-CN"/>
        </w:rPr>
        <w:t>IEEE829-1998</w:t>
      </w:r>
    </w:p>
    <w:p>
      <w:pPr>
        <w:rPr>
          <w:rFonts w:hint="eastAsia" w:eastAsia="宋体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5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6</w:t>
      </w:r>
      <w:r>
        <w:t>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[7] PRD2018-G07-沟通管理计划</w:t>
      </w:r>
    </w:p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Bold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B51E"/>
    <w:multiLevelType w:val="multilevel"/>
    <w:tmpl w:val="4E19B5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27AD"/>
    <w:rsid w:val="09B233FC"/>
    <w:rsid w:val="09D30B02"/>
    <w:rsid w:val="0B82086D"/>
    <w:rsid w:val="12AB641A"/>
    <w:rsid w:val="183516E9"/>
    <w:rsid w:val="1D145905"/>
    <w:rsid w:val="23BB09FE"/>
    <w:rsid w:val="23DD2FF7"/>
    <w:rsid w:val="27417A70"/>
    <w:rsid w:val="27E50D70"/>
    <w:rsid w:val="2B357CFC"/>
    <w:rsid w:val="2C1661F3"/>
    <w:rsid w:val="2C3610FE"/>
    <w:rsid w:val="2DF71EF8"/>
    <w:rsid w:val="31C86595"/>
    <w:rsid w:val="3749641F"/>
    <w:rsid w:val="38EC29E2"/>
    <w:rsid w:val="39360522"/>
    <w:rsid w:val="3CA439A6"/>
    <w:rsid w:val="3F777C55"/>
    <w:rsid w:val="41724DC2"/>
    <w:rsid w:val="4876507B"/>
    <w:rsid w:val="4DD15F9D"/>
    <w:rsid w:val="4EFE2C9A"/>
    <w:rsid w:val="52D36D88"/>
    <w:rsid w:val="55234536"/>
    <w:rsid w:val="57345E53"/>
    <w:rsid w:val="5DD96D5A"/>
    <w:rsid w:val="62E17949"/>
    <w:rsid w:val="66B36786"/>
    <w:rsid w:val="6A16527C"/>
    <w:rsid w:val="6A5E62D4"/>
    <w:rsid w:val="6C5F1728"/>
    <w:rsid w:val="6D802522"/>
    <w:rsid w:val="6DC73506"/>
    <w:rsid w:val="71806EB1"/>
    <w:rsid w:val="7BC2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三级标题"/>
    <w:basedOn w:val="2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21">
    <w:name w:val="二级标题"/>
    <w:basedOn w:val="2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2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3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BLACK JET</dc:creator>
  <cp:lastModifiedBy>BLACK JET</cp:lastModifiedBy>
  <dcterms:modified xsi:type="dcterms:W3CDTF">2019-01-15T12:07:01Z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