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1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  <w:lang w:val="en-US" w:eastAsia="zh-CN"/>
        </w:rPr>
        <w:t>测试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  <w:lang w:val="en-US" w:eastAsia="zh-CN"/>
        </w:rPr>
        <w:t>Testing</w:t>
      </w:r>
      <w:r>
        <w:rPr>
          <w:rFonts w:cs="Times New Roman"/>
          <w:b/>
          <w:spacing w:val="15"/>
          <w:sz w:val="32"/>
          <w:szCs w:val="56"/>
        </w:rPr>
        <w:t xml:space="preserve">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5739754"/>
      <w:bookmarkStart w:id="1" w:name="_Toc466020645"/>
      <w:bookmarkStart w:id="2" w:name="_Toc466742046"/>
      <w:bookmarkStart w:id="3" w:name="_Toc502228458"/>
      <w:bookmarkStart w:id="4" w:name="_Toc446076693"/>
      <w:bookmarkStart w:id="5" w:name="_Toc27132"/>
      <w:bookmarkStart w:id="6" w:name="_Toc60"/>
      <w:bookmarkStart w:id="7" w:name="_Toc447553497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4048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在CSDN找到了中文翻译的IEEE829的测试计划模板，并尝试融合到我项目小组的文档格式中。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1999"/>
        <w:docPartObj>
          <w:docPartGallery w:val="Table of Contents"/>
          <w:docPartUnique/>
        </w:docPartObj>
      </w:sdtPr>
      <w:sdtEndPr>
        <w:rPr>
          <w:rFonts w:ascii="Calibri Light" w:hAnsi="Calibri Light" w:eastAsia="宋体" w:cs="Times New Roman"/>
          <w:spacing w:val="15"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_Toc4048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_Toc3772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_Toc3772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_Toc24594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_Toc24594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_Toc19701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测试项</w:t>
          </w:r>
          <w:r>
            <w:tab/>
          </w:r>
          <w:r>
            <w:fldChar w:fldCharType="begin"/>
          </w:r>
          <w:r>
            <w:instrText xml:space="preserve"> PAGEREF _Toc19701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_Toc16908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要测试的特性</w:t>
          </w:r>
          <w:r>
            <w:tab/>
          </w:r>
          <w:r>
            <w:fldChar w:fldCharType="begin"/>
          </w:r>
          <w:r>
            <w:instrText xml:space="preserve"> PAGEREF _Toc16908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_Toc21553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不会被测试的特性</w:t>
          </w:r>
          <w:r>
            <w:tab/>
          </w:r>
          <w:r>
            <w:fldChar w:fldCharType="begin"/>
          </w:r>
          <w:r>
            <w:instrText xml:space="preserve"> PAGEREF _Toc21553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_Toc7023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_Toc7023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_Toc5856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测试项通过/失败准则</w:t>
          </w:r>
          <w:r>
            <w:tab/>
          </w:r>
          <w:r>
            <w:fldChar w:fldCharType="begin"/>
          </w:r>
          <w:r>
            <w:instrText xml:space="preserve"> PAGEREF _Toc5856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_Toc4737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暂停准则和继续准则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_Toc29044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测试交付物</w:t>
          </w:r>
          <w:r>
            <w:tab/>
          </w:r>
          <w:r>
            <w:fldChar w:fldCharType="begin"/>
          </w:r>
          <w:r>
            <w:instrText xml:space="preserve"> PAGEREF _Toc29044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_Toc19464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测试任务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_Toc20279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_Toc20279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_Toc24921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责任</w:t>
          </w:r>
          <w:r>
            <w:tab/>
          </w:r>
          <w:r>
            <w:fldChar w:fldCharType="begin"/>
          </w:r>
          <w:r>
            <w:instrText xml:space="preserve"> PAGEREF _Toc24921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_Toc6799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人手和培训的需要</w:t>
          </w:r>
          <w:r>
            <w:tab/>
          </w:r>
          <w:r>
            <w:fldChar w:fldCharType="begin"/>
          </w:r>
          <w:r>
            <w:instrText xml:space="preserve"> PAGEREF _Toc6799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_Toc6150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时间表</w:t>
          </w:r>
          <w:r>
            <w:tab/>
          </w:r>
          <w:r>
            <w:fldChar w:fldCharType="begin"/>
          </w:r>
          <w:r>
            <w:instrText xml:space="preserve"> PAGEREF _Toc6150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_Toc31882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风险以及应急措施</w:t>
          </w:r>
          <w:r>
            <w:tab/>
          </w:r>
          <w:r>
            <w:fldChar w:fldCharType="begin"/>
          </w:r>
          <w:r>
            <w:instrText xml:space="preserve"> PAGEREF _Toc31882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_Toc28601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授权</w:t>
          </w:r>
          <w:r>
            <w:tab/>
          </w:r>
          <w:r>
            <w:fldChar w:fldCharType="begin"/>
          </w:r>
          <w:r>
            <w:instrText xml:space="preserve"> PAGEREF _Toc28601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_Toc19882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textAlignment w:val="center"/>
            <w:rPr>
              <w:rFonts w:ascii="Calibri Light" w:hAnsi="Calibri Light" w:cs="Times New Roman"/>
              <w:b/>
              <w:spacing w:val="15"/>
              <w:sz w:val="32"/>
              <w:szCs w:val="56"/>
            </w:rPr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772"/>
      <w:r>
        <w:rPr>
          <w:rFonts w:hint="eastAsia"/>
        </w:rPr>
        <w:t>目的</w:t>
      </w:r>
      <w:bookmarkEnd w:id="10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渔乐生活APP测试计划文档有助于实现以下目标：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1．规定测试的范围、测试的方法、测试所需的资源和测试活动的时间表。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2．确定测试项、要测试的特性、要执行的测试任务、每个任务的责任人和本计划相关的风险。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1" w:name="_Toc24594"/>
      <w:r>
        <w:rPr>
          <w:rFonts w:hint="eastAsia"/>
        </w:rPr>
        <w:t>介绍</w:t>
      </w:r>
      <w:bookmarkEnd w:id="11"/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总结要测试的软件项和软件特性。在此也可描述一下每个软件项的用途、历史等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[总结要测试的软件项和软件特性。在此也可描述一下每个软件项的用途、历史等。]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  <w:t>要测试的软件项</w: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2" w:name="_Toc19701"/>
      <w:r>
        <w:rPr>
          <w:rFonts w:hint="eastAsia"/>
        </w:rPr>
        <w:t>测试项</w:t>
      </w:r>
      <w:bookmarkEnd w:id="12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测试项的版本/修订号。同时还应该说明测试该项的先决条件（如，项目将从存储在磁带上转为存储在磁盘上）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[列出测试项的版本/修订号。同时还应该说明测试该项的先决条件（如，项目将从存储在磁带上转为存储在磁盘上）。]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3" w:name="_Toc16908"/>
      <w:r>
        <w:rPr>
          <w:rFonts w:hint="eastAsia"/>
        </w:rPr>
        <w:t>要测试的特性</w:t>
      </w:r>
      <w:bookmarkEnd w:id="1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要测试的特性及其组合和相关的测试设计规格说明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[列出所有要测试的特性及其组合和相关的测试设计规格说明。]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/>
          <w:bCs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4" w:name="_Toc21553"/>
      <w:r>
        <w:rPr>
          <w:rFonts w:hint="eastAsia"/>
        </w:rPr>
        <w:t>不会被测试的特性</w:t>
      </w:r>
      <w:bookmarkEnd w:id="1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不会被测试的特性及其组合，以及不会测试他们的原因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[列出所有不会被测试的特性及其组合，以及不会测试他们的原因。]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5" w:name="_Toc7023"/>
      <w:r>
        <w:rPr>
          <w:rFonts w:hint="eastAsia"/>
        </w:rPr>
        <w:t>方法</w:t>
      </w:r>
      <w:bookmarkEnd w:id="15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描述测试将使用的总的方法，对于测试每一个主要的特性和特性的组合将使用的方法、主要活动、技术、工具。测试方法应该描述得足够详细以便识别出主要的测试任务，估计每个测试任务所需要的时间。描述期望的至少要达到的测试广度。列出用来判断测试工作量的技术（例如，决定哪些语句至少要被执行一次）、完成准则（如，错误频率）、用于需求跟踪的工具。列出测试的重要约束，如测试项是否可得、测试资源是否可得和最后期限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描述测试将使用的总的方法，对于测试每一个主要的特性和特性的组合将使用的方法、主要活动、技术、工具。测试方法应该描述得足够详细以便识别出主要的测试任务，估计每个测试任务所需要的时间。描述期望的至少要达到的测试广度。列出用来判断测试工作量的技术（例如，决定哪些语句至少要被执行一次）、完成准则（如，错误频率）、用于需求跟踪的工具。列出测试的重要约束，如测试项是否可得、测试资源是否可得和最后期限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</w:pPr>
      <w:bookmarkStart w:id="16" w:name="_Toc5856"/>
      <w:r>
        <w:rPr>
          <w:rFonts w:hint="eastAsia"/>
        </w:rPr>
        <w:t>测试项通过/失败准则</w:t>
      </w:r>
      <w:bookmarkEnd w:id="16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用来决定一个测试项是否通过或失败的标准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[列出用来决定一个测试项是否通过或失败的标准。]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  <w:r>
        <w:rPr>
          <w:rFonts w:hint="eastAsia" w:ascii="Times-Roman+2" w:hAnsi="Times-Roman+2" w:cs="Times-Roman+2"/>
          <w:kern w:val="0"/>
          <w:sz w:val="20"/>
          <w:szCs w:val="20"/>
        </w:rPr>
        <w:tab/>
      </w:r>
    </w:p>
    <w:p>
      <w:pPr>
        <w:pStyle w:val="2"/>
        <w:rPr>
          <w:rFonts w:hint="eastAsia"/>
        </w:rPr>
      </w:pPr>
      <w:bookmarkStart w:id="17" w:name="_Toc4737"/>
      <w:r>
        <w:rPr>
          <w:rFonts w:hint="eastAsia"/>
        </w:rPr>
        <w:t>暂停准则和继续准则</w:t>
      </w:r>
      <w:bookmarkEnd w:id="17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用于判断测试项的部分或所有测试活动是否要暂停的标准，以及当测试继续的时候哪些测试活动要重新进行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[列出用于判断测试项的部分或所有测试活动是否要暂停的标准，以及当测试继续的时候哪些测试活动要重新进行。]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29044"/>
      <w:r>
        <w:rPr>
          <w:rFonts w:hint="eastAsia"/>
        </w:rPr>
        <w:t>测试交付物</w:t>
      </w:r>
      <w:bookmarkEnd w:id="1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1"/>
        <w:gridCol w:w="2325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交付物描述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ind w:firstLine="372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测试计划规格说明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测试用例规格说明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测试规程规格说明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测试项移交报告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测试日志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测试事件报告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测试总结报告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测试所需的输入数据和输出数据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3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测试工具（如，模块驱动器和桩）</w:t>
            </w:r>
          </w:p>
        </w:tc>
        <w:tc>
          <w:tcPr>
            <w:tcW w:w="55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9" w:name="_Toc19464"/>
      <w:r>
        <w:rPr>
          <w:rFonts w:hint="eastAsia"/>
        </w:rPr>
        <w:t>测试任务</w:t>
      </w:r>
      <w:bookmarkEnd w:id="19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准备测试和执行测试所需的任务集、它们之间的依赖、所需的技能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[列出准备测试和执行测试所需的任务集、它们之间的依赖、所需的技能。]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bookmarkStart w:id="20" w:name="_Toc20279"/>
      <w:r>
        <w:rPr>
          <w:rFonts w:hint="eastAsia"/>
        </w:rPr>
        <w:t>环境需求</w:t>
      </w:r>
      <w:bookmarkEnd w:id="20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tbl>
      <w:tblPr>
        <w:tblStyle w:val="19"/>
        <w:tblW w:w="7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4"/>
        <w:gridCol w:w="1938"/>
        <w:gridCol w:w="19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机器名称</w:t>
            </w: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硬件配置</w:t>
            </w: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机器名称</w:t>
            </w: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硬件配置</w:t>
            </w: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1" w:name="_Toc24921"/>
      <w:r>
        <w:rPr>
          <w:rFonts w:hint="eastAsia"/>
        </w:rPr>
        <w:t>责任</w:t>
      </w:r>
      <w:bookmarkEnd w:id="21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2" w:name="_Toc6799"/>
      <w:r>
        <w:rPr>
          <w:rFonts w:hint="eastAsia"/>
        </w:rPr>
        <w:t>人手和培训的需要</w:t>
      </w:r>
      <w:bookmarkEnd w:id="22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需要的测试人员、他们应具有的技能级别以及技能培训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[列出需要的测试人员、他们应具有的技能级别以及技能培训。]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3" w:name="_Toc6150"/>
      <w:r>
        <w:rPr>
          <w:rFonts w:hint="eastAsia"/>
        </w:rPr>
        <w:t>时间表</w:t>
      </w:r>
      <w:bookmarkEnd w:id="2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pPr w:leftFromText="180" w:rightFromText="180" w:vertAnchor="text" w:horzAnchor="margin" w:tblpXSpec="center" w:tblpY="40"/>
        <w:tblW w:w="806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2222"/>
        <w:gridCol w:w="2754"/>
        <w:gridCol w:w="1432"/>
        <w:gridCol w:w="94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里程碑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测试任务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辅助物/工具</w:t>
            </w: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eastAsia="宋体"/>
                <w:sz w:val="21"/>
              </w:rPr>
              <w:t>里程碑时间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执行</w:t>
            </w:r>
            <w:r>
              <w:rPr>
                <w:rFonts w:hint="eastAsia" w:ascii="宋体" w:hAnsi="宋体" w:eastAsia="宋体"/>
                <w:sz w:val="21"/>
              </w:rPr>
              <w:t>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M0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M1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M2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M3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M4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M5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M6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M7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M8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4" w:name="_Toc31882"/>
      <w:r>
        <w:rPr>
          <w:rFonts w:hint="eastAsia"/>
        </w:rPr>
        <w:t>风险以及应急措施</w:t>
      </w:r>
      <w:bookmarkEnd w:id="2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高风险的假设，说明它们的应急措施（如，测试项交付延期可能要求测试人员加班以求按时交付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[列出所有高风险的假设，说明它们的应急措施（如，测试项交付延期可能要求测试人员加班以求按时交付）]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</w:pPr>
      <w:bookmarkStart w:id="25" w:name="_Toc28601"/>
      <w:r>
        <w:rPr>
          <w:rFonts w:hint="eastAsia"/>
        </w:rPr>
        <w:t>授权</w:t>
      </w:r>
      <w:bookmarkEnd w:id="25"/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  <w:t>对该项目进行审阅并给予批准</w: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626745</wp:posOffset>
                </wp:positionV>
                <wp:extent cx="3542030" cy="909955"/>
                <wp:effectExtent l="4445" t="5080" r="15875" b="1841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030" cy="909955"/>
                          <a:chOff x="5687" y="112972"/>
                          <a:chExt cx="5578" cy="1433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687" y="112981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发起人：侯宏仑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515" y="112972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发起人：杨枨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49.35pt;height:71.65pt;width:278.9pt;mso-wrap-distance-bottom:0pt;mso-wrap-distance-top:0pt;z-index:251658240;mso-width-relative:page;mso-height-relative:page;" coordorigin="5687,112972" coordsize="5578,1433" o:gfxdata="UEsDBAoAAAAAAIdO4kAAAAAAAAAAAAAAAAAEAAAAZHJzL1BLAwQUAAAACACHTuJA2/MAOdoAAAAI&#10;AQAADwAAAGRycy9kb3ducmV2LnhtbE2PQWvCQBSE74X+h+UVetPdxKbaNBsp0vYkQrUg3p7JMwlm&#10;34bsmui/7/bUHocZZr7JllfTioF611jWEE0VCOLClg1XGr53H5MFCOeRS2wtk4YbOVjm93cZpqUd&#10;+YuGra9EKGGXooba+y6V0hU1GXRT2xEH72R7gz7IvpJlj2MoN62MlXqWBhsOCzV2tKqpOG8vRsPn&#10;iOPbLHof1ufT6nbYJZv9OiKtHx8i9QrC09X/heEXP6BDHpiO9sKlE62GySwENbws5iCCnSTzBMRR&#10;Q/wUK5B5Jv8fyH8AUEsDBBQAAAAIAIdO4kAP4KAb2gIAAHoIAAAOAAAAZHJzL2Uyb0RvYy54bWzt&#10;Vs2O0zAQviPxDpbvbJo06U+06ap06Qppxa60IM6u4/yIxDa223Q5I+DIiRMX7rwBz8PyGoydpPvT&#10;PS3ithfX9kw+z3z+ZtzDo21doQ1TuhQ8wf7BACPGqUhLnif4zevlswlG2hCekkpwluBLpvHR7OmT&#10;w0bGLBCFqFKmEIBwHTcywYUxMvY8TQtWE30gJONgzISqiYGlyr1UkQbQ68oLBoOR1wiVSiUo0xp2&#10;j1sjnjn8LGPUnGWZZgZVCYbYjBuVG1d29GaHJM4VkUVJuzDIA6KoScnh0B3UMTEErVW5B1WXVAkt&#10;MnNARe2JLCspczlANv7gTjYnSqylyyWPm1zuaAJq7/D0YFj6anOuUJkmeIQRJzVc0Z9fH39//YJG&#10;lptG5jG4nCh5Ic9Vt5G3K5vuNlO1/YVE0NaxerljlW0NorA5jMJgMATyKdimg+k0ilraaQF3Yz+L&#10;RpMxRmD1/WA6Dnrriw4gisagIvu1Hw6H1ur1J3s2wF08jQQR6Wue9L/xdFEQyRz92pLQ8RT2PF19&#10;+3z1/efVj08otDHZw8HL8oTM9rmAvPx+X8PmPXTdynvivEnc0xaMo44zPwzcCbusSSyVNidM1MhO&#10;EqxA505+ZHOqTUtQ72LP1aIq02VZVW6h8tWiUmhDoCYWixeTxbLj9JZbxVEDqhhCFHsQFnsHsaoI&#10;fbePANFWHK7K8tLmb2dmu9p2ZK1EeglcKdEWpZZ0WQLuKdHmnCioQkgfOos5gyGrBAQjuhlGhVAf&#10;7tu3/nDpYMWogapOsH6/JophVL3kIIepH4a2DbhFGI0DWKibltVNC1/XCwEk+dDDJHVT62+qfpop&#10;Ub+FBjS3p4KJcApnJ9j004Vpew00MMrmc+cEhS+JOeUXklpoSy4X87URWemuztLUctOxB5Ju5fXf&#10;tR3ta9vV6gO0PYl8QLtT04/aftT2Pdp2XRweONfYu8fYvqA3164Wrv8yz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2/MAOdoAAAAIAQAADwAAAAAAAAABACAAAAAiAAAAZHJzL2Rvd25yZXYueG1s&#10;UEsBAhQAFAAAAAgAh07iQA/goBvaAgAAeggAAA4AAAAAAAAAAQAgAAAAKQEAAGRycy9lMm9Eb2Mu&#10;eG1sUEsFBgAAAAAGAAYAWQEAAHUGAAAAAA==&#10;">
                <o:lock v:ext="edit" aspectratio="f"/>
                <v:shape id="_x0000_s1026" o:spid="_x0000_s1026" o:spt="202" type="#_x0000_t202" style="position:absolute;left:5687;top:112981;height:1424;width:2750;" fillcolor="#CCE8CF [3201]" filled="t" stroked="t" coordsize="21600,21600" o:gfxdata="UEsDBAoAAAAAAIdO4kAAAAAAAAAAAAAAAAAEAAAAZHJzL1BLAwQUAAAACACHTuJACuU/JNcAAAAI&#10;AQAADwAAAGRycy9kb3ducmV2LnhtbE2PwU7DMAyG70i8Q2QkblvSglZUmk4IBKcixuCwY9Z4bVnj&#10;VE3WjbfHO42brf/T78/F8uR6MeEYOk8akrkCgVR721Gj4fvrdfYAIkRD1vSeUMMvBliW11eFya0/&#10;0idO69gILqGQGw1tjEMuZahbdCbM/YDE2c6PzkRex0ba0Ry53PUyVWohnemIL7RmwOcW6/364DSo&#10;j2m1q6Zss3+pnjbj6l1VP29K69ubRD2CiHiKFxjO+qwOJTtt/YFsEL2G2R2DGtL7DATHaXYetswt&#10;sgRkWcj/D5R/UEsDBBQAAAAIAIdO4kBgcDPcSgIAAHUEAAAOAAAAZHJzL2Uyb0RvYy54bWytVMGO&#10;0zAQvSPxD5bvNG027W6rpquSpQhpxa5UEGfXcZoIx2Nst0n5APgDTly48139DsZu2i2UE+IyHXte&#10;n2fezGR629aSbIWxFaiUDnp9SoTikFdqndL37xYvbiixjqmcSVAipTth6e3s+bNpoycihhJkLgxB&#10;EmUnjU5p6ZyeRJHlpaiZ7YEWCoMFmJo5PJp1lBvWIHsto7jfH0UNmFwb4MJavL07BOks8BeF4O6h&#10;KKxwRKYUc3PBmmBX3kazKZusDdNlxbs02D9kUbNK4aMnqjvmGNmY6oKqrrgBC4XrcagjKIqKi1AD&#10;VjPo/1HNsmRahFpQHKtPMtn/R8vfbh8NqfKUJpQoVmOL9t++7r//3P/4QhIvT6PtBFFLjTjXvoQW&#10;23y8t3jpq24LU/tfrIf4+CAZ9MdDSnYpHV1dxXHcCS1aR7gHXCejeIj94IgY95M4CYDoiUkb614L&#10;qIl3UmqwkUFftr23DrNC6BHiH7Ygq3xRSRkOZr3KpCFbhk3Pslc32cInjH/5DSYVaXx+mMcFhec+&#10;Uawk4x8vGZBPKqT1Ah2E8J5rV22n2gryHYpm4DB1VvNFhbz3zLpHZnDMUABcHfeAppCAyUDnUVKC&#10;+fy3e4/H7mOUkgbHNqX204YZQYl8o3AuxoMEtSQuHJLhNSpPzHlkdR5RmzoDFGmAS6p5cD3eyaNb&#10;GKg/4IbN/asYYorj2yl1Rzdzh2XCDeViPg8gnGzN3L1aau6pvbgK5hsHRRVa52U6aNOph7Md2tPt&#10;oV+e83NAPX0t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uU/JNcAAAAIAQAADwAAAAAAAAAB&#10;ACAAAAAiAAAAZHJzL2Rvd25yZXYueG1sUEsBAhQAFAAAAAgAh07iQGBwM9xKAgAAdQQAAA4AAAAA&#10;AAAAAQAgAAAAJg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发起人：侯宏仑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515;top:112972;height:1424;width:2750;" fillcolor="#CCE8CF [3201]" filled="t" stroked="t" coordsize="21600,21600" o:gfxdata="UEsDBAoAAAAAAIdO4kAAAAAAAAAAAAAAAAAEAAAAZHJzL1BLAwQUAAAACACHTuJAfRIQ7NkAAAAK&#10;AQAADwAAAGRycy9kb3ducmV2LnhtbE2PwU7DMAyG70i8Q2QkbixpB+1Umk4IBKeijbHDjlnjtWVN&#10;UiVZN94ec4Kj7U+/v79cXszAJvShd1ZCMhPA0DZO97aVsP18vVsAC1FZrQZnUcI3BlhW11elKrQ7&#10;2w+cNrFlFGJDoSR0MY4F56Hp0KgwcyNauh2cNyrS6FuuvTpTuBl4KkTGjeotfejUiM8dNsfNyUgQ&#10;q2l9qKd8d3ypn3Z+/S7qrzch5e1NIh6BRbzEPxh+9UkdKnLau5PVgQ0S5iK9J1RCOs+BEfCQ57TY&#10;E5llCfCq5P8rVD9QSwMEFAAAAAgAh07iQEAVrU9AAgAAaQQAAA4AAABkcnMvZTJvRG9jLnhtbK1U&#10;zY7TMBC+I/EOlu80bWm7u1XTVclShFSxKxXE2XGcJsL2GNttUh5geQNOXLjzXH0Oxu7PFsoJcZnM&#10;eMafZ76ZyeS2VZJshHU16JT2Ol1KhOZQ1HqV0g/v5y+uKXGe6YJJ0CKlW+Ho7fT5s0ljxqIPFchC&#10;WIIg2o0bk9LKezNOEscroZjrgBEanSVYxTyadpUUljWIrmTS73ZHSQO2MBa4cA5P7/ZOOo34ZSm4&#10;vy9LJzyRKcXcfJQ2yjzIZDph45Vlpqr5IQ32D1koVmt89AR1xzwja1tfQKmaW3BQ+g4HlUBZ1lzE&#10;GrCaXvePapYVMyLWguQ4c6LJ/T9Y/m7zYEldpHRIiWYKW7T79nX3/efuxyMZBnoa48YYtTQY59tX&#10;0GKbj+cOD0PVbWlV+GI9BP1I9PZErmg94eHS1WDUH6KLo++mO+gPIvvJ021jnX8jQJGgpNRi8yKn&#10;bLNwHjPB0GNIeMyBrIt5LWU07CrPpCUbho3OstfX2TwkiVd+C5OaNCkdvcQ8LiAC9gkil4x/ukRA&#10;PKkRNpCyLz5ovs3bA1M5FFskysJ+0pzh8xpxF8z5B2ZxtJAAXBd/j6KUgMnAQaOkAvvlb+chHjuO&#10;XkoaHNWUus9rZgUl8q3GWbjpDZBL4qMxGF710bDnnvzco9cqAySph4tpeFRDvJdHtbSgPuJWzcKr&#10;6GKa49sp9Uc18/sFwq3kYjaLQTjNhvmFXhoeoAO5GmZrD2UdWxdo2nNzYA/nObbnsHthYc7tGPX0&#10;h5j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0SEOzZAAAACgEAAA8AAAAAAAAAAQAgAAAAIgAA&#10;AGRycy9kb3ducmV2LnhtbFBLAQIUABQAAAAIAIdO4kBAFa1PQAIAAGkEAAAOAAAAAAAAAAEAIAAA&#10;ACg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发起人：杨枨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eastAsia="宋体" w:cs="Helvetica-Bold+2"/>
          <w:bCs/>
          <w:i w:val="0"/>
          <w:iCs/>
          <w:color w:val="4D4D4D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pStyle w:val="2"/>
      </w:pPr>
      <w:bookmarkStart w:id="26" w:name="_Toc19882"/>
      <w:r>
        <w:t>参考资料</w:t>
      </w:r>
      <w:bookmarkEnd w:id="26"/>
    </w:p>
    <w:p>
      <w:pPr>
        <w:rPr>
          <w:rFonts w:hint="eastAsia" w:eastAsia="宋体"/>
          <w:lang w:val="en-US" w:eastAsia="zh-CN"/>
        </w:rPr>
      </w:pPr>
      <w:r>
        <w:t>[1]</w:t>
      </w:r>
      <w:r>
        <w:rPr>
          <w:rFonts w:hint="eastAsia"/>
          <w:lang w:val="en-US" w:eastAsia="zh-CN"/>
        </w:rPr>
        <w:t>秦航,杨强.软件质量保证与测试（第2版）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pPr>
        <w:rPr>
          <w:rFonts w:hint="eastAsia" w:eastAsia="宋体"/>
          <w:lang w:val="en-US" w:eastAsia="zh-CN"/>
        </w:rPr>
      </w:pPr>
      <w:r>
        <w:t xml:space="preserve">[4] </w:t>
      </w:r>
      <w:r>
        <w:rPr>
          <w:rFonts w:hint="eastAsia"/>
          <w:lang w:val="en-US" w:eastAsia="zh-CN"/>
        </w:rPr>
        <w:t>IEEE829-1998</w:t>
      </w:r>
    </w:p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5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6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[7] PRD2018-G07-沟通管理计划</w:t>
      </w:r>
    </w:p>
    <w:p>
      <w:bookmarkStart w:id="27" w:name="_GoBack"/>
      <w:bookmarkEnd w:id="27"/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-Bold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B51E"/>
    <w:multiLevelType w:val="multilevel"/>
    <w:tmpl w:val="4E19B5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2086D"/>
    <w:rsid w:val="12AB641A"/>
    <w:rsid w:val="1D145905"/>
    <w:rsid w:val="23DD2FF7"/>
    <w:rsid w:val="27417A70"/>
    <w:rsid w:val="27E50D70"/>
    <w:rsid w:val="2B357CFC"/>
    <w:rsid w:val="2C1661F3"/>
    <w:rsid w:val="2C3610FE"/>
    <w:rsid w:val="3CA439A6"/>
    <w:rsid w:val="4EFE2C9A"/>
    <w:rsid w:val="57345E53"/>
    <w:rsid w:val="5DD96D5A"/>
    <w:rsid w:val="66B36786"/>
    <w:rsid w:val="6A5E62D4"/>
    <w:rsid w:val="6C5F1728"/>
    <w:rsid w:val="6DC73506"/>
    <w:rsid w:val="7BC2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三级标题"/>
    <w:basedOn w:val="2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21">
    <w:name w:val="二级标题"/>
    <w:basedOn w:val="2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2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BLACK JET</dc:creator>
  <cp:lastModifiedBy>时光煮雨</cp:lastModifiedBy>
  <dcterms:modified xsi:type="dcterms:W3CDTF">2019-01-12T11:24:01Z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