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</w:t>
            </w:r>
            <w:r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-G01-R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bookmarkStart w:id="25" w:name="_GoBack"/>
            <w:bookmarkEnd w:id="25"/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张荣阳，赵伟宏，刘浥，林翼力，陈帆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447553497"/>
      <w:bookmarkStart w:id="1" w:name="_Toc466020645"/>
      <w:bookmarkStart w:id="2" w:name="_Toc446076693"/>
      <w:bookmarkStart w:id="3" w:name="_Toc496719355"/>
      <w:bookmarkStart w:id="4" w:name="_Toc466742046"/>
      <w:bookmarkStart w:id="5" w:name="_Toc12861"/>
      <w:bookmarkStart w:id="6" w:name="_Toc497044042"/>
      <w:bookmarkStart w:id="7" w:name="_Toc60"/>
      <w:bookmarkStart w:id="8" w:name="_Toc27132"/>
      <w:bookmarkStart w:id="9" w:name="_Toc495739754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2018/11/22-2018/11/22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添加特别说明，明确替补角色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"_Toc497044042"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_Toc497044042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项目风险类别定义</w:t>
          </w:r>
          <w:r>
            <w:tab/>
          </w:r>
          <w:r>
            <w:fldChar w:fldCharType="begin"/>
          </w:r>
          <w:r>
            <w:instrText xml:space="preserve"> PAGEREF _Toc497044043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_Toc497044044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"_Toc497044045"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项目风险状态定义</w:t>
          </w:r>
          <w:r>
            <w:tab/>
          </w:r>
          <w:r>
            <w:fldChar w:fldCharType="begin"/>
          </w:r>
          <w:r>
            <w:instrText xml:space="preserve"> PAGEREF _Toc497044045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"_Toc497044046" </w:instrText>
          </w:r>
          <w:r>
            <w:fldChar w:fldCharType="separate"/>
          </w:r>
          <w:r>
            <w:rPr>
              <w:rStyle w:val="39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_Toc497044046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"_Toc497044047" </w:instrText>
          </w:r>
          <w:r>
            <w:fldChar w:fldCharType="separate"/>
          </w:r>
          <w:r>
            <w:rPr>
              <w:rStyle w:val="39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风险控制</w:t>
          </w:r>
          <w:r>
            <w:tab/>
          </w:r>
          <w:r>
            <w:fldChar w:fldCharType="begin"/>
          </w:r>
          <w:r>
            <w:instrText xml:space="preserve"> PAGEREF _Toc497044047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7044005"/>
      <w:bookmarkStart w:id="11" w:name="_Toc497044043"/>
      <w:bookmarkStart w:id="12" w:name="_Toc496816799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59"/>
      </w:pPr>
      <w:bookmarkStart w:id="13" w:name="_Toc497044006"/>
      <w:bookmarkStart w:id="14" w:name="_Toc496816800"/>
      <w:bookmarkStart w:id="15" w:name="_Toc497044044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59"/>
      </w:pPr>
      <w:bookmarkStart w:id="16" w:name="_Toc497044007"/>
      <w:bookmarkStart w:id="17" w:name="_Toc497044045"/>
      <w:bookmarkStart w:id="18" w:name="_Toc496816801"/>
      <w:r>
        <w:t>项目风险状态定义</w:t>
      </w:r>
      <w:bookmarkEnd w:id="16"/>
      <w:bookmarkEnd w:id="17"/>
      <w:bookmarkEnd w:id="18"/>
    </w:p>
    <w:p>
      <w:r>
        <w:rPr>
          <w:rFonts w:hint="eastAsia"/>
        </w:rPr>
        <w:t>TBD</w:t>
      </w:r>
    </w:p>
    <w:p>
      <w:pPr>
        <w:pStyle w:val="59"/>
      </w:pPr>
      <w:bookmarkStart w:id="19" w:name="_Toc497044046"/>
      <w:bookmarkStart w:id="20" w:name="_Toc497044008"/>
      <w:bookmarkStart w:id="21" w:name="_Toc496816802"/>
      <w:r>
        <w:t>风险评估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59"/>
      </w:pPr>
      <w:bookmarkStart w:id="22" w:name="_Toc497044047"/>
      <w:bookmarkStart w:id="23" w:name="_Toc496816803"/>
      <w:bookmarkStart w:id="24" w:name="_Toc497044009"/>
      <w:r>
        <w:t>风险控制</w:t>
      </w:r>
      <w:bookmarkEnd w:id="22"/>
      <w:bookmarkEnd w:id="23"/>
      <w:bookmarkEnd w:id="24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特别说明：因为每次安排任务，总会有一个人任务相对少一些，替补角色由此人担任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</w:t>
            </w:r>
            <w:r>
              <w:rPr>
                <w:rFonts w:hint="eastAsia"/>
                <w:lang w:val="en-US" w:eastAsia="zh-CN"/>
              </w:rPr>
              <w:t>已确定</w:t>
            </w:r>
            <w:r>
              <w:rPr>
                <w:rFonts w:hint="eastAsia"/>
              </w:rPr>
              <w:t>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</w:t>
            </w:r>
            <w:r>
              <w:rPr>
                <w:rFonts w:hint="eastAsia"/>
                <w:lang w:val="en-US" w:eastAsia="zh-CN"/>
              </w:rPr>
              <w:t>星期</w:t>
            </w:r>
            <w:r>
              <w:rPr>
                <w:rFonts w:hint="eastAsia"/>
              </w:rPr>
              <w:t>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19.组员开会迟到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常规例会，每日例会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rFonts w:hint="eastAsia" w:eastAsia="宋体"/>
                <w:color w:val="000000"/>
                <w:sz w:val="22"/>
                <w:lang w:eastAsia="zh-CN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/>
    <w:p>
      <w:pPr>
        <w:pStyle w:val="59"/>
        <w:numPr>
          <w:ilvl w:val="0"/>
          <w:numId w:val="0"/>
        </w:num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13D5D"/>
    <w:rsid w:val="00326FD8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50EEC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E03FD4"/>
    <w:rsid w:val="00E05C36"/>
    <w:rsid w:val="00E119E2"/>
    <w:rsid w:val="00E73116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19BD3E2A"/>
    <w:rsid w:val="1E73148F"/>
    <w:rsid w:val="2F3E32B4"/>
    <w:rsid w:val="40EC5051"/>
    <w:rsid w:val="50824672"/>
    <w:rsid w:val="5D946021"/>
    <w:rsid w:val="64882529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141414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141414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141414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141414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141414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141414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141414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141414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141414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141414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63885-53E9-4FD3-93CC-967E5E21E1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480</Words>
  <Characters>2736</Characters>
  <Lines>22</Lines>
  <Paragraphs>6</Paragraphs>
  <TotalTime>26</TotalTime>
  <ScaleCrop>false</ScaleCrop>
  <LinksUpToDate>false</LinksUpToDate>
  <CharactersWithSpaces>3210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BLACK JET</cp:lastModifiedBy>
  <dcterms:modified xsi:type="dcterms:W3CDTF">2018-11-22T12:01:33Z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