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二十六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20：20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3.管理员界面原型讨论以及制作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张荣阳：1注册用户测试用例（基本完成）2.注册用户用例（基本完成）3.对话框图（差一半）4.时序图（完成）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赵伟宏：1.完善ppt2.管理员srs（未完成）3.管理员界面4.部署图（未完成）5.对话框图（未完成）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刘浥：1.完善ppt2.管理员srs（未完成）3.管理员界面4.部署图（未完成）5.对话框图（未完成）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陈帆：1.界面原型（未完成）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林翼力：1.游客用例2.用例图（未完成）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1.管理员srs，界面以及部署图，对话框图（管理员部分）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1注册用户的对话框图继续完成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1.管理员测试用例，界面以及部署图，对话框图（管理员部分）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1.界面原型继续完善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1.游客用例以及用例图（游客部分）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1.界面原型合并（细化）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2.制作苹果端的界面原型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3.qfd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4.用例图时序图部署图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5.安排JAD会议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6.优先级排序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2018-12-28T15:16:29Z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