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center"/>
      </w:pPr>
      <w:r>
        <w:rPr>
          <w:b/>
          <w:bCs/>
          <w:color w:val="1F3A5F"/>
          <w:sz w:val="36"/>
          <w:szCs w:val="36"/>
        </w:rPr>
        <w:t xml:space="preserve">ТЕХНИЧЕСКОЕ ЗАДАНИЕ И АРХИТЕКТУРНАЯ КОНЦЕПЦИЯ</w:t>
      </w:r>
    </w:p>
    <w:p>
      <w:pPr>
        <w:spacing w:after="120" w:before="120"/>
        <w:jc w:val="center"/>
      </w:pPr>
      <w:r>
        <w:rPr>
          <w:b/>
          <w:bCs/>
          <w:color w:val="2E75B6"/>
          <w:sz w:val="30"/>
          <w:szCs w:val="30"/>
        </w:rPr>
        <w:t xml:space="preserve">CRM-система нового поколения</w:t>
      </w:r>
    </w:p>
    <w:p>
      <w:pPr>
        <w:spacing w:after="40" w:before="40"/>
        <w:jc w:val="center"/>
      </w:pPr>
      <w:r>
        <w:rPr>
          <w:i/>
          <w:iCs/>
          <w:color w:val="555555"/>
          <w:sz w:val="24"/>
          <w:szCs w:val="24"/>
        </w:rPr>
        <w:t xml:space="preserve">AI-Driven партнёр для бизнеса</w:t>
      </w:r>
    </w:p>
    <w:p>
      <w:pPr>
        <w:spacing w:before="600"/>
        <w:jc w:val="center"/>
      </w:pPr>
      <w:r>
        <w:rPr>
          <w:color w:val="888888"/>
          <w:sz w:val="20"/>
          <w:szCs w:val="20"/>
        </w:rPr>
        <w:t xml:space="preserve">Версия 1.0</w:t>
      </w:r>
    </w:p>
    <w:p>
      <w:r>
        <w:br w:type="page"/>
      </w:r>
    </w:p>
    <w:p>
      <w:pPr>
        <w:pStyle w:val="Heading1"/>
      </w:pPr>
      <w:r>
        <w:t xml:space="preserve">Содержание</w:t>
      </w:r>
    </w:p>
    <w:p>
      <w:pPr>
        <w:tabs>
          <w:tab w:val="right" w:pos="9360" w:leader="dot"/>
        </w:tabs>
        <w:spacing w:after="60" w:line="276"/>
      </w:pPr>
      <w:r>
        <w:rPr>
          <w:b/>
          <w:bCs/>
          <w:color w:val="1F3A5F"/>
          <w:sz w:val="22"/>
          <w:szCs w:val="22"/>
        </w:rPr>
        <w:t xml:space="preserve">1. Стратегический анализ рынка и позиционирование</w:t>
      </w:r>
      <w:r>
        <w:rPr>
          <w:b/>
          <w:bCs/>
          <w:color w:val="1F3A5F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Сравнительный анализ конкурентной среды</w:t>
      </w:r>
      <w:r>
        <w:rPr>
          <w:b w:val="false"/>
          <w:bCs w:val="false"/>
          <w:color w:val="333333"/>
          <w:sz w:val="21"/>
          <w:szCs w:val="21"/>
        </w:rPr>
        <w:t xml:space="preserve">	3</w:t>
      </w:r>
    </w:p>
    <w:p>
      <w:pPr>
        <w:tabs>
          <w:tab w:val="right" w:pos="9360" w:leader="dot"/>
        </w:tabs>
        <w:spacing w:after="60" w:line="276"/>
      </w:pPr>
      <w:r>
        <w:rPr>
          <w:b/>
          <w:bCs/>
          <w:color w:val="1F3A5F"/>
          <w:sz w:val="22"/>
          <w:szCs w:val="22"/>
        </w:rPr>
        <w:t xml:space="preserve">2. Уникальные торговые преимущества (Killer Features)</w:t>
      </w:r>
      <w:r>
        <w:rPr>
          <w:b/>
          <w:bCs/>
          <w:color w:val="1F3A5F"/>
          <w:sz w:val="22"/>
          <w:szCs w:val="22"/>
        </w:rPr>
        <w:t xml:space="preserve">	3</w:t>
      </w:r>
    </w:p>
    <w:p>
      <w:pPr>
        <w:tabs>
          <w:tab w:val="right" w:pos="9360" w:leader="dot"/>
        </w:tabs>
        <w:spacing w:after="60" w:line="276"/>
      </w:pPr>
      <w:r>
        <w:rPr>
          <w:b/>
          <w:bCs/>
          <w:color w:val="1F3A5F"/>
          <w:sz w:val="22"/>
          <w:szCs w:val="22"/>
        </w:rPr>
        <w:t xml:space="preserve">3. Детальный пошаговый роадмап разработки</w:t>
      </w:r>
      <w:r>
        <w:rPr>
          <w:b/>
          <w:bCs/>
          <w:color w:val="1F3A5F"/>
          <w:sz w:val="22"/>
          <w:szCs w:val="22"/>
        </w:rPr>
        <w:t xml:space="preserve">	4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Этап 1. Архитектура и гибридная data-структура (месяцы 1–2)</w:t>
      </w:r>
      <w:r>
        <w:rPr>
          <w:b w:val="false"/>
          <w:bCs w:val="false"/>
          <w:color w:val="333333"/>
          <w:sz w:val="21"/>
          <w:szCs w:val="21"/>
        </w:rPr>
        <w:t xml:space="preserve">	4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Этап 2. Модуль Real-Time Unit-Economics (месяцы 3–4)</w:t>
      </w:r>
      <w:r>
        <w:rPr>
          <w:b w:val="false"/>
          <w:bCs w:val="false"/>
          <w:color w:val="333333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Этап 3. AI-ассистент и авто-дейлики (месяцы 5–6)</w:t>
      </w:r>
      <w:r>
        <w:rPr>
          <w:b w:val="false"/>
          <w:bCs w:val="false"/>
          <w:color w:val="333333"/>
          <w:sz w:val="21"/>
          <w:szCs w:val="21"/>
        </w:rPr>
        <w:t xml:space="preserve">	5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Этап 4. AI-балансировщик нагрузки и предиктивная аналитика (месяц 7)</w:t>
      </w:r>
      <w:r>
        <w:rPr>
          <w:b w:val="false"/>
          <w:bCs w:val="false"/>
          <w:color w:val="333333"/>
          <w:sz w:val="21"/>
          <w:szCs w:val="21"/>
        </w:rPr>
        <w:t xml:space="preserve">	6</w:t>
      </w:r>
    </w:p>
    <w:p>
      <w:pPr>
        <w:tabs>
          <w:tab w:val="right" w:pos="9360" w:leader="dot"/>
        </w:tabs>
        <w:spacing w:after="60" w:line="276"/>
        <w:ind w:left="360"/>
      </w:pPr>
      <w:r>
        <w:rPr>
          <w:b w:val="false"/>
          <w:bCs w:val="false"/>
          <w:color w:val="333333"/>
          <w:sz w:val="21"/>
          <w:szCs w:val="21"/>
        </w:rPr>
        <w:t xml:space="preserve">Этап 5. Динамический граф знаний и коммерческий релиз (месяцы 8–9)</w:t>
      </w:r>
      <w:r>
        <w:rPr>
          <w:b w:val="false"/>
          <w:bCs w:val="false"/>
          <w:color w:val="333333"/>
          <w:sz w:val="21"/>
          <w:szCs w:val="21"/>
        </w:rPr>
        <w:t xml:space="preserve">	7</w:t>
      </w:r>
    </w:p>
    <w:p>
      <w:pPr>
        <w:tabs>
          <w:tab w:val="right" w:pos="9360" w:leader="dot"/>
        </w:tabs>
        <w:spacing w:after="60" w:line="276"/>
      </w:pPr>
      <w:r>
        <w:rPr>
          <w:b/>
          <w:bCs/>
          <w:color w:val="1F3A5F"/>
          <w:sz w:val="22"/>
          <w:szCs w:val="22"/>
        </w:rPr>
        <w:t xml:space="preserve">4. Техническая ИИ-стратегия и безопасность данных</w:t>
      </w:r>
      <w:r>
        <w:rPr>
          <w:b/>
          <w:bCs/>
          <w:color w:val="1F3A5F"/>
          <w:sz w:val="22"/>
          <w:szCs w:val="22"/>
        </w:rPr>
        <w:t xml:space="preserve">	7</w:t>
      </w:r>
    </w:p>
    <w:p>
      <w:r>
        <w:br w:type="page"/>
      </w:r>
    </w:p>
    <w:p>
      <w:pPr>
        <w:pStyle w:val="Heading1"/>
      </w:pPr>
      <w:r>
        <w:t xml:space="preserve">1. Стратегический анализ рынка и позиционирование</w:t>
      </w:r>
    </w:p>
    <w:p>
      <w:pPr>
        <w:spacing w:after="120" w:line="276"/>
        <w:jc w:val="both"/>
      </w:pPr>
      <w:r>
        <w:t xml:space="preserve">Большинство современных CRM-систем (Битрикс24, AmoCRM, Jira) создавались в эпоху, когда автоматизация сводилась к заполнению таблиц и ручному перемещению карточек. Главная проблема этих систем — высокий уровень бюрократии: сотрудники тратят до 30% рабочего времени на заполнение отчётов, а руководство получает искажённую или запоздалую аналитику.</w:t>
      </w:r>
    </w:p>
    <w:p>
      <w:pPr>
        <w:spacing w:after="120" w:line="276"/>
        <w:jc w:val="both"/>
      </w:pPr>
      <w:r>
        <w:t xml:space="preserve">Продукт позиционируется как </w:t>
      </w:r>
      <w:r>
        <w:rPr>
          <w:b/>
          <w:bCs/>
          <w:color w:val="1F3A5F"/>
        </w:rPr>
        <w:t xml:space="preserve">«AI-Driven партнёр для бизнеса»</w:t>
      </w:r>
      <w:r>
        <w:t xml:space="preserve">. Фокус смещается с ручного контроля на автоматический сбор данных и предиктивную аналитику.</w:t>
      </w:r>
    </w:p>
    <w:p>
      <w:pPr>
        <w:pStyle w:val="Heading2"/>
      </w:pPr>
      <w:r>
        <w:t xml:space="preserve">Сравнительный анализ конкурентной среды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2530"/>
        <w:gridCol w:w="2530"/>
      </w:tblGrid>
      <w:tr>
        <w:trPr>
          <w:tblHeader/>
        </w:trPr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CRM-система</w:t>
            </w:r>
          </w:p>
        </w:tc>
        <w:tc>
          <w:tcPr>
            <w:tcW w:type="dxa" w:w="2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Фокус и сильные стороны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Критические уязвимости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1F3A5F"/>
                <w:sz w:val="20"/>
                <w:szCs w:val="20"/>
              </w:rPr>
              <w:t xml:space="preserve">Стратегический ответ продукта</w:t>
            </w:r>
          </w:p>
        </w:tc>
      </w:tr>
      <w:tr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Битрикс24</w:t>
            </w:r>
          </w:p>
        </w:tc>
        <w:tc>
          <w:tcPr>
            <w:tcW w:type="dxa" w:w="2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«Всё в одном» для enterprise: огромный набор функций, коробочная версия, развитая партнёрская сеть.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Перегруженный UI/UX, медленные облачные интерфейсы, избыточный функционал для 80% компаний.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Легковесность и скорость. Отказ от «мусорных» модулей. Интерфейс, который летает.</w:t>
            </w:r>
          </w:p>
        </w:tc>
      </w:tr>
      <w:tr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AmoCRM</w:t>
            </w:r>
          </w:p>
        </w:tc>
        <w:tc>
          <w:tcPr>
            <w:tcW w:type="dxa" w:w="2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Классическая воронка продаж (B2B/B2C): минималистичный канбан, сильная интеграция с мессенджерами.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Нет инструментов управления проектами, производством и внутренними командами.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Универсальность проектного управления при сохранении простоты — но для задач и денег.</w:t>
            </w:r>
          </w:p>
        </w:tc>
      </w:tr>
      <w:tr>
        <w:tc>
          <w:tcPr>
            <w:tcW w:type="dxa" w:w="15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/>
                <w:bCs/>
                <w:color w:val="222222"/>
                <w:sz w:val="20"/>
                <w:szCs w:val="20"/>
              </w:rPr>
              <w:t xml:space="preserve">Jira / ClickUp</w:t>
            </w:r>
          </w:p>
        </w:tc>
        <w:tc>
          <w:tcPr>
            <w:tcW w:type="dxa" w:w="280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Трекинг задач для IT и digital-команд: мощное планирование, гибкие методологии (Scrum/Kanban).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Сложная настройка, высокая стоимость, нет связи задач с реальной юнит-экономикой компании.</w:t>
            </w:r>
          </w:p>
        </w:tc>
        <w:tc>
          <w:tcPr>
            <w:tcW w:type="dxa" w:w="253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0" w:line="264"/>
            </w:pPr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Финансовый вес задач: каждая задача имеет денежное выражение в реальном времени.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Уникальные торговые преимущества (Killer Features)</w:t>
      </w:r>
    </w:p>
    <w:p>
      <w:pPr>
        <w:spacing w:after="120" w:line="276"/>
        <w:jc w:val="both"/>
      </w:pPr>
      <w:r>
        <w:t xml:space="preserve">Чтобы продукт вызвал «вау-эффект» на рынке, он должен решать фундаментальные боли собственников: потерю денег на неэффективных задачах и саботаж сотрудников при заполнении отчётов.</w:t>
      </w:r>
    </w:p>
    <w:p>
      <w:pPr>
        <w:pStyle w:val="Heading3"/>
      </w:pPr>
      <w:r>
        <w:t xml:space="preserve">Фича №1. Real-Time Unit-Economics — финансовый вес задач</w:t>
      </w:r>
    </w:p>
    <w:p>
      <w:pPr>
        <w:spacing w:after="120" w:line="276"/>
        <w:jc w:val="both"/>
      </w:pPr>
      <w:r>
        <w:t xml:space="preserve">В отличие от обычных таск-трекеров, где задача — это просто текст, здесь каждая задача имеет себестоимость, рассчитываемую в реальном времени. Руководитель видит маржинальность проектов не в конце месяца, а в каждый момент.</w:t>
      </w:r>
    </w:p>
    <w:p>
      <w:pPr>
        <w:pStyle w:val="Heading3"/>
      </w:pPr>
      <w:r>
        <w:t xml:space="preserve">Фича №2. AI Standup Pipeline — автоматические дейлики</w:t>
      </w:r>
    </w:p>
    <w:p>
      <w:pPr>
        <w:spacing w:after="120" w:line="276"/>
        <w:jc w:val="both"/>
      </w:pPr>
      <w:r>
        <w:t xml:space="preserve">Полный отказ от ежедневных планёрок. Сотруднику достаточно наговорить голосовое сообщение в Telegram-бот. Система расшифрует его, поймёт контекст, передвинет нужные карточки на канбан-доске и обновит тайм-трекер.</w:t>
      </w:r>
    </w:p>
    <w:p>
      <w:pPr>
        <w:pStyle w:val="Heading3"/>
      </w:pPr>
      <w:r>
        <w:t xml:space="preserve">Фича №3. AI Load Balancer — защита от выгорания и срыва сроков</w:t>
      </w:r>
    </w:p>
    <w:p>
      <w:pPr>
        <w:spacing w:after="120" w:line="276"/>
        <w:jc w:val="both"/>
      </w:pPr>
      <w:r>
        <w:t xml:space="preserve">Алгоритм рассчитывает чистую скорость работы каждого человека (Velocity) и не позволяет менеджеру назначить задач больше, чем сотрудник способен выполнить, предотвращая срыв дедлайнов.</w:t>
      </w:r>
    </w:p>
    <w:p>
      <w:pPr>
        <w:pStyle w:val="Heading3"/>
      </w:pPr>
      <w:r>
        <w:t xml:space="preserve">Фича №4. Динамический граф знаний — умный онбординг</w:t>
      </w:r>
    </w:p>
    <w:p>
      <w:pPr>
        <w:spacing w:after="120" w:line="276"/>
        <w:jc w:val="both"/>
      </w:pPr>
      <w:r>
        <w:t xml:space="preserve">Система собирает базу знаний не из статичных файлов, а из истории выполненных задач. Новый сотрудник общается с CRM как с опытным коллегой и моментально узнаёт, как решались аналогичные проблемы в прошлом.</w:t>
      </w:r>
    </w:p>
    <w:p>
      <w:pPr>
        <w:spacing w:after="120"/>
      </w:pPr>
    </w:p>
    <w:p>
      <w:pPr>
        <w:pStyle w:val="Heading1"/>
      </w:pPr>
      <w:r>
        <w:t xml:space="preserve">3. Детальный пошаговый роадмап разработки</w:t>
      </w:r>
    </w:p>
    <w:p>
      <w:pPr>
        <w:spacing w:after="120" w:line="276"/>
        <w:jc w:val="both"/>
      </w:pPr>
      <w:r>
        <w:t xml:space="preserve">Разработка разбита на пять стратегических этапов: каждый последовательно усложняет систему — от надёжного ядра до ИИ-модулей.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Этап 1: Фундамент БД  →  Этап 2: Финансовое ядро  →  Этап 3: AI Standup  →  Этап 4: Балансировщик  →  Этап 5: Граф знаний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Этап 1. Архитектура и гибридная data-структура (месяцы 1–2)</w:t>
      </w:r>
    </w:p>
    <w:p>
      <w:pPr>
        <w:spacing w:after="120" w:line="276"/>
        <w:jc w:val="both"/>
      </w:pPr>
      <w:r>
        <w:t xml:space="preserve">Цель: создать каркас, способный без рефакторинга выдерживать реал-тайм транзакции, хранить векторные данные для нейросетей и синхронизировать интерфейсы пользователей за миллисекунды.</w:t>
      </w:r>
    </w:p>
    <w:p>
      <w:pPr>
        <w:pStyle w:val="Heading3"/>
      </w:pPr>
      <w:r>
        <w:t xml:space="preserve">Шаг 1.1. Проектирование гибридной структуры базы данных</w:t>
      </w:r>
    </w:p>
    <w:p>
      <w:pPr>
        <w:spacing w:after="120" w:line="276"/>
        <w:jc w:val="both"/>
      </w:pPr>
      <w:r>
        <w:t xml:space="preserve">Разворачивается реляционная база PostgreSQL для критически важных бизнес-данных. Параллельно подключается расширение pgvector (либо разворачивается векторная БД Pinecone). Кэширование сложной аналитики берёт на себя Redis.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PostgreSQL — реляционный слой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Сделки, задачи, пользователи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Логи времени (TimeLogs)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Финансовые ставки (Rates)</w:t>
            </w:r>
          </w:p>
        </w:tc>
        <w:tc>
          <w:tcPr>
            <w:tcW w:type="dxa" w:w="468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E8F0E4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60"/>
              <w:jc w:val="center"/>
            </w:pPr>
            <w:r>
              <w:rPr>
                <w:b/>
                <w:bCs/>
                <w:color w:val="1F3A5F"/>
                <w:sz w:val="22"/>
                <w:szCs w:val="22"/>
              </w:rPr>
              <w:t xml:space="preserve">pgvector / Pinecone — векторный слой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Эмбеддинги задач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Семантические смыслы</w:t>
            </w:r>
          </w:p>
          <w:p>
            <w:pPr>
              <w:spacing w:after="20" w:line="252"/>
              <w:jc w:val="center"/>
            </w:pPr>
            <w:r>
              <w:rPr>
                <w:color w:val="333333"/>
                <w:sz w:val="19"/>
                <w:szCs w:val="19"/>
              </w:rPr>
              <w:t xml:space="preserve">База для ИИ-поиска</w:t>
            </w:r>
          </w:p>
        </w:tc>
      </w:tr>
    </w:tbl>
    <w:p>
      <w:pPr>
        <w:spacing w:after="120" w:before="60"/>
        <w:jc w:val="center"/>
      </w:pPr>
      <w:r>
        <w:rPr>
          <w:i/>
          <w:iCs/>
          <w:color w:val="666666"/>
          <w:sz w:val="18"/>
          <w:szCs w:val="18"/>
        </w:rPr>
        <w:t xml:space="preserve">Кэширование сложной аналитики — Redis (поверх обоих слоёв)</w:t>
      </w: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PostgreSQL гарантирует строгое соблюдение транзакций (ACID), необходимое для финансового учёта. Векторный слой закладывается с первого шага: при закрытии задач сразу сохраняется их математическое описание (эмбеддинг) для будущего ИИ-поиска. Без этого внедрить граф знаний на этапе 5 по старой базе будет невозможно.</w:t>
      </w:r>
    </w:p>
    <w:p>
      <w:pPr>
        <w:pStyle w:val="Heading3"/>
      </w:pPr>
      <w:r>
        <w:t xml:space="preserve">Шаг 1.2. Ядро бэкенда и реал-тайм слой (WebSockets)</w:t>
      </w:r>
    </w:p>
    <w:p>
      <w:pPr>
        <w:spacing w:after="120" w:line="276"/>
        <w:jc w:val="both"/>
      </w:pPr>
      <w:r>
        <w:t xml:space="preserve">Каркас приложения на NestJS (Node.js) или Laravel (PHP). Настройка JWT-авторизации и ролевой модели (RBAC). Разворачивание сервера WebSockets (Socket.io).</w:t>
      </w: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WebSockets критичны для командной работы. Изменения на канбан-доске (перенос карточки, смена исполнителя) должны мгновенно отображаться у всех участников проекта без перезагрузки страниц.</w:t>
      </w:r>
    </w:p>
    <w:p>
      <w:pPr>
        <w:pStyle w:val="Heading3"/>
      </w:pPr>
      <w:r>
        <w:t xml:space="preserve">Шаг 1.3. Легковесный SPA-интерфейс рабочего пространства</w:t>
      </w:r>
    </w:p>
    <w:p>
      <w:pPr>
        <w:spacing w:after="120" w:line="276"/>
        <w:jc w:val="both"/>
      </w:pPr>
      <w:r>
        <w:t xml:space="preserve">Фронтенд на React или Vue.js. Базовый модуль канбан-доски с поддержкой drag-and-drop.</w:t>
      </w: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Минималистичный и чистый интерфейс с первого дня станет главным визуальным отличием от перегруженного Битрикс24.</w:t>
      </w:r>
    </w:p>
    <w:p>
      <w:pPr>
        <w:pStyle w:val="Heading2"/>
      </w:pPr>
      <w:r>
        <w:t xml:space="preserve">Этап 2. Модуль Real-Time Unit-Economics (месяцы 3–4)</w:t>
      </w:r>
    </w:p>
    <w:p>
      <w:pPr>
        <w:spacing w:after="120" w:line="276"/>
        <w:jc w:val="both"/>
      </w:pPr>
      <w:r>
        <w:t xml:space="preserve">Цель: превратить систему из обычного трекера задач в инструмент финансового контроля.</w:t>
      </w:r>
    </w:p>
    <w:p>
      <w:pPr>
        <w:pStyle w:val="Heading3"/>
      </w:pPr>
      <w:r>
        <w:t xml:space="preserve">Шаг 2.1. Интерактивный тайм-трекер</w:t>
      </w:r>
    </w:p>
    <w:p>
      <w:pPr>
        <w:spacing w:after="120" w:line="276"/>
        <w:jc w:val="both"/>
      </w:pPr>
      <w:r>
        <w:t xml:space="preserve">Кнопка «В работу / Пауза» в каждой карточке задачи. Бэкенд фиксирует точные таймстампы (timestamp_start, timestamp_end) и записывает их в таблицу TimeLogs.</w:t>
      </w: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Ручной ввод времени («я работал 3 часа») всегда искажает реальность. Нужна фиксация факта работы в реальном времени.</w:t>
      </w:r>
    </w:p>
    <w:p>
      <w:pPr>
        <w:pStyle w:val="Heading3"/>
      </w:pPr>
      <w:r>
        <w:t xml:space="preserve">Шаг 2.2. Движок динамического расчёта себестоимости</w:t>
      </w:r>
    </w:p>
    <w:p>
      <w:pPr>
        <w:spacing w:after="120" w:line="276"/>
        <w:jc w:val="both"/>
      </w:pPr>
      <w:r>
        <w:t xml:space="preserve">Фоновый процесс (на базе очередей Redis / RabbitMQ) каждую минуту пересчитывает текущую стоимость задачи по формуле: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Текущая стоимость задачи = Σ ( затреканные секунды ÷ 3600 × почасовая ставка сотрудника )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Руководитель видит финансовый вес задачи прямо на канбан-доске. Если простая задача застревает у дорогого специалиста, система сразу визуализирует рост её себестоимости.</w:t>
      </w:r>
    </w:p>
    <w:p>
      <w:pPr>
        <w:pStyle w:val="Heading3"/>
      </w:pPr>
      <w:r>
        <w:t xml:space="preserve">Шаг 2.3. Дашборды маржинальности проектов (P&amp;L в моменте)</w:t>
      </w:r>
    </w:p>
    <w:p>
      <w:pPr>
        <w:spacing w:after="120" w:line="276"/>
        <w:jc w:val="both"/>
      </w:pPr>
      <w:r>
        <w:t xml:space="preserve">Аналитические панели для каждого проекта. Из общего бюджета автоматически вычитается динамическая себестоимость всех задач.</w:t>
      </w: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Предотвращение кассовых разрывов. Если маржинальность падает ниже критического уровня (например, 20%), система бьёт тревогу до того, как проект уйдёт в минус.</w:t>
      </w:r>
    </w:p>
    <w:p>
      <w:pPr>
        <w:pStyle w:val="Heading2"/>
      </w:pPr>
      <w:r>
        <w:t xml:space="preserve">Этап 3. AI-ассистент и авто-дейлики (месяцы 5–6)</w:t>
      </w:r>
    </w:p>
    <w:p>
      <w:pPr>
        <w:spacing w:after="120" w:line="276"/>
        <w:jc w:val="both"/>
      </w:pPr>
      <w:r>
        <w:t xml:space="preserve">Цель: полностью автоматизировать сбор ежедневной отчётности через интеграцию облачных API (OpenAI / Anthropic).</w:t>
      </w:r>
    </w:p>
    <w:p>
      <w:pPr>
        <w:pStyle w:val="Heading3"/>
      </w:pPr>
      <w:r>
        <w:t xml:space="preserve">Шаг 3.1. Интеграция Telegram-бота и Speech-to-Text (Whisper)</w:t>
      </w:r>
    </w:p>
    <w:p>
      <w:pPr>
        <w:spacing w:after="120" w:line="276"/>
        <w:jc w:val="both"/>
      </w:pPr>
      <w:r>
        <w:t xml:space="preserve">Бот по расписанию опрашивает сотрудников. Голосовое сообщение отправляется в OpenAI Whisper API для транскрибации в сырой текст.</w:t>
      </w:r>
    </w:p>
    <w:p>
      <w:pPr>
        <w:pStyle w:val="Heading3"/>
      </w:pPr>
      <w:r>
        <w:t xml:space="preserve">Шаг 3.2. LLM-парсер намерений (превращение текста в JSON)</w:t>
      </w:r>
    </w:p>
    <w:p>
      <w:pPr>
        <w:spacing w:after="120" w:line="276"/>
        <w:jc w:val="both"/>
      </w:pPr>
      <w:r>
        <w:t xml:space="preserve">Сырой текст отправляется в лёгкую модель класса GPT-4o-mini. Через системный промпт ИИ выдаёт строго структурированный JSON-пакет.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DCE6F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[Голосовое в Telegram]  →  [Whisper API: текст]  →  [LLM]  →  [Валидный JSON]  →  [Бэкенд CRM]</w:t>
            </w:r>
          </w:p>
        </w:tc>
      </w:tr>
    </w:tbl>
    <w:p>
      <w:pPr>
        <w:spacing w:after="80"/>
      </w:pPr>
    </w:p>
    <w:p>
      <w:pPr>
        <w:spacing w:after="120" w:line="276"/>
        <w:jc w:val="both"/>
      </w:pPr>
      <w:r>
        <w:t xml:space="preserve">Пример извлекаемого ИИ JSON-пакета: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{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"employee_id": 804,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"actions": [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"task_id": 1420,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"status_change": "DONE",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"time_logged_minutes": 120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{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"task_id": 1421,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"status_change": "IN_PROGRESS",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  "blocker_detected": "Дизайнер не прислал исходники макета"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  }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  ]</w:t>
            </w:r>
          </w:p>
          <w:p>
            <w:pPr>
              <w:spacing w:after="40" w:line="264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Шаг 3.3. Авто-актуализация канбана и триггеры алертов</w:t>
      </w:r>
    </w:p>
    <w:p>
      <w:pPr>
        <w:spacing w:after="120" w:line="276"/>
        <w:jc w:val="both"/>
      </w:pPr>
      <w:r>
        <w:t xml:space="preserve">Бэкенд принимает JSON, автоматически передвигает карточки и начисляет время в юнит-экономику. При обнаружении текстового блокера на задачу вешается красный тег BLOCKED, а проджект-менеджер получает уведомление.</w:t>
      </w:r>
    </w:p>
    <w:p>
      <w:pPr>
        <w:pStyle w:val="Heading2"/>
      </w:pPr>
      <w:r>
        <w:t xml:space="preserve">Этап 4. AI-балансировщик нагрузки и предиктивная аналитика (месяц 7)</w:t>
      </w:r>
    </w:p>
    <w:p>
      <w:pPr>
        <w:spacing w:after="120" w:line="276"/>
        <w:jc w:val="both"/>
      </w:pPr>
      <w:r>
        <w:t xml:space="preserve">Цель: защитить компанию от сорванных сроков, а команду — от выгорания за счёт интеллектуального распределения задач.</w:t>
      </w:r>
    </w:p>
    <w:p>
      <w:pPr>
        <w:pStyle w:val="Heading3"/>
      </w:pPr>
      <w:r>
        <w:t xml:space="preserve">Шаг 4.1. Алгоритмический расчёт показателя Velocity</w:t>
      </w:r>
    </w:p>
    <w:p>
      <w:pPr>
        <w:spacing w:after="120" w:line="276"/>
        <w:jc w:val="both"/>
      </w:pPr>
      <w:r>
        <w:t xml:space="preserve">Система анализирует исторические данные таблицы TimeLogs за 2–3 месяца и вычисляет реальную скорость выполнения задач каждым сотрудником</w:t>
      </w:r>
      <w:r>
        <w:rPr>
          <w:rStyle w:val="FootnoteReference"/>
        </w:rPr>
        <w:footnoteReference w:id="3"/>
      </w:r>
      <w:r>
        <w:t xml:space="preserve">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2DD" w:sz="1"/>
              <w:left w:val="single" w:color="C9D2DD" w:sz="1"/>
              <w:bottom w:val="single" w:color="C9D2DD" w:sz="1"/>
              <w:right w:val="single" w:color="C9D2DD" w:sz="1"/>
            </w:tcBorders>
            <w:shd w:fill="F2F4F7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 w:line="264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Velocity = количество успешно закрытых задач ÷ затраченное время</w:t>
            </w:r>
          </w:p>
        </w:tc>
      </w:tr>
    </w:tbl>
    <w:p>
      <w:pPr>
        <w:spacing w:after="80"/>
      </w:pPr>
    </w:p>
    <w:p>
      <w:pPr>
        <w:spacing w:after="140" w:line="276"/>
        <w:jc w:val="both"/>
      </w:pPr>
      <w:r>
        <w:rPr>
          <w:b/>
          <w:bCs/>
          <w:i/>
          <w:iCs/>
          <w:color w:val="1F3A5F"/>
        </w:rPr>
        <w:t xml:space="preserve">Аргументация: </w:t>
      </w:r>
      <w:r>
        <w:rPr>
          <w:i/>
          <w:iCs/>
          <w:color w:val="444444"/>
        </w:rPr>
        <w:t xml:space="preserve">Это уход от субъективной оценки дедлайнов. Система знает чистую производительность каждого человека с учётом отпусков, больничных и реальной скорости работы.</w:t>
      </w:r>
    </w:p>
    <w:p>
      <w:pPr>
        <w:pStyle w:val="Heading3"/>
      </w:pPr>
      <w:r>
        <w:t xml:space="preserve">Шаг 4.2. Предиктивные алерты перегрузки</w:t>
      </w:r>
    </w:p>
    <w:p>
      <w:pPr>
        <w:spacing w:after="120" w:line="276"/>
        <w:jc w:val="both"/>
      </w:pPr>
      <w:r>
        <w:t xml:space="preserve">Если менеджер пытается перетащить на сотрудника объём задач сверх его недельного лимита, CRM выдаёт жёсткое предупреждение: </w:t>
      </w:r>
      <w:r>
        <w:rPr>
          <w:i/>
          <w:iCs/>
        </w:rPr>
        <w:t xml:space="preserve">«Внимание: риск срыва срока данной задачи составляет 85%. Исполнитель перегружен»</w:t>
      </w:r>
      <w:r>
        <w:t xml:space="preserve">.</w:t>
      </w:r>
    </w:p>
    <w:p>
      <w:pPr>
        <w:pStyle w:val="Heading2"/>
      </w:pPr>
      <w:r>
        <w:t xml:space="preserve">Этап 5. Динамический граф знаний и коммерческий релиз (месяцы 8–9)</w:t>
      </w:r>
    </w:p>
    <w:p>
      <w:pPr>
        <w:spacing w:after="120" w:line="276"/>
        <w:jc w:val="both"/>
      </w:pPr>
      <w:r>
        <w:t xml:space="preserve">Цель: капитализировать внутренний опыт компании и запустить продажи по SaaS-модели.</w:t>
      </w:r>
    </w:p>
    <w:p>
      <w:pPr>
        <w:pStyle w:val="Heading3"/>
      </w:pPr>
      <w:r>
        <w:t xml:space="preserve">Шаг 5.1. Реализация RAG-архитектуры (Retrieval-Augmented Generation)</w:t>
      </w:r>
    </w:p>
    <w:p>
      <w:pPr>
        <w:spacing w:after="120" w:line="276"/>
        <w:jc w:val="both"/>
      </w:pPr>
      <w:r>
        <w:t xml:space="preserve">Все закрытые задачи, внутренние регламенты и комментарии к проектам индексируются, превращаются в векторы через Embeddings API и сохраняются в векторную базу данных.</w:t>
      </w:r>
    </w:p>
    <w:p>
      <w:pPr>
        <w:pStyle w:val="Heading3"/>
      </w:pPr>
      <w:r>
        <w:t xml:space="preserve">Шаг 5.2. Интерфейс «корпоративного разума» (AI Brain)</w:t>
      </w:r>
    </w:p>
    <w:p>
      <w:pPr>
        <w:spacing w:after="120" w:line="276"/>
        <w:jc w:val="both"/>
      </w:pPr>
      <w:r>
        <w:t xml:space="preserve">Диалоговое окно внутри CRM. Новый сотрудник пишет запрос: </w:t>
      </w:r>
      <w:r>
        <w:rPr>
          <w:i/>
          <w:iCs/>
        </w:rPr>
        <w:t xml:space="preserve">«Как мы решали проблему с пагинацией на проектах по недвижимости в прошлый раз?»</w:t>
      </w:r>
      <w:r>
        <w:t xml:space="preserve">. ИИ анализирует векторную базу, вытаскивает релевантные старые тикеты и выдаёт чёткую пошаговую инструкцию со ссылками на архивы.</w:t>
      </w:r>
    </w:p>
    <w:p>
      <w:pPr>
        <w:pStyle w:val="Heading3"/>
      </w:pPr>
      <w:r>
        <w:t xml:space="preserve">Шаг 5.3. Оптимизация ИИ-затрат (Redis Caching)</w:t>
      </w:r>
    </w:p>
    <w:p>
      <w:pPr>
        <w:spacing w:after="120" w:line="276"/>
        <w:jc w:val="both"/>
      </w:pPr>
      <w:r>
        <w:t xml:space="preserve">Агрессивное кэширование ИИ-запросов. Если сотрудники задают похожие вопросы, система отдаёт ответ из быстрой памяти Redis, не совершая платных запросов к провайдеру.</w:t>
      </w:r>
    </w:p>
    <w:p>
      <w:pPr>
        <w:pStyle w:val="Heading3"/>
      </w:pPr>
      <w:r>
        <w:t xml:space="preserve">Шаг 5.4. Подключение биллинга и публичный релиз</w:t>
      </w:r>
    </w:p>
    <w:p>
      <w:pPr>
        <w:spacing w:after="120" w:line="276"/>
        <w:jc w:val="both"/>
      </w:pPr>
      <w:r>
        <w:t xml:space="preserve">Интеграция платёжных шлюзов для автоматического списания подписки по тарифам (в зависимости от количества мест или объёма ИИ-токенов). Официальный запуск продукта.</w:t>
      </w:r>
    </w:p>
    <w:p>
      <w:pPr>
        <w:spacing w:after="120"/>
      </w:pPr>
    </w:p>
    <w:p>
      <w:pPr>
        <w:pStyle w:val="Heading1"/>
      </w:pPr>
      <w:r>
        <w:t xml:space="preserve">4. Техническая ИИ-стратегия и безопасность данных</w:t>
      </w:r>
    </w:p>
    <w:p>
      <w:pPr>
        <w:spacing w:after="120" w:line="276"/>
        <w:jc w:val="both"/>
      </w:pPr>
      <w:r>
        <w:t xml:space="preserve">Поскольку для MVP выбраны готовые облачные API (OpenAI / Anthropic), архитектура строится с учётом строгих правил безопасности для B2B-клиентов.</w:t>
      </w:r>
    </w:p>
    <w:p>
      <w:pPr>
        <w:pStyle w:val="Heading3"/>
      </w:pPr>
      <w:r>
        <w:t xml:space="preserve">Коммерческий NDA-протокол</w:t>
      </w:r>
    </w:p>
    <w:p>
      <w:pPr>
        <w:spacing w:after="120" w:line="276"/>
        <w:jc w:val="both"/>
      </w:pPr>
      <w:r>
        <w:t xml:space="preserve">Запросы отправляются строго через коммерческие API-аккаунты. По умолчанию данные коммерческого API не используются для обучения публичных моделей; сроки хранения и опции нулевого хранения нужно фиксировать в договоре (DPA) под конкретного провайдера</w:t>
      </w:r>
      <w:r>
        <w:rPr>
          <w:rStyle w:val="FootnoteReference"/>
        </w:rPr>
        <w:footnoteReference w:id="1"/>
      </w:r>
      <w:r>
        <w:t xml:space="preserve">.</w:t>
      </w:r>
    </w:p>
    <w:p>
      <w:pPr>
        <w:pStyle w:val="Heading3"/>
      </w:pPr>
      <w:r>
        <w:t xml:space="preserve">Гибридное разделение моделей для минимизации затрат</w:t>
      </w:r>
    </w:p>
    <w:p>
      <w:pPr>
        <w:spacing w:after="120" w:line="276"/>
        <w:jc w:val="both"/>
      </w:pPr>
      <w:r>
        <w:rPr>
          <w:b/>
          <w:bCs/>
        </w:rPr>
        <w:t xml:space="preserve">Дешёвый/быстрый класс </w:t>
      </w:r>
      <w:r>
        <w:t xml:space="preserve">(например, GPT-4o-mini / Claude Haiku)</w:t>
      </w:r>
      <w:r>
        <w:t xml:space="preserve"> — массовая рутина: парсинг голосовых дейликов, извлечение JSON.</w:t>
      </w:r>
      <w:r>
        <w:rPr>
          <w:rStyle w:val="FootnoteReference"/>
        </w:rPr>
        <w:footnoteReference w:id="2"/>
      </w:r>
    </w:p>
    <w:p>
      <w:pPr>
        <w:spacing w:after="120" w:line="276"/>
        <w:jc w:val="both"/>
      </w:pPr>
      <w:r>
        <w:rPr>
          <w:b/>
          <w:bCs/>
        </w:rPr>
        <w:t xml:space="preserve">Мощный/аналитический класс </w:t>
      </w:r>
      <w:r>
        <w:t xml:space="preserve">(например, GPT-4o / Claude Sonnet)</w:t>
      </w:r>
      <w:r>
        <w:t xml:space="preserve"> — сложные задачи: сводные отчёты для CEO, сборка графа знаний.</w:t>
      </w:r>
    </w:p>
    <w:p>
      <w:pPr>
        <w:pStyle w:val="Heading3"/>
      </w:pPr>
      <w:r>
        <w:t xml:space="preserve">Слой анонимизации (Data Masking)</w:t>
      </w:r>
    </w:p>
    <w:p>
      <w:pPr>
        <w:spacing w:after="120" w:line="276"/>
        <w:jc w:val="both"/>
      </w:pPr>
      <w:r>
        <w:t xml:space="preserve">Перед отправкой текста в облачные API бэкенд автоматически маскирует конфиденциальные данные (номера телефонов, пароли, личные email) регулярными выражениями, заменяя их плейсхолдерами.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CRM нового поколения · ТЗ и архитектурная концепция · стр.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Конкретные политики хранения и обучения различаются у провайдеров и зависят от тарифа/договора. По умолчанию данные коммерческого API не используются для обучения моделей; сроки хранения и опции нулевого хранения (Zero Data Retention) нужно сверять с актуальными условиями OpenAI/Anthropic на момент внедрения. Формулировку «удаляются в течение 30 дней» стоит уточнять под выбранного провайдера и зафиксировать в DPA.</w:t>
      </w:r>
    </w:p>
  </w:footnote>
  <w:footnote w:id="2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Названия моделей приведены как ориентир по двум классам: дешёвый/быстрый и мощный/аналитический. Линейки обновляются часто — на момент реализации следует закрепить актуальные версии (например, текущие поколения Haiku/Sonnet у Anthropic и mini/флагман у OpenAI).</w:t>
      </w:r>
    </w:p>
  </w:footnote>
  <w:footnote w:id="3">
    <w:p>
      <w:r>
        <w:rPr>
          <w:rStyle w:val="FootnoteReference"/>
        </w:rPr>
        <w:footnoteRef/>
      </w:r>
      <w:r>
        <w:rPr>
          <w:sz w:val="18"/>
          <w:szCs w:val="18"/>
        </w:rPr>
        <w:t xml:space="preserve">Формула считает пропускную способность (throughput): закрытые задачи на единицу времени. Для разнородных задач показатель точнее нормировать на сложность (story points), иначе мелкие и крупные задачи смешиваются.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  <w:rPr>
        <w:color w:val="2E75B6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F3A5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Техническое задание и архитектурная концепция CRM нового поколения</dc:title>
  <dc:creator>Product Team</dc:creator>
  <cp:lastModifiedBy>Un-named</cp:lastModifiedBy>
  <cp:revision>1</cp:revision>
  <dcterms:created xsi:type="dcterms:W3CDTF">2026-06-10T07:00:07.401Z</dcterms:created>
  <dcterms:modified xsi:type="dcterms:W3CDTF">2026-06-10T07:00:07.401Z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