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71" w:rsidRDefault="00C20C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Investment Narrative</w:t>
      </w:r>
    </w:p>
    <w:p w:rsidR="00752FA2" w:rsidRDefault="00213C5F">
      <w:r>
        <w:t xml:space="preserve">Mabel is a single 65-year old retired school teacher who is considering how to invest $400,000. Her pension and social security cover her basic needs, such as housing and groceries. Therefore, her goal for the discretionary portfolio is to enjoy retirement. She intends to spend </w:t>
      </w:r>
      <w:r w:rsidR="00FF4791">
        <w:t xml:space="preserve">$60,000 annually for the next ten years on travel, restaurants, remodeling her home, and leasing a luxury car. </w:t>
      </w:r>
      <w:r>
        <w:t xml:space="preserve"> </w:t>
      </w:r>
    </w:p>
    <w:p w:rsidR="005A4C41" w:rsidRDefault="00FF4791">
      <w:r>
        <w:t>Mabel meets with her financial planner, Carla, to determine how to invest the $400,000.</w:t>
      </w:r>
      <w:r w:rsidR="005A4C41">
        <w:t xml:space="preserve"> </w:t>
      </w:r>
      <w:r w:rsidR="005A4C41">
        <w:t>Both Carla and Mabel agree that the goal for the portfolio is to match the $60,000 cash flows over the next ten years.</w:t>
      </w:r>
      <w:r>
        <w:t xml:space="preserve"> </w:t>
      </w:r>
      <w:r w:rsidR="005A4C41">
        <w:t>Mabel</w:t>
      </w:r>
      <w:r>
        <w:t xml:space="preserve"> informs Carla that she is only comfortable investing in stocks and bonds because she does not understand other investments</w:t>
      </w:r>
      <w:r w:rsidR="005A4C41">
        <w:t>. In addition, she does not want more than 75% of the portfolio invested in either stocks or bonds</w:t>
      </w:r>
      <w:r>
        <w:t xml:space="preserve">. </w:t>
      </w:r>
    </w:p>
    <w:p w:rsidR="005A4C41" w:rsidRDefault="00FF4791">
      <w:r>
        <w:t>Carla has purchased an investment model linking stocks and bonds from an</w:t>
      </w:r>
      <w:r w:rsidR="000629C1">
        <w:t xml:space="preserve"> investment bank. She imports</w:t>
      </w:r>
      <w:r>
        <w:t xml:space="preserve"> this model </w:t>
      </w:r>
      <w:r w:rsidR="000629C1">
        <w:t>in</w:t>
      </w:r>
      <w:r>
        <w:t>to</w:t>
      </w:r>
      <w:r w:rsidR="000629C1">
        <w:t xml:space="preserve"> the Poppertech Calculator and</w:t>
      </w:r>
      <w:r>
        <w:t xml:space="preserve"> simulate</w:t>
      </w:r>
      <w:r w:rsidR="000629C1">
        <w:t>s</w:t>
      </w:r>
      <w:r>
        <w:t xml:space="preserve"> the performance of various stock and bond portfolios</w:t>
      </w:r>
      <w:r w:rsidR="005A4C41">
        <w:t xml:space="preserve"> over the next ten years</w:t>
      </w:r>
      <w:r>
        <w:t>.</w:t>
      </w:r>
      <w:r w:rsidR="005A4C41">
        <w:t xml:space="preserve"> Each year, a $60,000 withdrawal is subtracted from invested amount. If the portfolio value is insufficient to cover the withdrawal in any year, then the simulation is a failure. If the portfolio value exceeds the required cash flows in each year, then the simulation is a success. </w:t>
      </w:r>
      <w:r w:rsidR="000629C1">
        <w:t xml:space="preserve">The Calculator runs 1,000 simulations and counts the number of successes. </w:t>
      </w:r>
      <w:r>
        <w:t xml:space="preserve"> </w:t>
      </w:r>
    </w:p>
    <w:p w:rsidR="000629C1" w:rsidRDefault="000629C1">
      <w:r>
        <w:t>Carla initially runs the simulations for an equal-weighted portfolio with $200,000 invested in both stocks and bonds. Of the 1,000 simulations, only 434 successfully cover the required cash flows. Mabel wonders if a better result is possible. Carla then performs Probabilistic Scenario Optimization using the calculator. Since M</w:t>
      </w:r>
      <w:r w:rsidR="007151C4">
        <w:t xml:space="preserve">abel specified that no more than 75% of the portfolio be invested in a single asset, Carla sets the Position Size Upper Bound to $300,000, or 75% of $400,000. Additionally, she sets both the Position Size Lower Bound and Interval between Scenarios to $100,000. As a result, the Calculator will run simulations for portfolios consisting of 25%, 50%, and 75% stocks and bonds. Then, it will choose the portfolio with the highest probability of matching the cash flows. </w:t>
      </w:r>
    </w:p>
    <w:p w:rsidR="007E466B" w:rsidRDefault="007E466B">
      <w:r>
        <w:t>The Calculator runs the simulations for the three portfolios and tabulates the following results: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7E466B" w:rsidTr="007E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E466B" w:rsidRDefault="007E466B">
            <w:r>
              <w:t>Stocks</w:t>
            </w:r>
          </w:p>
        </w:tc>
        <w:tc>
          <w:tcPr>
            <w:tcW w:w="2394" w:type="dxa"/>
          </w:tcPr>
          <w:p w:rsidR="007E466B" w:rsidRDefault="007E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Bonds</w:t>
            </w:r>
          </w:p>
        </w:tc>
        <w:tc>
          <w:tcPr>
            <w:tcW w:w="2394" w:type="dxa"/>
          </w:tcPr>
          <w:p w:rsidR="007E466B" w:rsidRDefault="007E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 of Success</w:t>
            </w:r>
          </w:p>
        </w:tc>
      </w:tr>
      <w:tr w:rsidR="007E466B" w:rsidTr="007E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E466B" w:rsidRPr="003C597C" w:rsidRDefault="003C597C">
            <w:pPr>
              <w:rPr>
                <w:b w:val="0"/>
              </w:rPr>
            </w:pPr>
            <w:r w:rsidRPr="003C597C">
              <w:rPr>
                <w:b w:val="0"/>
              </w:rPr>
              <w:t>$100,000</w:t>
            </w:r>
          </w:p>
        </w:tc>
        <w:tc>
          <w:tcPr>
            <w:tcW w:w="2394" w:type="dxa"/>
          </w:tcPr>
          <w:p w:rsidR="007E466B" w:rsidRPr="003C597C" w:rsidRDefault="003C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$300,000</w:t>
            </w:r>
          </w:p>
        </w:tc>
        <w:tc>
          <w:tcPr>
            <w:tcW w:w="2394" w:type="dxa"/>
          </w:tcPr>
          <w:p w:rsidR="007E466B" w:rsidRPr="003C597C" w:rsidRDefault="003C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.201</w:t>
            </w:r>
          </w:p>
        </w:tc>
      </w:tr>
      <w:tr w:rsidR="007E466B" w:rsidTr="007E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E466B" w:rsidRPr="003C597C" w:rsidRDefault="003C597C">
            <w:pPr>
              <w:rPr>
                <w:b w:val="0"/>
              </w:rPr>
            </w:pPr>
            <w:r w:rsidRPr="003C597C">
              <w:rPr>
                <w:b w:val="0"/>
              </w:rPr>
              <w:t>$200,000</w:t>
            </w:r>
          </w:p>
        </w:tc>
        <w:tc>
          <w:tcPr>
            <w:tcW w:w="2394" w:type="dxa"/>
          </w:tcPr>
          <w:p w:rsidR="007E466B" w:rsidRPr="003C597C" w:rsidRDefault="003C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97C">
              <w:t>$200,000</w:t>
            </w:r>
          </w:p>
        </w:tc>
        <w:tc>
          <w:tcPr>
            <w:tcW w:w="2394" w:type="dxa"/>
          </w:tcPr>
          <w:p w:rsidR="007E466B" w:rsidRPr="003C597C" w:rsidRDefault="003C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.434</w:t>
            </w:r>
          </w:p>
        </w:tc>
      </w:tr>
      <w:tr w:rsidR="003C597C" w:rsidTr="007E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C597C" w:rsidRPr="003C597C" w:rsidRDefault="003C597C">
            <w:pPr>
              <w:rPr>
                <w:b w:val="0"/>
              </w:rPr>
            </w:pPr>
            <w:r>
              <w:rPr>
                <w:b w:val="0"/>
              </w:rPr>
              <w:t>$300,000</w:t>
            </w:r>
          </w:p>
        </w:tc>
        <w:tc>
          <w:tcPr>
            <w:tcW w:w="2394" w:type="dxa"/>
          </w:tcPr>
          <w:p w:rsidR="003C597C" w:rsidRPr="003C597C" w:rsidRDefault="003C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$100,000</w:t>
            </w:r>
          </w:p>
        </w:tc>
        <w:tc>
          <w:tcPr>
            <w:tcW w:w="2394" w:type="dxa"/>
          </w:tcPr>
          <w:p w:rsidR="003C597C" w:rsidRPr="003C597C" w:rsidRDefault="003C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.501</w:t>
            </w:r>
          </w:p>
        </w:tc>
      </w:tr>
    </w:tbl>
    <w:p w:rsidR="00FF4791" w:rsidRDefault="00FF4791"/>
    <w:p w:rsidR="005C3A32" w:rsidRDefault="005C3A32">
      <w:r>
        <w:t>Therefore, investing in 75% stocks seems to be the best choice since it results in the highest probability of success. However, a 50% chance of success seems low to Mabel. She wonders: what would happen if they adjusted the cash flows to be $45,000 per year instead? Also, what if they use a different set of investment forecasts i</w:t>
      </w:r>
      <w:r w:rsidR="00C20C71">
        <w:t>nstead of Carla’s chosen</w:t>
      </w:r>
      <w:r>
        <w:t xml:space="preserve"> model?</w:t>
      </w:r>
    </w:p>
    <w:p w:rsidR="00C20C71" w:rsidRDefault="00C20C71">
      <w:r>
        <w:t>The Poppertech Calculator enables Carla and Mabel to iterate over the possibilities until they have analyzed the relevant tradeoffs and concluded on how best to satisfy Mabel’</w:t>
      </w:r>
      <w:r w:rsidR="00693E9C">
        <w:t>s goals</w:t>
      </w:r>
      <w:bookmarkStart w:id="0" w:name="_GoBack"/>
      <w:bookmarkEnd w:id="0"/>
      <w:r>
        <w:t>.</w:t>
      </w:r>
    </w:p>
    <w:sectPr w:rsidR="00C2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C4"/>
    <w:rsid w:val="000629C1"/>
    <w:rsid w:val="00213C5F"/>
    <w:rsid w:val="003C597C"/>
    <w:rsid w:val="005A4C41"/>
    <w:rsid w:val="005C3A32"/>
    <w:rsid w:val="00693E9C"/>
    <w:rsid w:val="007151C4"/>
    <w:rsid w:val="00752FA2"/>
    <w:rsid w:val="007E466B"/>
    <w:rsid w:val="00C20C71"/>
    <w:rsid w:val="00EB7CC4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4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E4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E46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E46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4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E4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E46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E46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Popper</dc:creator>
  <cp:lastModifiedBy>Popper</cp:lastModifiedBy>
  <cp:revision>6</cp:revision>
  <dcterms:created xsi:type="dcterms:W3CDTF">2017-12-29T15:01:00Z</dcterms:created>
  <dcterms:modified xsi:type="dcterms:W3CDTF">2017-12-29T16:05:00Z</dcterms:modified>
</cp:coreProperties>
</file>