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0654523F" w:rsidR="007E7607" w:rsidRDefault="00651763" w:rsidP="006A6795">
      <w:pPr>
        <w:pStyle w:val="ListParagraph"/>
        <w:numPr>
          <w:ilvl w:val="0"/>
          <w:numId w:val="1"/>
        </w:numPr>
      </w:pPr>
      <w:r>
        <w:t>Provide links</w:t>
      </w:r>
      <w:r w:rsidR="00ED3916">
        <w:t xml:space="preserve"> at the end of the article</w:t>
      </w:r>
      <w:r>
        <w:t xml:space="preserve">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43EF65F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6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</w:t>
      </w:r>
      <w:r w:rsidR="00BA7989">
        <w:t xml:space="preserve">Emerging Markets. However, he is stumped when </w:t>
      </w:r>
      <w:r w:rsidR="00B83150">
        <w:t>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532880B1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</w:t>
      </w:r>
      <w:r w:rsidR="007A6CB3">
        <w:t xml:space="preserve"> annual performance</w:t>
      </w:r>
      <w:r w:rsidR="005B1630">
        <w:t xml:space="preserve">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63E2C291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</w:t>
      </w:r>
      <w:r w:rsidR="00CF7796">
        <w:t xml:space="preserve"> of Chris, an investment analys</w:t>
      </w:r>
      <w:r w:rsidR="00926E9A">
        <w:t>t</w:t>
      </w:r>
      <w:r>
        <w:t xml:space="preserve">. </w:t>
      </w:r>
      <w:hyperlink r:id="rId9" w:history="1">
        <w:r w:rsidRPr="00D44BE6">
          <w:rPr>
            <w:rStyle w:val="Hyperlink"/>
          </w:rPr>
          <w:t xml:space="preserve">In </w:t>
        </w:r>
        <w:r w:rsidR="00DF30BB">
          <w:rPr>
            <w:rStyle w:val="Hyperlink"/>
          </w:rPr>
          <w:t>another</w:t>
        </w:r>
        <w:r w:rsidRPr="00D44BE6">
          <w:rPr>
            <w:rStyle w:val="Hyperlink"/>
          </w:rPr>
          <w:t xml:space="preserve">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64A67BCB" w:rsidR="00EA59C2" w:rsidRDefault="00EA59C2" w:rsidP="00EA59C2">
      <w:r>
        <w:t>Jim notes that the expected g</w:t>
      </w:r>
      <w:r w:rsidR="00611D0F">
        <w:t>ain of 5% and volatility of 16</w:t>
      </w:r>
      <w:r>
        <w:t xml:space="preserve"> are both lower than for Robert’s forecast. This makes sense: the higher expected return of Emerging Markets matches its higher risk.</w:t>
      </w:r>
    </w:p>
    <w:p w14:paraId="06D008C6" w14:textId="21AB851B" w:rsidR="00230B63" w:rsidRDefault="00230B63" w:rsidP="00EA59C2">
      <w:r>
        <w:t>Next, Jim inputs both Robert’s cash flow scenarios and Chris’s forecast into the Probicast software. Graph 4 depicts the results:</w:t>
      </w:r>
    </w:p>
    <w:p w14:paraId="4C1E2BEF" w14:textId="5E0943E7" w:rsidR="001936E5" w:rsidRDefault="001936E5" w:rsidP="001936E5">
      <w:pPr>
        <w:jc w:val="center"/>
      </w:pPr>
      <w:r>
        <w:rPr>
          <w:noProof/>
        </w:rPr>
        <w:lastRenderedPageBreak/>
        <w:drawing>
          <wp:inline distT="0" distB="0" distL="0" distR="0" wp14:anchorId="66892AE3" wp14:editId="668AC1E1">
            <wp:extent cx="3200400" cy="192364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D055" w14:textId="41714C1C" w:rsidR="001936E5" w:rsidRDefault="001936E5" w:rsidP="001936E5">
      <w:pPr>
        <w:rPr>
          <w:b/>
          <w:i/>
        </w:rPr>
      </w:pPr>
      <w:r>
        <w:rPr>
          <w:b/>
          <w:i/>
        </w:rPr>
        <w:t>Graph 4</w:t>
      </w:r>
      <w:r w:rsidRPr="000573CA">
        <w:rPr>
          <w:b/>
          <w:i/>
        </w:rPr>
        <w:t>:</w:t>
      </w:r>
      <w:r>
        <w:rPr>
          <w:b/>
          <w:i/>
        </w:rPr>
        <w:t xml:space="preserve"> Probability of accumulating $3 million over various time periods for the S&amp;P 500 (Blue) and Emerging Markets (Red). </w:t>
      </w:r>
    </w:p>
    <w:p w14:paraId="49B1143D" w14:textId="4598C657" w:rsidR="00E60B7D" w:rsidRDefault="00E60B7D" w:rsidP="00EA59C2">
      <w:r>
        <w:rPr>
          <w:b/>
        </w:rPr>
        <w:t>The Interaction:</w:t>
      </w:r>
      <w:r>
        <w:t xml:space="preserve"> Jim meets with Robert and shows him the results of his analysis. He explains that i</w:t>
      </w:r>
      <w:r w:rsidR="00611D0F">
        <w:t>n bo</w:t>
      </w:r>
      <w:r w:rsidR="003B4B07">
        <w:t>th the medium term (less than 30</w:t>
      </w:r>
      <w:r w:rsidR="00611D0F">
        <w:t xml:space="preserve"> years), Emerging Markets are likely to deliver a superior out</w:t>
      </w:r>
      <w:r>
        <w:t>come based on Robert’s goal. However, the lower risk-return investment leads to a higher probability</w:t>
      </w:r>
      <w:r w:rsidR="003B4B07">
        <w:t xml:space="preserve"> of goal attainment for years 30</w:t>
      </w:r>
      <w:r>
        <w:t xml:space="preserve"> through 50. </w:t>
      </w:r>
      <w:r w:rsidR="005355FE">
        <w:t xml:space="preserve">Mathematically, the larger expected return of Emerging Markets will eventually outstrip its larger volatility; however, the above analysis shows </w:t>
      </w:r>
      <w:r w:rsidR="005029BC">
        <w:t>this has still not happened after 50 years</w:t>
      </w:r>
      <w:r w:rsidR="00CC7B2F" w:rsidRPr="00CC7B2F">
        <w:rPr>
          <w:vertAlign w:val="superscript"/>
        </w:rPr>
        <w:t>1</w:t>
      </w:r>
      <w:r w:rsidR="005029BC">
        <w:t>.</w:t>
      </w:r>
    </w:p>
    <w:p w14:paraId="78A28112" w14:textId="21D30C11" w:rsidR="00D402E1" w:rsidRDefault="00E60B7D" w:rsidP="00EA59C2">
      <w:r>
        <w:t xml:space="preserve">Robert is surprised. He had heard from multiple sources that higher risk-reward investments outperform over the long-term, but he had never considered what “long-term” meant. </w:t>
      </w:r>
      <w:r w:rsidR="009A1206">
        <w:t>He thinks aloud, “Perhaps, I should reconsider solely investing in Emerging Markets.”</w:t>
      </w:r>
    </w:p>
    <w:p w14:paraId="2A3CA0C1" w14:textId="4F23BADB" w:rsidR="006B764B" w:rsidRDefault="006B764B" w:rsidP="006B764B">
      <w:r>
        <w:rPr>
          <w:b/>
        </w:rPr>
        <w:t xml:space="preserve">Input Your Own Assumptions: </w:t>
      </w:r>
      <w:r>
        <w:t>The above narrative provides the default input</w:t>
      </w:r>
      <w:r w:rsidRPr="00345916">
        <w:t xml:space="preserve">s for this </w:t>
      </w:r>
      <w:hyperlink r:id="rId12" w:history="1">
        <w:r w:rsidRPr="00345916">
          <w:rPr>
            <w:rStyle w:val="Hyperlink"/>
          </w:rPr>
          <w:t xml:space="preserve">investment </w:t>
        </w:r>
        <w:bookmarkStart w:id="0" w:name="_GoBack"/>
        <w:bookmarkEnd w:id="0"/>
        <w:r w:rsidRPr="00345916">
          <w:rPr>
            <w:rStyle w:val="Hyperlink"/>
          </w:rPr>
          <w:t>calculator</w:t>
        </w:r>
      </w:hyperlink>
      <w:r w:rsidRPr="00345916">
        <w:t>.</w:t>
      </w:r>
      <w:r>
        <w:t xml:space="preserve"> You can upload your own cash flow and investment assumptions by followin</w:t>
      </w:r>
      <w:r w:rsidRPr="00345916">
        <w:t xml:space="preserve">g </w:t>
      </w:r>
      <w:hyperlink r:id="rId13" w:history="1">
        <w:r w:rsidRPr="00345916">
          <w:rPr>
            <w:rStyle w:val="Hyperlink"/>
          </w:rPr>
          <w:t>these instructions</w:t>
        </w:r>
      </w:hyperlink>
      <w:r w:rsidRPr="00345916">
        <w:t>. Th</w:t>
      </w:r>
      <w:r>
        <w:t xml:space="preserve">e calculator is free to use and requires no personal information. Please feel free to share your modifications in the comments section below as well as any questions you may have. </w:t>
      </w:r>
    </w:p>
    <w:p w14:paraId="10FDCCA7" w14:textId="7D32B060" w:rsidR="00CC7B2F" w:rsidRDefault="00CC7B2F" w:rsidP="006B764B">
      <w:pPr>
        <w:rPr>
          <w:b/>
        </w:rPr>
      </w:pPr>
      <w:r>
        <w:rPr>
          <w:b/>
        </w:rPr>
        <w:t>Footnotes:</w:t>
      </w:r>
    </w:p>
    <w:p w14:paraId="73A0DC5C" w14:textId="783ECD4C" w:rsidR="00CC7B2F" w:rsidRPr="00CC7B2F" w:rsidRDefault="00CC7B2F" w:rsidP="00CC7B2F">
      <w:pPr>
        <w:pStyle w:val="ListParagraph"/>
        <w:numPr>
          <w:ilvl w:val="0"/>
          <w:numId w:val="7"/>
        </w:numPr>
      </w:pPr>
      <w:r>
        <w:t>The expected return grows linearly with time; whereas, volatility increases as a square root of time. Therefore, an annual expected return of 5% grows to a 25 year expected return of 125% assuming independent annual draws. An annual volatility of 16 increases to 80 for 25 independently simulated years.</w:t>
      </w:r>
    </w:p>
    <w:p w14:paraId="423C9C15" w14:textId="77777777" w:rsidR="006B764B" w:rsidRPr="004763F3" w:rsidRDefault="006B764B" w:rsidP="00EA59C2"/>
    <w:sectPr w:rsidR="006B764B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55365"/>
    <w:multiLevelType w:val="hybridMultilevel"/>
    <w:tmpl w:val="280E1BDE"/>
    <w:lvl w:ilvl="0" w:tplc="2B164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BC"/>
    <w:rsid w:val="000079FD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97577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36E5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2797"/>
    <w:rsid w:val="00364EFB"/>
    <w:rsid w:val="003706BD"/>
    <w:rsid w:val="00381000"/>
    <w:rsid w:val="003938C7"/>
    <w:rsid w:val="003965C0"/>
    <w:rsid w:val="003B040B"/>
    <w:rsid w:val="003B4B07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2D59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029BC"/>
    <w:rsid w:val="00513EB2"/>
    <w:rsid w:val="00520527"/>
    <w:rsid w:val="00533DB3"/>
    <w:rsid w:val="005355FE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11D0F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4B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A6CB3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6E9A"/>
    <w:rsid w:val="009271A6"/>
    <w:rsid w:val="0093044A"/>
    <w:rsid w:val="00934069"/>
    <w:rsid w:val="00951BC0"/>
    <w:rsid w:val="00956C57"/>
    <w:rsid w:val="00960728"/>
    <w:rsid w:val="00966BEF"/>
    <w:rsid w:val="00977F3C"/>
    <w:rsid w:val="0098310E"/>
    <w:rsid w:val="009928F2"/>
    <w:rsid w:val="009A1206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A7989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C7B2F"/>
    <w:rsid w:val="00CD35B2"/>
    <w:rsid w:val="00CD64E7"/>
    <w:rsid w:val="00CE2361"/>
    <w:rsid w:val="00CE3A1B"/>
    <w:rsid w:val="00CF7796"/>
    <w:rsid w:val="00D030CC"/>
    <w:rsid w:val="00D251AD"/>
    <w:rsid w:val="00D3446E"/>
    <w:rsid w:val="00D356E5"/>
    <w:rsid w:val="00D36203"/>
    <w:rsid w:val="00D367BF"/>
    <w:rsid w:val="00D402E1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DF0464"/>
    <w:rsid w:val="00DF30BB"/>
    <w:rsid w:val="00E036C3"/>
    <w:rsid w:val="00E143B7"/>
    <w:rsid w:val="00E2621B"/>
    <w:rsid w:val="00E424F4"/>
    <w:rsid w:val="00E56F35"/>
    <w:rsid w:val="00E60B7D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D391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oppertech.com/instruction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poppertech.com/goal-based-investment-compa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kingalpha.com/article/4242968-achieving-financial-freed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eekingalpha.com/article/4231891-choosing-investments-based-retirement-go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Popper</cp:lastModifiedBy>
  <cp:revision>36</cp:revision>
  <dcterms:created xsi:type="dcterms:W3CDTF">2019-02-25T17:28:00Z</dcterms:created>
  <dcterms:modified xsi:type="dcterms:W3CDTF">2019-03-10T13:59:00Z</dcterms:modified>
</cp:coreProperties>
</file>