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2445E" w14:textId="5DD83D2D" w:rsidR="007C3FBC" w:rsidRDefault="00597405" w:rsidP="001A58CD">
      <w:pPr>
        <w:pStyle w:val="Heading1"/>
      </w:pPr>
      <w:r>
        <w:t>Goal-Based Investment Comparison</w:t>
      </w:r>
    </w:p>
    <w:p w14:paraId="79072A2F" w14:textId="77777777" w:rsidR="00123DB5" w:rsidRDefault="00123DB5" w:rsidP="00123DB5">
      <w:pPr>
        <w:pStyle w:val="ListParagraph"/>
      </w:pPr>
    </w:p>
    <w:p w14:paraId="0EFAC6AE" w14:textId="5211EC44" w:rsidR="00C76E9F" w:rsidRDefault="00597405" w:rsidP="00977F3C">
      <w:pPr>
        <w:pStyle w:val="ListParagraph"/>
        <w:numPr>
          <w:ilvl w:val="0"/>
          <w:numId w:val="1"/>
        </w:numPr>
      </w:pPr>
      <w:r>
        <w:t>Compare how different investments affect the probability of achieving an accumulation goal</w:t>
      </w:r>
    </w:p>
    <w:p w14:paraId="42257FF7" w14:textId="2883AF6C" w:rsidR="00234B16" w:rsidRDefault="00605A1C" w:rsidP="00977F3C">
      <w:pPr>
        <w:pStyle w:val="ListParagraph"/>
        <w:numPr>
          <w:ilvl w:val="0"/>
          <w:numId w:val="1"/>
        </w:numPr>
      </w:pPr>
      <w:r>
        <w:t>Demonstrate the approach using a f</w:t>
      </w:r>
      <w:r w:rsidR="00737EC0">
        <w:t>ictional narrative</w:t>
      </w:r>
      <w:r w:rsidR="009271A6">
        <w:t xml:space="preserve"> loosely based on real life events</w:t>
      </w:r>
    </w:p>
    <w:p w14:paraId="5C571B09" w14:textId="202A490C" w:rsidR="007E7607" w:rsidRDefault="00651763" w:rsidP="006A6795">
      <w:pPr>
        <w:pStyle w:val="ListParagraph"/>
        <w:numPr>
          <w:ilvl w:val="0"/>
          <w:numId w:val="1"/>
        </w:numPr>
      </w:pPr>
      <w:r>
        <w:t>Provide links so you can input</w:t>
      </w:r>
      <w:r w:rsidR="00F60E12">
        <w:t xml:space="preserve"> your own </w:t>
      </w:r>
      <w:r w:rsidR="00DA02BB">
        <w:t>goals and investment assumptions</w:t>
      </w:r>
      <w:r w:rsidR="00FB52E2">
        <w:t xml:space="preserve"> </w:t>
      </w:r>
      <w:r w:rsidR="00FB52E2" w:rsidRPr="009D2045">
        <w:t xml:space="preserve">into the </w:t>
      </w:r>
      <w:r w:rsidR="00FB52E2" w:rsidRPr="001A58CD">
        <w:t>calculator</w:t>
      </w:r>
      <w:r w:rsidR="00247CF6">
        <w:t xml:space="preserve"> </w:t>
      </w:r>
    </w:p>
    <w:p w14:paraId="739E5F85" w14:textId="353D4161" w:rsidR="00597405" w:rsidRDefault="00597405" w:rsidP="00C00CBA">
      <w:r>
        <w:rPr>
          <w:b/>
        </w:rPr>
        <w:t>The Advisor:</w:t>
      </w:r>
      <w:r>
        <w:t xml:space="preserve"> Jim is an investment advisor who primarily focuses on 401K plans. In addition to helping corporations select plan options, he also guides the individual investment decisions of employees. </w:t>
      </w:r>
      <w:r w:rsidR="00B83150">
        <w:t xml:space="preserve">In a </w:t>
      </w:r>
      <w:hyperlink r:id="rId5" w:history="1">
        <w:r w:rsidR="00B83150" w:rsidRPr="00B83150">
          <w:rPr>
            <w:rStyle w:val="Hyperlink"/>
          </w:rPr>
          <w:t>previous article</w:t>
        </w:r>
      </w:hyperlink>
      <w:r w:rsidR="00B83150">
        <w:t>, he attempt</w:t>
      </w:r>
      <w:r w:rsidR="00EA59C2">
        <w:t>s</w:t>
      </w:r>
      <w:r w:rsidR="00B83150">
        <w:t xml:space="preserve"> to persuade Robert, a 22 year-old management consultant, not to invest all of his contributions in Emerging Markets. Specifically, Robert raise</w:t>
      </w:r>
      <w:r w:rsidR="00EA59C2">
        <w:t>s</w:t>
      </w:r>
      <w:r w:rsidR="00B83150">
        <w:t xml:space="preserve"> the following question: “Why should an investor not pick a diversified fund with the highest expected gain?”</w:t>
      </w:r>
    </w:p>
    <w:p w14:paraId="105BC51E" w14:textId="40F85506" w:rsidR="005B1630" w:rsidRPr="005B1630" w:rsidRDefault="003346A9" w:rsidP="00C00CBA">
      <w:r>
        <w:rPr>
          <w:b/>
        </w:rPr>
        <w:t xml:space="preserve">The Client: </w:t>
      </w:r>
      <w:r w:rsidR="005B1630">
        <w:t xml:space="preserve">In the aforementioned article, Robert </w:t>
      </w:r>
      <w:r w:rsidR="00EA59C2">
        <w:t>creates</w:t>
      </w:r>
      <w:r w:rsidR="005B1630">
        <w:t xml:space="preserve"> his own long-term forecast for Emerging Markets as shown in Graph 1:</w:t>
      </w:r>
    </w:p>
    <w:p w14:paraId="55BF570E" w14:textId="5005DFC3" w:rsidR="00327630" w:rsidRPr="00D030CC" w:rsidRDefault="00260C60" w:rsidP="00171806">
      <w:pPr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564F53C2" wp14:editId="5833A320">
            <wp:extent cx="3200400" cy="2368550"/>
            <wp:effectExtent l="0" t="0" r="0" b="0"/>
            <wp:docPr id="1" name="Picture 1" descr="C:\Users\bill.wynne\AppData\Local\Microsoft\Windows\INetCache\Content.Word\Forec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bill.wynne\AppData\Local\Microsoft\Windows\INetCache\Content.Word\Foreca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B8BD4" w14:textId="6C2F1221" w:rsidR="00327630" w:rsidRDefault="000573CA">
      <w:pPr>
        <w:rPr>
          <w:b/>
          <w:i/>
        </w:rPr>
      </w:pPr>
      <w:r w:rsidRPr="000573CA">
        <w:rPr>
          <w:b/>
          <w:i/>
        </w:rPr>
        <w:t>Graph 1</w:t>
      </w:r>
      <w:r w:rsidR="00C17D5D" w:rsidRPr="000573CA">
        <w:rPr>
          <w:b/>
          <w:i/>
        </w:rPr>
        <w:t xml:space="preserve">: </w:t>
      </w:r>
      <w:r w:rsidR="0003086C" w:rsidRPr="000573CA">
        <w:rPr>
          <w:b/>
          <w:i/>
        </w:rPr>
        <w:t>Estimated</w:t>
      </w:r>
      <w:r w:rsidR="001834F3" w:rsidRPr="000573CA">
        <w:rPr>
          <w:b/>
          <w:i/>
        </w:rPr>
        <w:t xml:space="preserve"> annual</w:t>
      </w:r>
      <w:r w:rsidR="0003086C" w:rsidRPr="000573CA">
        <w:rPr>
          <w:b/>
          <w:i/>
        </w:rPr>
        <w:t xml:space="preserve"> </w:t>
      </w:r>
      <w:r w:rsidRPr="000573CA">
        <w:rPr>
          <w:b/>
          <w:i/>
        </w:rPr>
        <w:t>long-term forecast for Emerging M</w:t>
      </w:r>
      <w:r w:rsidR="00BF2F2C" w:rsidRPr="000573CA">
        <w:rPr>
          <w:b/>
          <w:i/>
        </w:rPr>
        <w:t>arket</w:t>
      </w:r>
      <w:r w:rsidRPr="000573CA">
        <w:rPr>
          <w:b/>
          <w:i/>
        </w:rPr>
        <w:t>s</w:t>
      </w:r>
      <w:r w:rsidR="00BF2F2C" w:rsidRPr="000573CA">
        <w:rPr>
          <w:b/>
          <w:i/>
        </w:rPr>
        <w:t xml:space="preserve"> assuming a current price of 100</w:t>
      </w:r>
      <w:r w:rsidR="002E128C" w:rsidRPr="000573CA">
        <w:rPr>
          <w:b/>
          <w:i/>
        </w:rPr>
        <w:t>.</w:t>
      </w:r>
    </w:p>
    <w:p w14:paraId="245110D7" w14:textId="1272DFCB" w:rsidR="00BA4898" w:rsidRDefault="007917EB" w:rsidP="007917EB">
      <w:r>
        <w:t xml:space="preserve">He expects a gain of 6.5% in any given year with volatility of 22. Using the </w:t>
      </w:r>
      <w:r w:rsidR="00EA59C2">
        <w:t>Probicast software, he simulates</w:t>
      </w:r>
      <w:r>
        <w:t xml:space="preserve"> the probability of hitting his accumulation goal of $3 million over various time periods. This results in Graph 2:</w:t>
      </w:r>
    </w:p>
    <w:p w14:paraId="5316C5A5" w14:textId="3B40A91E" w:rsidR="00AC3D26" w:rsidRDefault="00AC3D26" w:rsidP="00AC3D26">
      <w:pPr>
        <w:jc w:val="center"/>
      </w:pPr>
      <w:r>
        <w:rPr>
          <w:noProof/>
        </w:rPr>
        <w:lastRenderedPageBreak/>
        <w:drawing>
          <wp:inline distT="0" distB="0" distL="0" distR="0" wp14:anchorId="5964CFF3" wp14:editId="0B8A8163">
            <wp:extent cx="3200400" cy="19237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3887" w14:textId="50A17966" w:rsidR="00AC3D26" w:rsidRDefault="007917EB" w:rsidP="00AC3D26">
      <w:pPr>
        <w:rPr>
          <w:b/>
          <w:i/>
        </w:rPr>
      </w:pPr>
      <w:r>
        <w:rPr>
          <w:b/>
          <w:i/>
        </w:rPr>
        <w:t>Graph 2</w:t>
      </w:r>
      <w:r w:rsidR="00AC3D26" w:rsidRPr="000573CA">
        <w:rPr>
          <w:b/>
          <w:i/>
        </w:rPr>
        <w:t xml:space="preserve">: </w:t>
      </w:r>
      <w:r w:rsidR="00E036C3">
        <w:rPr>
          <w:b/>
          <w:i/>
        </w:rPr>
        <w:t>Probability of accumulating $3 million over various time periods</w:t>
      </w:r>
      <w:r w:rsidR="00AC3D26">
        <w:rPr>
          <w:b/>
          <w:i/>
        </w:rPr>
        <w:t xml:space="preserve">. </w:t>
      </w:r>
    </w:p>
    <w:p w14:paraId="3AA4B725" w14:textId="097CC04B" w:rsidR="00AC3D26" w:rsidRDefault="001D3516" w:rsidP="00AC3D26">
      <w:r>
        <w:t>Jim believes Robert’s analysis is reasonable but remains uneasy about the allocation. He wonders, “</w:t>
      </w:r>
      <w:r w:rsidR="00D44BE6">
        <w:t>How</w:t>
      </w:r>
      <w:r>
        <w:t xml:space="preserve"> do these results compare to simply investing in the S&amp;P 500?”</w:t>
      </w:r>
    </w:p>
    <w:p w14:paraId="20C9B05F" w14:textId="28C44EE5" w:rsidR="001D3516" w:rsidRPr="00D44BE6" w:rsidRDefault="00D44BE6" w:rsidP="00AC3D26">
      <w:r>
        <w:rPr>
          <w:b/>
        </w:rPr>
        <w:t>The Analysis:</w:t>
      </w:r>
      <w:r>
        <w:t xml:space="preserve"> To answer his question, Jim</w:t>
      </w:r>
      <w:r w:rsidR="00EA59C2">
        <w:t xml:space="preserve"> needs a long-term forecast for the S&amp;P 500. He</w:t>
      </w:r>
      <w:r>
        <w:t xml:space="preserve"> enlists the help of Chris, an investment analyst at his firm. </w:t>
      </w:r>
      <w:hyperlink r:id="rId8" w:history="1">
        <w:r w:rsidRPr="00D44BE6">
          <w:rPr>
            <w:rStyle w:val="Hyperlink"/>
          </w:rPr>
          <w:t xml:space="preserve">In </w:t>
        </w:r>
        <w:bookmarkStart w:id="0" w:name="_GoBack"/>
        <w:bookmarkEnd w:id="0"/>
        <w:r w:rsidR="00DF30BB">
          <w:rPr>
            <w:rStyle w:val="Hyperlink"/>
          </w:rPr>
          <w:t>another</w:t>
        </w:r>
        <w:r w:rsidRPr="00D44BE6">
          <w:rPr>
            <w:rStyle w:val="Hyperlink"/>
          </w:rPr>
          <w:t xml:space="preserve"> previous article</w:t>
        </w:r>
      </w:hyperlink>
      <w:r w:rsidR="00EA59C2">
        <w:t>, Chris creates</w:t>
      </w:r>
      <w:r>
        <w:t xml:space="preserve"> </w:t>
      </w:r>
      <w:r w:rsidR="00EA59C2">
        <w:t xml:space="preserve">the </w:t>
      </w:r>
      <w:r>
        <w:t>forecast for the S&amp;P 500 Index shown in Graph 3:</w:t>
      </w:r>
    </w:p>
    <w:p w14:paraId="7D89952C" w14:textId="358F1299" w:rsidR="00853DE4" w:rsidRDefault="00D44BE6" w:rsidP="00D44BE6">
      <w:pPr>
        <w:jc w:val="center"/>
      </w:pPr>
      <w:r>
        <w:rPr>
          <w:noProof/>
        </w:rPr>
        <w:drawing>
          <wp:inline distT="0" distB="0" distL="0" distR="0" wp14:anchorId="5C031981" wp14:editId="387D1C0F">
            <wp:extent cx="3200400" cy="23797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ndP500LongTermForec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011A" w14:textId="279BC9AB" w:rsidR="00D44BE6" w:rsidRDefault="00D44BE6" w:rsidP="00D44BE6">
      <w:pPr>
        <w:rPr>
          <w:b/>
          <w:i/>
        </w:rPr>
      </w:pPr>
      <w:r w:rsidRPr="000573CA">
        <w:rPr>
          <w:b/>
          <w:i/>
        </w:rPr>
        <w:t>Graph</w:t>
      </w:r>
      <w:r>
        <w:rPr>
          <w:b/>
          <w:i/>
        </w:rPr>
        <w:t xml:space="preserve"> 3</w:t>
      </w:r>
      <w:r w:rsidRPr="000573CA">
        <w:rPr>
          <w:b/>
          <w:i/>
        </w:rPr>
        <w:t>: Estimated annual l</w:t>
      </w:r>
      <w:r>
        <w:rPr>
          <w:b/>
          <w:i/>
        </w:rPr>
        <w:t>ong-term forecast for the S&amp;P 500 Index</w:t>
      </w:r>
      <w:r w:rsidRPr="000573CA">
        <w:rPr>
          <w:b/>
          <w:i/>
        </w:rPr>
        <w:t xml:space="preserve"> assuming a current price of 100.</w:t>
      </w:r>
    </w:p>
    <w:p w14:paraId="5A612B73" w14:textId="64A67BCB" w:rsidR="00EA59C2" w:rsidRDefault="00EA59C2" w:rsidP="00EA59C2">
      <w:r>
        <w:t>Jim notes that the expected g</w:t>
      </w:r>
      <w:r w:rsidR="00611D0F">
        <w:t>ain of 5% and volatility of 16</w:t>
      </w:r>
      <w:r>
        <w:t xml:space="preserve"> are both lower than for Robert’s forecast. This makes sense: the higher expected return of Emerging Markets matches its higher risk.</w:t>
      </w:r>
    </w:p>
    <w:p w14:paraId="06D008C6" w14:textId="21AB851B" w:rsidR="00230B63" w:rsidRDefault="00230B63" w:rsidP="00EA59C2">
      <w:r>
        <w:t>Next, Jim inputs both Robert’s cash flow scenarios and Chris’s forecast into the Probicast software. Graph 4 depicts the results:</w:t>
      </w:r>
    </w:p>
    <w:p w14:paraId="4C1E2BEF" w14:textId="5E0943E7" w:rsidR="001936E5" w:rsidRDefault="001936E5" w:rsidP="001936E5">
      <w:pPr>
        <w:jc w:val="center"/>
      </w:pPr>
      <w:r>
        <w:rPr>
          <w:noProof/>
        </w:rPr>
        <w:lastRenderedPageBreak/>
        <w:drawing>
          <wp:inline distT="0" distB="0" distL="0" distR="0" wp14:anchorId="66892AE3" wp14:editId="668AC1E1">
            <wp:extent cx="3200400" cy="1923645"/>
            <wp:effectExtent l="0" t="0" r="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D055" w14:textId="21504EF7" w:rsidR="001936E5" w:rsidRDefault="001936E5" w:rsidP="001936E5">
      <w:pPr>
        <w:rPr>
          <w:b/>
          <w:i/>
        </w:rPr>
      </w:pPr>
      <w:r>
        <w:rPr>
          <w:b/>
          <w:i/>
        </w:rPr>
        <w:t>Graph 4</w:t>
      </w:r>
      <w:r w:rsidRPr="000573CA">
        <w:rPr>
          <w:b/>
          <w:i/>
        </w:rPr>
        <w:t>:</w:t>
      </w:r>
      <w:r>
        <w:rPr>
          <w:b/>
          <w:i/>
        </w:rPr>
        <w:t xml:space="preserve"> Probability of accumulating $3 million over various time periods for the S&amp;P 500 (Blue) and Emerging Markets (Red). Prior to Year 25, investing in Emerging Markets results in a higher probability of meeting the accumulation goal. Starting in Year 25, the S&amp;P 500 delivers a superior outcome.</w:t>
      </w:r>
    </w:p>
    <w:p w14:paraId="20F21DFE" w14:textId="48231EE4" w:rsidR="00097577" w:rsidRPr="00097577" w:rsidRDefault="00097577" w:rsidP="001936E5">
      <w:r>
        <w:t>Jim realizes that he must be able to explain the counterintuitive results: the higher risk-return investment seems to underperform over the long-term.</w:t>
      </w:r>
      <w:r w:rsidR="00611D0F">
        <w:t xml:space="preserve"> As a result, he models 95% Confidence Intervals for both investments as shown in Graph 5.</w:t>
      </w:r>
      <w:r>
        <w:t xml:space="preserve"> </w:t>
      </w:r>
    </w:p>
    <w:p w14:paraId="4CC958D7" w14:textId="467DAAAB" w:rsidR="00D44BE6" w:rsidRDefault="00D402E1" w:rsidP="001936E5">
      <w:pPr>
        <w:jc w:val="center"/>
      </w:pPr>
      <w:r>
        <w:rPr>
          <w:noProof/>
        </w:rPr>
        <w:drawing>
          <wp:inline distT="0" distB="0" distL="0" distR="0" wp14:anchorId="1B66913B" wp14:editId="45CC3798">
            <wp:extent cx="3200400" cy="1919389"/>
            <wp:effectExtent l="0" t="0" r="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3041" w14:textId="43E48E58" w:rsidR="00D402E1" w:rsidRDefault="00D36203" w:rsidP="00D402E1">
      <w:pPr>
        <w:rPr>
          <w:b/>
          <w:i/>
        </w:rPr>
      </w:pPr>
      <w:r>
        <w:rPr>
          <w:b/>
          <w:i/>
        </w:rPr>
        <w:t>Graph 5</w:t>
      </w:r>
      <w:r w:rsidR="00D402E1" w:rsidRPr="000573CA">
        <w:rPr>
          <w:b/>
          <w:i/>
        </w:rPr>
        <w:t xml:space="preserve">: </w:t>
      </w:r>
      <w:r w:rsidR="00D402E1">
        <w:rPr>
          <w:b/>
          <w:i/>
        </w:rPr>
        <w:t>Approximate 95% Confidence Intervals for the S&amp;P 500 (Blue) and Emerging Markets (Red)</w:t>
      </w:r>
      <w:r w:rsidR="00D402E1" w:rsidRPr="000573CA">
        <w:rPr>
          <w:b/>
          <w:i/>
        </w:rPr>
        <w:t>.</w:t>
      </w:r>
      <w:r w:rsidR="00D402E1">
        <w:rPr>
          <w:b/>
          <w:i/>
        </w:rPr>
        <w:t xml:space="preserve"> Emerging Markets have a higher annual expected return than the S&amp;P 500 (6.5% vs. 5%) but also have a higher volatility (22 vs 16). As a result, the lower bound for the S&amp;P 500 exceeds that of Emerging Markets until Year 64</w:t>
      </w:r>
      <w:r w:rsidR="00422D59">
        <w:rPr>
          <w:b/>
          <w:i/>
        </w:rPr>
        <w:t xml:space="preserve"> (not shown)</w:t>
      </w:r>
      <w:r w:rsidR="00D402E1">
        <w:rPr>
          <w:b/>
          <w:i/>
        </w:rPr>
        <w:t xml:space="preserve">.  </w:t>
      </w:r>
    </w:p>
    <w:p w14:paraId="49B1143D" w14:textId="77777777" w:rsidR="00E60B7D" w:rsidRDefault="00E60B7D" w:rsidP="00EA59C2">
      <w:r>
        <w:rPr>
          <w:b/>
        </w:rPr>
        <w:t>The Interaction:</w:t>
      </w:r>
      <w:r>
        <w:t xml:space="preserve"> Jim meets with Robert and shows him the results of his analysis. He explains that i</w:t>
      </w:r>
      <w:r w:rsidR="00611D0F">
        <w:t>n both the medium term (less than 25 years) and very long-term, Emerging Markets are likely to deliver a superior out</w:t>
      </w:r>
      <w:r>
        <w:t xml:space="preserve">come based on Robert’s goal. However, the lower risk-return investment leads to a higher probability of goal attainment for years 25 through 50. </w:t>
      </w:r>
    </w:p>
    <w:p w14:paraId="78A28112" w14:textId="62506B98" w:rsidR="00D402E1" w:rsidRDefault="00E60B7D" w:rsidP="00EA59C2">
      <w:r>
        <w:t xml:space="preserve">Robert is surprised. He had heard from multiple sources that higher risk-reward investments outperform over the long-term, but he had never considered what “long-term” meant. Perhaps, he should reconsider allocating all of his funds to Emerging Markets? </w:t>
      </w:r>
      <w:r w:rsidR="00611D0F">
        <w:t xml:space="preserve"> </w:t>
      </w:r>
    </w:p>
    <w:p w14:paraId="2A3CA0C1" w14:textId="4F23BADB" w:rsidR="006B764B" w:rsidRPr="00FB52E2" w:rsidRDefault="006B764B" w:rsidP="006B764B">
      <w:r>
        <w:rPr>
          <w:b/>
        </w:rPr>
        <w:lastRenderedPageBreak/>
        <w:t xml:space="preserve">Input Your Own Assumptions: </w:t>
      </w:r>
      <w:r>
        <w:t>The above narrative provides the default input</w:t>
      </w:r>
      <w:r w:rsidRPr="00345916">
        <w:t xml:space="preserve">s for this </w:t>
      </w:r>
      <w:hyperlink r:id="rId12" w:history="1">
        <w:r w:rsidRPr="00345916">
          <w:rPr>
            <w:rStyle w:val="Hyperlink"/>
          </w:rPr>
          <w:t>investment calculator</w:t>
        </w:r>
      </w:hyperlink>
      <w:r w:rsidRPr="00345916">
        <w:t>.</w:t>
      </w:r>
      <w:r>
        <w:t xml:space="preserve"> You can upload your own cash flow and investment assumptions by followin</w:t>
      </w:r>
      <w:r w:rsidRPr="00345916">
        <w:t xml:space="preserve">g </w:t>
      </w:r>
      <w:hyperlink r:id="rId13" w:history="1">
        <w:r w:rsidRPr="00345916">
          <w:rPr>
            <w:rStyle w:val="Hyperlink"/>
          </w:rPr>
          <w:t>these instructions</w:t>
        </w:r>
      </w:hyperlink>
      <w:r w:rsidRPr="00345916">
        <w:t>. Th</w:t>
      </w:r>
      <w:r>
        <w:t xml:space="preserve">e calculator is free to use and requires no personal information. Please feel free to share your modifications in the comments section below as well as any questions you may have. </w:t>
      </w:r>
    </w:p>
    <w:p w14:paraId="423C9C15" w14:textId="77777777" w:rsidR="006B764B" w:rsidRPr="004763F3" w:rsidRDefault="006B764B" w:rsidP="00EA59C2"/>
    <w:sectPr w:rsidR="006B764B" w:rsidRPr="0047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19D"/>
    <w:multiLevelType w:val="hybridMultilevel"/>
    <w:tmpl w:val="11A8B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2186A"/>
    <w:multiLevelType w:val="hybridMultilevel"/>
    <w:tmpl w:val="4C7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31557"/>
    <w:multiLevelType w:val="hybridMultilevel"/>
    <w:tmpl w:val="412E06C6"/>
    <w:lvl w:ilvl="0" w:tplc="2298A8A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00752"/>
    <w:multiLevelType w:val="hybridMultilevel"/>
    <w:tmpl w:val="573C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E49B8"/>
    <w:multiLevelType w:val="hybridMultilevel"/>
    <w:tmpl w:val="B140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01A9"/>
    <w:multiLevelType w:val="hybridMultilevel"/>
    <w:tmpl w:val="9CF29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BC"/>
    <w:rsid w:val="000079FD"/>
    <w:rsid w:val="000168F9"/>
    <w:rsid w:val="00023F71"/>
    <w:rsid w:val="00026E7B"/>
    <w:rsid w:val="0003086C"/>
    <w:rsid w:val="000321D1"/>
    <w:rsid w:val="000361F4"/>
    <w:rsid w:val="00036EFD"/>
    <w:rsid w:val="00043A3B"/>
    <w:rsid w:val="00046415"/>
    <w:rsid w:val="000573CA"/>
    <w:rsid w:val="000748D4"/>
    <w:rsid w:val="00074C3E"/>
    <w:rsid w:val="000906ED"/>
    <w:rsid w:val="00092F3B"/>
    <w:rsid w:val="00096039"/>
    <w:rsid w:val="00097577"/>
    <w:rsid w:val="000A1F41"/>
    <w:rsid w:val="000C232D"/>
    <w:rsid w:val="000C3884"/>
    <w:rsid w:val="000E0362"/>
    <w:rsid w:val="000F2A49"/>
    <w:rsid w:val="0010522F"/>
    <w:rsid w:val="00120C5B"/>
    <w:rsid w:val="00123DB5"/>
    <w:rsid w:val="001405B9"/>
    <w:rsid w:val="00141BD0"/>
    <w:rsid w:val="00142D5D"/>
    <w:rsid w:val="00145AE4"/>
    <w:rsid w:val="0015304E"/>
    <w:rsid w:val="00156636"/>
    <w:rsid w:val="00164398"/>
    <w:rsid w:val="00165120"/>
    <w:rsid w:val="00165499"/>
    <w:rsid w:val="00166A86"/>
    <w:rsid w:val="00171806"/>
    <w:rsid w:val="00181DD5"/>
    <w:rsid w:val="001834F3"/>
    <w:rsid w:val="001936E5"/>
    <w:rsid w:val="001956CC"/>
    <w:rsid w:val="001977B6"/>
    <w:rsid w:val="001A19BD"/>
    <w:rsid w:val="001A58CD"/>
    <w:rsid w:val="001B2921"/>
    <w:rsid w:val="001B5B3E"/>
    <w:rsid w:val="001C30E6"/>
    <w:rsid w:val="001D1E6B"/>
    <w:rsid w:val="001D3516"/>
    <w:rsid w:val="001D4183"/>
    <w:rsid w:val="001E7A2C"/>
    <w:rsid w:val="00202A73"/>
    <w:rsid w:val="00216671"/>
    <w:rsid w:val="00224FFE"/>
    <w:rsid w:val="00225513"/>
    <w:rsid w:val="00230B63"/>
    <w:rsid w:val="00230BE8"/>
    <w:rsid w:val="00234B16"/>
    <w:rsid w:val="00234CE2"/>
    <w:rsid w:val="00243E0F"/>
    <w:rsid w:val="00247CF6"/>
    <w:rsid w:val="00260C60"/>
    <w:rsid w:val="00263881"/>
    <w:rsid w:val="002704C8"/>
    <w:rsid w:val="0027771F"/>
    <w:rsid w:val="002838AD"/>
    <w:rsid w:val="0028656D"/>
    <w:rsid w:val="00286963"/>
    <w:rsid w:val="0029439A"/>
    <w:rsid w:val="002B1505"/>
    <w:rsid w:val="002C0748"/>
    <w:rsid w:val="002C4FB8"/>
    <w:rsid w:val="002D4915"/>
    <w:rsid w:val="002E128C"/>
    <w:rsid w:val="00302AA7"/>
    <w:rsid w:val="00303016"/>
    <w:rsid w:val="00306CE5"/>
    <w:rsid w:val="00327630"/>
    <w:rsid w:val="00327FE7"/>
    <w:rsid w:val="003346A9"/>
    <w:rsid w:val="003434D3"/>
    <w:rsid w:val="00345916"/>
    <w:rsid w:val="003557EB"/>
    <w:rsid w:val="00355EF2"/>
    <w:rsid w:val="003603B1"/>
    <w:rsid w:val="00364EFB"/>
    <w:rsid w:val="003706BD"/>
    <w:rsid w:val="00381000"/>
    <w:rsid w:val="003938C7"/>
    <w:rsid w:val="003965C0"/>
    <w:rsid w:val="003B040B"/>
    <w:rsid w:val="003C1909"/>
    <w:rsid w:val="003C19CD"/>
    <w:rsid w:val="003C2E9D"/>
    <w:rsid w:val="003C3BA5"/>
    <w:rsid w:val="003D07AF"/>
    <w:rsid w:val="003D5B96"/>
    <w:rsid w:val="003E2609"/>
    <w:rsid w:val="003E2C99"/>
    <w:rsid w:val="003F0A51"/>
    <w:rsid w:val="00403351"/>
    <w:rsid w:val="00413092"/>
    <w:rsid w:val="00417C2B"/>
    <w:rsid w:val="00421D0F"/>
    <w:rsid w:val="00422D59"/>
    <w:rsid w:val="00427C1C"/>
    <w:rsid w:val="00432EC6"/>
    <w:rsid w:val="004330C5"/>
    <w:rsid w:val="00441D75"/>
    <w:rsid w:val="00442CCD"/>
    <w:rsid w:val="004514B5"/>
    <w:rsid w:val="00452C29"/>
    <w:rsid w:val="00470F82"/>
    <w:rsid w:val="00475721"/>
    <w:rsid w:val="004763F3"/>
    <w:rsid w:val="0048486F"/>
    <w:rsid w:val="004937A4"/>
    <w:rsid w:val="004A5338"/>
    <w:rsid w:val="004B03EA"/>
    <w:rsid w:val="004B2F9D"/>
    <w:rsid w:val="004B672C"/>
    <w:rsid w:val="004D4CF1"/>
    <w:rsid w:val="004D6080"/>
    <w:rsid w:val="004F5F17"/>
    <w:rsid w:val="00513EB2"/>
    <w:rsid w:val="00520527"/>
    <w:rsid w:val="00533DB3"/>
    <w:rsid w:val="005367F6"/>
    <w:rsid w:val="005425AA"/>
    <w:rsid w:val="00547EEF"/>
    <w:rsid w:val="00595688"/>
    <w:rsid w:val="00597405"/>
    <w:rsid w:val="005A1BE7"/>
    <w:rsid w:val="005A305A"/>
    <w:rsid w:val="005A410B"/>
    <w:rsid w:val="005A4A2C"/>
    <w:rsid w:val="005B1630"/>
    <w:rsid w:val="005B1738"/>
    <w:rsid w:val="005B54BF"/>
    <w:rsid w:val="005E0581"/>
    <w:rsid w:val="005E76BB"/>
    <w:rsid w:val="005F58D6"/>
    <w:rsid w:val="00601716"/>
    <w:rsid w:val="00605A1C"/>
    <w:rsid w:val="00605DA9"/>
    <w:rsid w:val="00605FB4"/>
    <w:rsid w:val="00606224"/>
    <w:rsid w:val="00611D0F"/>
    <w:rsid w:val="0064628E"/>
    <w:rsid w:val="00651763"/>
    <w:rsid w:val="00664A1C"/>
    <w:rsid w:val="0067371F"/>
    <w:rsid w:val="00674CA0"/>
    <w:rsid w:val="0069241B"/>
    <w:rsid w:val="00692844"/>
    <w:rsid w:val="006A0970"/>
    <w:rsid w:val="006A4271"/>
    <w:rsid w:val="006A6795"/>
    <w:rsid w:val="006B2006"/>
    <w:rsid w:val="006B2027"/>
    <w:rsid w:val="006B2269"/>
    <w:rsid w:val="006B764B"/>
    <w:rsid w:val="006B76AD"/>
    <w:rsid w:val="006C044E"/>
    <w:rsid w:val="006D4DA8"/>
    <w:rsid w:val="006E237F"/>
    <w:rsid w:val="006F424A"/>
    <w:rsid w:val="007153FE"/>
    <w:rsid w:val="00716426"/>
    <w:rsid w:val="007178AF"/>
    <w:rsid w:val="00736116"/>
    <w:rsid w:val="00737EC0"/>
    <w:rsid w:val="0076701A"/>
    <w:rsid w:val="0077095C"/>
    <w:rsid w:val="007730BB"/>
    <w:rsid w:val="00776DC3"/>
    <w:rsid w:val="007917EB"/>
    <w:rsid w:val="007976C9"/>
    <w:rsid w:val="007A0204"/>
    <w:rsid w:val="007A136C"/>
    <w:rsid w:val="007A175C"/>
    <w:rsid w:val="007A1F86"/>
    <w:rsid w:val="007A4336"/>
    <w:rsid w:val="007B1AFA"/>
    <w:rsid w:val="007B3E33"/>
    <w:rsid w:val="007C2AD4"/>
    <w:rsid w:val="007C3298"/>
    <w:rsid w:val="007C3FBC"/>
    <w:rsid w:val="007E7516"/>
    <w:rsid w:val="007E7607"/>
    <w:rsid w:val="007F4229"/>
    <w:rsid w:val="007F6807"/>
    <w:rsid w:val="0080357C"/>
    <w:rsid w:val="00823690"/>
    <w:rsid w:val="00825B15"/>
    <w:rsid w:val="00831B35"/>
    <w:rsid w:val="008411D4"/>
    <w:rsid w:val="00844F74"/>
    <w:rsid w:val="0085319D"/>
    <w:rsid w:val="00853DE4"/>
    <w:rsid w:val="008749E6"/>
    <w:rsid w:val="00892325"/>
    <w:rsid w:val="00893B39"/>
    <w:rsid w:val="008A0F34"/>
    <w:rsid w:val="008B1183"/>
    <w:rsid w:val="008D4BD2"/>
    <w:rsid w:val="008F2645"/>
    <w:rsid w:val="008F56BB"/>
    <w:rsid w:val="00921844"/>
    <w:rsid w:val="009271A6"/>
    <w:rsid w:val="0093044A"/>
    <w:rsid w:val="00934069"/>
    <w:rsid w:val="00951BC0"/>
    <w:rsid w:val="00956C57"/>
    <w:rsid w:val="00960728"/>
    <w:rsid w:val="00966BEF"/>
    <w:rsid w:val="00977F3C"/>
    <w:rsid w:val="0098310E"/>
    <w:rsid w:val="009928F2"/>
    <w:rsid w:val="009A3889"/>
    <w:rsid w:val="009B07E1"/>
    <w:rsid w:val="009B16F4"/>
    <w:rsid w:val="009C06CE"/>
    <w:rsid w:val="009D1DA1"/>
    <w:rsid w:val="009D2045"/>
    <w:rsid w:val="009F3767"/>
    <w:rsid w:val="009F609F"/>
    <w:rsid w:val="00A00CC7"/>
    <w:rsid w:val="00A01BA4"/>
    <w:rsid w:val="00A0447C"/>
    <w:rsid w:val="00A06A5B"/>
    <w:rsid w:val="00A21FD8"/>
    <w:rsid w:val="00A224AC"/>
    <w:rsid w:val="00A31393"/>
    <w:rsid w:val="00A33D1B"/>
    <w:rsid w:val="00A4765C"/>
    <w:rsid w:val="00A50683"/>
    <w:rsid w:val="00A54719"/>
    <w:rsid w:val="00A62160"/>
    <w:rsid w:val="00A818BB"/>
    <w:rsid w:val="00A928E8"/>
    <w:rsid w:val="00A94AFE"/>
    <w:rsid w:val="00A95E7E"/>
    <w:rsid w:val="00AA4E87"/>
    <w:rsid w:val="00AA5A9C"/>
    <w:rsid w:val="00AA7905"/>
    <w:rsid w:val="00AB2E8F"/>
    <w:rsid w:val="00AB7C33"/>
    <w:rsid w:val="00AC3D26"/>
    <w:rsid w:val="00AD0379"/>
    <w:rsid w:val="00AF1948"/>
    <w:rsid w:val="00AF1E76"/>
    <w:rsid w:val="00B00C16"/>
    <w:rsid w:val="00B12E67"/>
    <w:rsid w:val="00B15F64"/>
    <w:rsid w:val="00B41712"/>
    <w:rsid w:val="00B44E4C"/>
    <w:rsid w:val="00B53A08"/>
    <w:rsid w:val="00B6222A"/>
    <w:rsid w:val="00B65264"/>
    <w:rsid w:val="00B66493"/>
    <w:rsid w:val="00B758DE"/>
    <w:rsid w:val="00B83150"/>
    <w:rsid w:val="00B87D4B"/>
    <w:rsid w:val="00B964A3"/>
    <w:rsid w:val="00BA4898"/>
    <w:rsid w:val="00BA51C1"/>
    <w:rsid w:val="00BB04F3"/>
    <w:rsid w:val="00BC6D2F"/>
    <w:rsid w:val="00BE6D6C"/>
    <w:rsid w:val="00BF2F2C"/>
    <w:rsid w:val="00C00CBA"/>
    <w:rsid w:val="00C037FF"/>
    <w:rsid w:val="00C17D5D"/>
    <w:rsid w:val="00C205DC"/>
    <w:rsid w:val="00C35B1B"/>
    <w:rsid w:val="00C40DA7"/>
    <w:rsid w:val="00C5041F"/>
    <w:rsid w:val="00C55446"/>
    <w:rsid w:val="00C56E07"/>
    <w:rsid w:val="00C57C94"/>
    <w:rsid w:val="00C7483A"/>
    <w:rsid w:val="00C76B8C"/>
    <w:rsid w:val="00C76E9F"/>
    <w:rsid w:val="00CB6E6B"/>
    <w:rsid w:val="00CC29D4"/>
    <w:rsid w:val="00CD35B2"/>
    <w:rsid w:val="00CD64E7"/>
    <w:rsid w:val="00CE2361"/>
    <w:rsid w:val="00CE3A1B"/>
    <w:rsid w:val="00D030CC"/>
    <w:rsid w:val="00D251AD"/>
    <w:rsid w:val="00D3446E"/>
    <w:rsid w:val="00D356E5"/>
    <w:rsid w:val="00D36203"/>
    <w:rsid w:val="00D367BF"/>
    <w:rsid w:val="00D402E1"/>
    <w:rsid w:val="00D44BE6"/>
    <w:rsid w:val="00D47F96"/>
    <w:rsid w:val="00D613B2"/>
    <w:rsid w:val="00D8667C"/>
    <w:rsid w:val="00DA02BB"/>
    <w:rsid w:val="00DA5264"/>
    <w:rsid w:val="00DB725B"/>
    <w:rsid w:val="00DC2CF5"/>
    <w:rsid w:val="00DC3417"/>
    <w:rsid w:val="00DC3A54"/>
    <w:rsid w:val="00DC5D76"/>
    <w:rsid w:val="00DD1202"/>
    <w:rsid w:val="00DE0C81"/>
    <w:rsid w:val="00DE125B"/>
    <w:rsid w:val="00DE5E42"/>
    <w:rsid w:val="00DF30BB"/>
    <w:rsid w:val="00E036C3"/>
    <w:rsid w:val="00E143B7"/>
    <w:rsid w:val="00E2621B"/>
    <w:rsid w:val="00E424F4"/>
    <w:rsid w:val="00E56F35"/>
    <w:rsid w:val="00E60B7D"/>
    <w:rsid w:val="00E61757"/>
    <w:rsid w:val="00E632A1"/>
    <w:rsid w:val="00E668D0"/>
    <w:rsid w:val="00E90754"/>
    <w:rsid w:val="00EA1506"/>
    <w:rsid w:val="00EA3912"/>
    <w:rsid w:val="00EA59C2"/>
    <w:rsid w:val="00EA77EC"/>
    <w:rsid w:val="00EC0677"/>
    <w:rsid w:val="00EC43A9"/>
    <w:rsid w:val="00EC4FC7"/>
    <w:rsid w:val="00EC6E76"/>
    <w:rsid w:val="00EF50BE"/>
    <w:rsid w:val="00F1420D"/>
    <w:rsid w:val="00F25E52"/>
    <w:rsid w:val="00F342D1"/>
    <w:rsid w:val="00F344AD"/>
    <w:rsid w:val="00F35E16"/>
    <w:rsid w:val="00F43203"/>
    <w:rsid w:val="00F45010"/>
    <w:rsid w:val="00F527AC"/>
    <w:rsid w:val="00F60E12"/>
    <w:rsid w:val="00F673E7"/>
    <w:rsid w:val="00F67C6A"/>
    <w:rsid w:val="00F72448"/>
    <w:rsid w:val="00F7350D"/>
    <w:rsid w:val="00F747BA"/>
    <w:rsid w:val="00F75C4F"/>
    <w:rsid w:val="00F83968"/>
    <w:rsid w:val="00F8684F"/>
    <w:rsid w:val="00F916CE"/>
    <w:rsid w:val="00F91FEC"/>
    <w:rsid w:val="00FA305A"/>
    <w:rsid w:val="00FB017F"/>
    <w:rsid w:val="00FB1189"/>
    <w:rsid w:val="00FB2DEF"/>
    <w:rsid w:val="00FB52E2"/>
    <w:rsid w:val="00FC5D1D"/>
    <w:rsid w:val="00FD1910"/>
    <w:rsid w:val="00FD1D18"/>
    <w:rsid w:val="00FD4305"/>
    <w:rsid w:val="00FD5BA4"/>
    <w:rsid w:val="00FE3E89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896E"/>
  <w15:docId w15:val="{5FCD8677-8090-4034-B78B-D34018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B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6F4"/>
    <w:pPr>
      <w:ind w:left="720"/>
      <w:contextualSpacing/>
    </w:pPr>
  </w:style>
  <w:style w:type="table" w:styleId="LightShading">
    <w:name w:val="Light Shading"/>
    <w:basedOn w:val="TableNormal"/>
    <w:uiPriority w:val="60"/>
    <w:rsid w:val="00C00C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75C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1977B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B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044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7C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C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C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C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C9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5916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164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ekingalpha.com/article/4231891-choosing-investments-based-retirement-goals" TargetMode="External"/><Relationship Id="rId13" Type="http://schemas.openxmlformats.org/officeDocument/2006/relationships/hyperlink" Target="https://poppertech.com/instruc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oppertech.com/goal-based-investment-compari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eekingalpha.com/article/4242968-achieving-financial-freed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7589CA6C.dotm</Template>
  <TotalTime>158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Popper</dc:creator>
  <cp:lastModifiedBy>Bill Wynne</cp:lastModifiedBy>
  <cp:revision>22</cp:revision>
  <dcterms:created xsi:type="dcterms:W3CDTF">2019-02-25T17:28:00Z</dcterms:created>
  <dcterms:modified xsi:type="dcterms:W3CDTF">2019-02-27T17:47:00Z</dcterms:modified>
</cp:coreProperties>
</file>