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3F201" w14:textId="141093EB" w:rsidR="00F67C6A" w:rsidRDefault="009F609F" w:rsidP="009F609F">
      <w:pPr>
        <w:spacing w:after="0"/>
      </w:pPr>
      <w:r>
        <w:t xml:space="preserve">TODO: </w:t>
      </w:r>
      <w:r w:rsidR="006D4DA8">
        <w:t>Update “Parent” node name to “Stocks” in first application</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99E5A77" w14:textId="655DC5F0" w:rsidR="00F75C4F" w:rsidRPr="00B964A3" w:rsidRDefault="00B00C16">
      <w:pPr>
        <w:rPr>
          <w:i/>
        </w:rPr>
      </w:pPr>
      <w:r>
        <w:rPr>
          <w:b/>
        </w:rPr>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w:t>
      </w:r>
      <w:r w:rsidR="00C55446">
        <w:lastRenderedPageBreak/>
        <w:t>(EEM)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bookmarkStart w:id="0" w:name="_GoBack"/>
      <w:bookmarkEnd w:id="0"/>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0B3F0222"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oftware generates the above graphs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7AB656DC" w:rsidR="004763F3" w:rsidRPr="004763F3" w:rsidRDefault="004763F3" w:rsidP="008411D4">
      <w:r>
        <w:rPr>
          <w:b/>
        </w:rPr>
        <w:t xml:space="preserve">Results: </w:t>
      </w:r>
      <w:r>
        <w:t>Based on the above inputs, Robert calculates a 25% probability of accumulating $3 million in 20 years.</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8"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9" w:history="1">
        <w:r w:rsidR="00FB52E2" w:rsidRPr="00345916">
          <w:rPr>
            <w:rStyle w:val="Hyperlink"/>
          </w:rPr>
          <w:t xml:space="preserve">these </w:t>
        </w:r>
        <w:r w:rsidR="00FB52E2" w:rsidRPr="00345916">
          <w:rPr>
            <w:rStyle w:val="Hyperlink"/>
          </w:rPr>
          <w:lastRenderedPageBreak/>
          <w:t>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0C60"/>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763F3"/>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tech.com/choosing-investments-based-on-retirement-goal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oppertech.com/instru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pertech.com/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509</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53</cp:revision>
  <dcterms:created xsi:type="dcterms:W3CDTF">2019-01-13T16:11:00Z</dcterms:created>
  <dcterms:modified xsi:type="dcterms:W3CDTF">2019-01-25T20:51:00Z</dcterms:modified>
</cp:coreProperties>
</file>