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2445E" w14:textId="42F0420B" w:rsidR="007C3FBC" w:rsidRDefault="001A58CD" w:rsidP="001A58CD">
      <w:pPr>
        <w:pStyle w:val="Heading1"/>
      </w:pPr>
      <w:bookmarkStart w:id="0" w:name="_GoBack"/>
      <w:bookmarkEnd w:id="0"/>
      <w:r>
        <w:t>A</w:t>
      </w:r>
      <w:r w:rsidR="00DA5264">
        <w:t>chieving</w:t>
      </w:r>
      <w:r>
        <w:t xml:space="preserve"> Financial Freedom</w:t>
      </w:r>
    </w:p>
    <w:p w14:paraId="79072A2F" w14:textId="77777777" w:rsidR="00123DB5" w:rsidRDefault="00123DB5" w:rsidP="00123DB5">
      <w:pPr>
        <w:pStyle w:val="ListParagraph"/>
      </w:pPr>
    </w:p>
    <w:p w14:paraId="0EFAC6AE" w14:textId="45A4C146" w:rsidR="00C76E9F" w:rsidRDefault="00C76E9F" w:rsidP="00977F3C">
      <w:pPr>
        <w:pStyle w:val="ListParagraph"/>
        <w:numPr>
          <w:ilvl w:val="0"/>
          <w:numId w:val="1"/>
        </w:numPr>
      </w:pPr>
      <w:r>
        <w:t>Estimate the probability of reaching an accumulation goal</w:t>
      </w:r>
    </w:p>
    <w:p w14:paraId="42257FF7" w14:textId="2883AF6C" w:rsidR="00234B16" w:rsidRDefault="00605A1C" w:rsidP="00977F3C">
      <w:pPr>
        <w:pStyle w:val="ListParagraph"/>
        <w:numPr>
          <w:ilvl w:val="0"/>
          <w:numId w:val="1"/>
        </w:numPr>
      </w:pPr>
      <w:r>
        <w:t>Demonstrate the approach using a f</w:t>
      </w:r>
      <w:r w:rsidR="00737EC0">
        <w:t>ictional narrative</w:t>
      </w:r>
      <w:r w:rsidR="009271A6">
        <w:t xml:space="preserve"> loosely based on real life events</w:t>
      </w:r>
    </w:p>
    <w:p w14:paraId="5C571B09" w14:textId="202A490C"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247CF6">
        <w:t xml:space="preserve"> </w:t>
      </w:r>
    </w:p>
    <w:p w14:paraId="3FD74101" w14:textId="642C6E8B" w:rsidR="00F7350D" w:rsidRPr="00F7350D" w:rsidRDefault="00F7350D" w:rsidP="00C00CBA">
      <w:r w:rsidRPr="00F7350D">
        <w:rPr>
          <w:b/>
        </w:rPr>
        <w:t xml:space="preserve">Summary: </w:t>
      </w:r>
      <w:r>
        <w:t xml:space="preserve">Robert is a 22 year old investor who wants to estimate how long it will take him to achieve financial freedom. To do so, he calculates the probability of reaching his goal of accumulating $3 million for multiple time periods using </w:t>
      </w:r>
      <w:r w:rsidRPr="00345916">
        <w:t xml:space="preserve">this </w:t>
      </w:r>
      <w:hyperlink r:id="rId5" w:history="1">
        <w:r w:rsidRPr="00345916">
          <w:rPr>
            <w:rStyle w:val="Hyperlink"/>
          </w:rPr>
          <w:t>investment calculator</w:t>
        </w:r>
      </w:hyperlink>
      <w:r w:rsidRPr="00345916">
        <w:t>.</w:t>
      </w:r>
      <w:r>
        <w:t xml:space="preserve"> You can upload your own cash flow and investment assumptions by followin</w:t>
      </w:r>
      <w:r w:rsidRPr="00345916">
        <w:t xml:space="preserve">g </w:t>
      </w:r>
      <w:hyperlink r:id="rId6" w:history="1">
        <w:r w:rsidRPr="00345916">
          <w:rPr>
            <w:rStyle w:val="Hyperlink"/>
          </w:rPr>
          <w:t>these instructions</w:t>
        </w:r>
      </w:hyperlink>
      <w:r w:rsidRPr="00345916">
        <w:t>. Th</w:t>
      </w:r>
      <w:r>
        <w:t xml:space="preserve">e calculator is free to use and requires no personal information. Please feel free to share your modifications in the comments section below as well as any questions you may have. </w:t>
      </w:r>
    </w:p>
    <w:p w14:paraId="42B7D2C8" w14:textId="777F5B5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w:t>
      </w:r>
      <w:r w:rsidR="00853DE4">
        <w:rPr>
          <w:vertAlign w:val="superscript"/>
        </w:rPr>
        <w:t>1</w:t>
      </w:r>
      <w:r w:rsidR="001A58CD">
        <w:t>,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4109B90F"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xml:space="preserve">. Also, investors who are closer to retirement or have </w:t>
      </w:r>
      <w:r w:rsidR="005B1738">
        <w:t xml:space="preserve">short-term cash needs </w:t>
      </w:r>
      <w:r w:rsidR="00DA5264">
        <w:t>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w:t>
      </w:r>
      <w:r w:rsidR="00427C1C">
        <w:t xml:space="preserve">foreseeable </w:t>
      </w:r>
      <w:r w:rsidR="00DA5264">
        <w:t>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5603D299" w:rsidR="00921844" w:rsidRDefault="00EF50BE" w:rsidP="00C00CBA">
      <w:r>
        <w:rPr>
          <w:b/>
        </w:rPr>
        <w:t xml:space="preserve">Cash Inflows: </w:t>
      </w:r>
      <w:r>
        <w:t>Robert currently earns $80,000 per year. He plans to contribute $20,000</w:t>
      </w:r>
      <w:r w:rsidR="00853DE4">
        <w:rPr>
          <w:vertAlign w:val="superscript"/>
        </w:rPr>
        <w:t>2</w:t>
      </w:r>
      <w:r>
        <w:t xml:space="preserve">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7CB153A3"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r w:rsidR="00853DE4">
        <w:rPr>
          <w:vertAlign w:val="superscript"/>
        </w:rPr>
        <w:t>3</w:t>
      </w:r>
      <w:r w:rsidR="004A5338">
        <w:t>?</w:t>
      </w:r>
    </w:p>
    <w:p w14:paraId="799E5A77" w14:textId="655DC5F0" w:rsidR="00F75C4F" w:rsidRPr="00B964A3" w:rsidRDefault="00B00C16">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To simulate his investments, he creates a long-term forecast for their growth. He starts with historical data for the IShares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IShares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(Stdev),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r>
              <w:t>Stdev</w:t>
            </w:r>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Table 2: Descriptive statistics from annual percentage gains and losses of the IShares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113C6DDC" w:rsidR="00F344AD" w:rsidRDefault="00F344AD" w:rsidP="00F344AD">
      <w:pPr>
        <w:pStyle w:val="ListParagraph"/>
        <w:numPr>
          <w:ilvl w:val="0"/>
          <w:numId w:val="4"/>
        </w:numPr>
      </w:pPr>
      <w:r>
        <w:t>He assumes the Minimum historical performance is a reasonable estimate of the future.</w:t>
      </w:r>
      <w:r w:rsidR="00260C60">
        <w:t xml:space="preserve"> </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260C60">
        <w:t>The software</w:t>
      </w:r>
      <w:r w:rsidR="00327630" w:rsidRPr="00260C60">
        <w:t xml:space="preserve"> </w:t>
      </w:r>
      <w:r w:rsidR="005367F6" w:rsidRPr="00260C60">
        <w:t>draws the</w:t>
      </w:r>
      <w:r w:rsidR="00327630" w:rsidRPr="00260C60">
        <w:t xml:space="preserve"> probability distribution </w:t>
      </w:r>
      <w:r w:rsidR="00A0447C" w:rsidRPr="00260C60">
        <w:t>shown in Graph 1</w:t>
      </w:r>
      <w:r w:rsidR="002B1505" w:rsidRPr="00260C60">
        <w:t>:</w:t>
      </w:r>
    </w:p>
    <w:p w14:paraId="55BF570E" w14:textId="5005DFC3" w:rsidR="00327630" w:rsidRPr="00D030CC" w:rsidRDefault="00260C60" w:rsidP="00171806">
      <w:pPr>
        <w:jc w:val="center"/>
        <w:rPr>
          <w:highlight w:val="yellow"/>
        </w:rPr>
      </w:pPr>
      <w:r>
        <w:rPr>
          <w:noProof/>
        </w:rPr>
        <w:lastRenderedPageBreak/>
        <w:drawing>
          <wp:inline distT="0" distB="0" distL="0" distR="0" wp14:anchorId="564F53C2" wp14:editId="5833A320">
            <wp:extent cx="3200400" cy="2368550"/>
            <wp:effectExtent l="0" t="0" r="0" b="0"/>
            <wp:docPr id="1" name="Picture 1" descr="C:\Users\bill.wynne\AppData\Local\Microsoft\Windows\INetCache\Content.Wor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ll.wynne\AppData\Local\Microsoft\Windows\INetCache\Content.Word\Foreca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287B8BD4" w14:textId="5E239011" w:rsidR="00327630" w:rsidRDefault="000573CA">
      <w:pPr>
        <w:rPr>
          <w:b/>
          <w:i/>
        </w:rPr>
      </w:pPr>
      <w:r w:rsidRPr="000573CA">
        <w:rPr>
          <w:b/>
          <w:i/>
        </w:rPr>
        <w:t>Graph 1</w:t>
      </w:r>
      <w:r w:rsidR="00C17D5D" w:rsidRPr="000573CA">
        <w:rPr>
          <w:b/>
          <w:i/>
        </w:rPr>
        <w:t xml:space="preserve">: </w:t>
      </w:r>
      <w:r w:rsidR="0003086C" w:rsidRPr="000573CA">
        <w:rPr>
          <w:b/>
          <w:i/>
        </w:rPr>
        <w:t>Estimated</w:t>
      </w:r>
      <w:r w:rsidR="001834F3" w:rsidRPr="000573CA">
        <w:rPr>
          <w:b/>
          <w:i/>
        </w:rPr>
        <w:t xml:space="preserve"> annual</w:t>
      </w:r>
      <w:r w:rsidR="0003086C" w:rsidRPr="000573CA">
        <w:rPr>
          <w:b/>
          <w:i/>
        </w:rPr>
        <w:t xml:space="preserve"> </w:t>
      </w:r>
      <w:r w:rsidRPr="000573CA">
        <w:rPr>
          <w:b/>
          <w:i/>
        </w:rPr>
        <w:t>long-term forecast for Emerging M</w:t>
      </w:r>
      <w:r w:rsidR="00BF2F2C" w:rsidRPr="000573CA">
        <w:rPr>
          <w:b/>
          <w:i/>
        </w:rPr>
        <w:t>arket</w:t>
      </w:r>
      <w:r w:rsidRPr="000573CA">
        <w:rPr>
          <w:b/>
          <w:i/>
        </w:rPr>
        <w:t>s</w:t>
      </w:r>
      <w:r w:rsidR="00BF2F2C" w:rsidRPr="000573CA">
        <w:rPr>
          <w:b/>
          <w:i/>
        </w:rPr>
        <w:t xml:space="preserve"> assuming a current price of 100.</w:t>
      </w:r>
      <w:r w:rsidR="002E128C" w:rsidRPr="000573CA">
        <w:rPr>
          <w:b/>
          <w:i/>
        </w:rPr>
        <w:t xml:space="preserve"> </w:t>
      </w:r>
      <w:r w:rsidR="0003086C" w:rsidRPr="000573CA">
        <w:rPr>
          <w:b/>
          <w:i/>
        </w:rPr>
        <w:t>The s</w:t>
      </w:r>
      <w:r w:rsidR="002E128C" w:rsidRPr="000573CA">
        <w:rPr>
          <w:b/>
          <w:i/>
        </w:rPr>
        <w:t>of</w:t>
      </w:r>
      <w:r w:rsidR="00FD1D18">
        <w:rPr>
          <w:b/>
          <w:i/>
        </w:rPr>
        <w:t>tware generates the above graph</w:t>
      </w:r>
      <w:r w:rsidR="002E128C" w:rsidRPr="000573CA">
        <w:rPr>
          <w:b/>
          <w:i/>
        </w:rPr>
        <w:t xml:space="preserve"> based on the input scenarios and interpolating straight lines between each scenario.</w:t>
      </w:r>
    </w:p>
    <w:p w14:paraId="26B01264" w14:textId="29F12CD1"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29915098" w14:textId="77777777" w:rsidR="00BA4898" w:rsidRDefault="00BA4898">
      <w:r>
        <w:t>He also adds his aforementioned cash flow assumptions. Since cash outflows are positive in the application by convention, he enters his income as negative numbers. To calculate the probability of reaching $3 million in 20 years, he adds this figure to his negative income in 20 years. The result is shown in Graph 2.</w:t>
      </w:r>
    </w:p>
    <w:p w14:paraId="245110D7" w14:textId="37E6D3C3" w:rsidR="00BA4898" w:rsidRDefault="00BA4898" w:rsidP="00BA4898">
      <w:pPr>
        <w:jc w:val="center"/>
      </w:pPr>
      <w:r>
        <w:rPr>
          <w:noProof/>
        </w:rPr>
        <w:drawing>
          <wp:inline distT="0" distB="0" distL="0" distR="0" wp14:anchorId="587C8D30" wp14:editId="40EE72D4">
            <wp:extent cx="3200400" cy="16679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flow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667901"/>
                    </a:xfrm>
                    <a:prstGeom prst="rect">
                      <a:avLst/>
                    </a:prstGeom>
                  </pic:spPr>
                </pic:pic>
              </a:graphicData>
            </a:graphic>
          </wp:inline>
        </w:drawing>
      </w:r>
    </w:p>
    <w:p w14:paraId="1B6BBAE4" w14:textId="0AD70923" w:rsidR="004763F3" w:rsidRDefault="008411D4" w:rsidP="008411D4">
      <w:pPr>
        <w:rPr>
          <w:b/>
          <w:i/>
        </w:rPr>
      </w:pPr>
      <w:r>
        <w:rPr>
          <w:b/>
          <w:i/>
        </w:rPr>
        <w:t>Graph 2</w:t>
      </w:r>
      <w:r w:rsidRPr="000573CA">
        <w:rPr>
          <w:b/>
          <w:i/>
        </w:rPr>
        <w:t xml:space="preserve">: </w:t>
      </w:r>
      <w:r>
        <w:rPr>
          <w:b/>
          <w:i/>
        </w:rPr>
        <w:t xml:space="preserve">Projected cash outflows versus time over the next 20 years. Annual income is negative. $3 million dollars is added to income in year 20 to simulate the goal of reaching the accumulation target. </w:t>
      </w:r>
    </w:p>
    <w:p w14:paraId="76862EF2" w14:textId="42027A41" w:rsidR="004763F3" w:rsidRDefault="004763F3" w:rsidP="00AC3D26">
      <w:r>
        <w:rPr>
          <w:b/>
        </w:rPr>
        <w:t xml:space="preserve">Results: </w:t>
      </w:r>
      <w:r>
        <w:t>Based on the above inputs, Robert calculates a 25% probability of accumulating $3 mi</w:t>
      </w:r>
      <w:r w:rsidR="00AC3D26">
        <w:t xml:space="preserve">llion in 20 </w:t>
      </w:r>
      <w:r>
        <w:t>years.</w:t>
      </w:r>
      <w:r w:rsidR="00AC3D26">
        <w:t xml:space="preserve"> He then repeats the calculations every five years starting at year 10 and through year 50. Graph 3 shows the results of his analysis.</w:t>
      </w:r>
    </w:p>
    <w:p w14:paraId="5316C5A5" w14:textId="3B40A91E" w:rsidR="00AC3D26" w:rsidRDefault="00AC3D26" w:rsidP="00AC3D26">
      <w:pPr>
        <w:jc w:val="center"/>
      </w:pPr>
      <w:r>
        <w:rPr>
          <w:noProof/>
        </w:rPr>
        <w:lastRenderedPageBreak/>
        <w:drawing>
          <wp:inline distT="0" distB="0" distL="0" distR="0" wp14:anchorId="5964CFF3" wp14:editId="0B8A8163">
            <wp:extent cx="3200400" cy="19237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23786"/>
                    </a:xfrm>
                    <a:prstGeom prst="rect">
                      <a:avLst/>
                    </a:prstGeom>
                  </pic:spPr>
                </pic:pic>
              </a:graphicData>
            </a:graphic>
          </wp:inline>
        </w:drawing>
      </w:r>
    </w:p>
    <w:p w14:paraId="50003887" w14:textId="4A052AF8" w:rsidR="00AC3D26" w:rsidRDefault="00AC3D26" w:rsidP="00AC3D26">
      <w:pPr>
        <w:rPr>
          <w:b/>
          <w:i/>
        </w:rPr>
      </w:pPr>
      <w:r>
        <w:rPr>
          <w:b/>
          <w:i/>
        </w:rPr>
        <w:t>Graph 3</w:t>
      </w:r>
      <w:r w:rsidRPr="000573CA">
        <w:rPr>
          <w:b/>
          <w:i/>
        </w:rPr>
        <w:t xml:space="preserve">: </w:t>
      </w:r>
      <w:r w:rsidR="00E036C3">
        <w:rPr>
          <w:b/>
          <w:i/>
        </w:rPr>
        <w:t>Probability of accumulating $3 million over various time periods</w:t>
      </w:r>
      <w:r>
        <w:rPr>
          <w:b/>
          <w:i/>
        </w:rPr>
        <w:t xml:space="preserve">. </w:t>
      </w:r>
    </w:p>
    <w:p w14:paraId="3AA4B725" w14:textId="107ABC50" w:rsidR="00AC3D26" w:rsidRDefault="00E036C3" w:rsidP="00AC3D26">
      <w:r>
        <w:t xml:space="preserve">Assuming his assumptions are accurate, Robert is more likely than not to achieve his goal starting in year 25. </w:t>
      </w:r>
      <w:r w:rsidR="007B3E33">
        <w:t>By year 40, his analysis suggests that he has a 94% chance of reaching his goal. Robert wonders how this would change if he invested in US stocks instead. Would the probability of reaching his goal in 40 years increase due to lower volatility?</w:t>
      </w:r>
    </w:p>
    <w:p w14:paraId="4F97138A" w14:textId="24A8B093" w:rsidR="007178AF" w:rsidRDefault="007178AF" w:rsidP="00AC3D26">
      <w:r>
        <w:t>Footnotes:</w:t>
      </w:r>
    </w:p>
    <w:p w14:paraId="768ABE0F" w14:textId="7469DD22" w:rsidR="00853DE4" w:rsidRDefault="00853DE4" w:rsidP="00853DE4">
      <w:pPr>
        <w:pStyle w:val="ListParagraph"/>
        <w:numPr>
          <w:ilvl w:val="0"/>
          <w:numId w:val="6"/>
        </w:numPr>
      </w:pPr>
      <w:r>
        <w:t>This analysis omits the time value of money and assumes the $3 million goal holds regardless of duration.</w:t>
      </w:r>
    </w:p>
    <w:p w14:paraId="45C0BB78" w14:textId="51E5F234" w:rsidR="007178AF" w:rsidRDefault="007178AF" w:rsidP="00853DE4">
      <w:pPr>
        <w:pStyle w:val="ListParagraph"/>
        <w:numPr>
          <w:ilvl w:val="0"/>
          <w:numId w:val="6"/>
        </w:numPr>
      </w:pPr>
      <w:r>
        <w:t>The current 401k maximum contribution is $19,000 (not $20,000). However, $20,000 results in simpler calculations</w:t>
      </w:r>
      <w:r w:rsidR="00853DE4">
        <w:t>.</w:t>
      </w:r>
    </w:p>
    <w:p w14:paraId="7D89952C" w14:textId="691A5077" w:rsidR="00853DE4" w:rsidRPr="004763F3" w:rsidRDefault="00853DE4" w:rsidP="00853DE4">
      <w:pPr>
        <w:pStyle w:val="ListParagraph"/>
        <w:numPr>
          <w:ilvl w:val="0"/>
          <w:numId w:val="6"/>
        </w:numPr>
      </w:pPr>
      <w:r>
        <w:t>This assumption is controversial at best and false at worst</w:t>
      </w:r>
      <w:r>
        <w:t>.</w:t>
      </w:r>
    </w:p>
    <w:sectPr w:rsidR="00853DE4" w:rsidRPr="0047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31557"/>
    <w:multiLevelType w:val="hybridMultilevel"/>
    <w:tmpl w:val="412E06C6"/>
    <w:lvl w:ilvl="0" w:tplc="2298A8A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00752"/>
    <w:multiLevelType w:val="hybridMultilevel"/>
    <w:tmpl w:val="573C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573CA"/>
    <w:rsid w:val="000748D4"/>
    <w:rsid w:val="00074C3E"/>
    <w:rsid w:val="000906ED"/>
    <w:rsid w:val="00092F3B"/>
    <w:rsid w:val="00096039"/>
    <w:rsid w:val="000A1F41"/>
    <w:rsid w:val="000C232D"/>
    <w:rsid w:val="000C3884"/>
    <w:rsid w:val="000E0362"/>
    <w:rsid w:val="000F2A49"/>
    <w:rsid w:val="0010522F"/>
    <w:rsid w:val="00120C5B"/>
    <w:rsid w:val="00123DB5"/>
    <w:rsid w:val="001405B9"/>
    <w:rsid w:val="00141BD0"/>
    <w:rsid w:val="00142D5D"/>
    <w:rsid w:val="00145AE4"/>
    <w:rsid w:val="0015304E"/>
    <w:rsid w:val="00156636"/>
    <w:rsid w:val="00164398"/>
    <w:rsid w:val="00165120"/>
    <w:rsid w:val="00165499"/>
    <w:rsid w:val="00166A86"/>
    <w:rsid w:val="00171806"/>
    <w:rsid w:val="00181DD5"/>
    <w:rsid w:val="001834F3"/>
    <w:rsid w:val="001956CC"/>
    <w:rsid w:val="001977B6"/>
    <w:rsid w:val="001A19BD"/>
    <w:rsid w:val="001A58CD"/>
    <w:rsid w:val="001B2921"/>
    <w:rsid w:val="001B5B3E"/>
    <w:rsid w:val="001C30E6"/>
    <w:rsid w:val="001D1E6B"/>
    <w:rsid w:val="001D4183"/>
    <w:rsid w:val="001E7A2C"/>
    <w:rsid w:val="00202A73"/>
    <w:rsid w:val="00216671"/>
    <w:rsid w:val="00224FFE"/>
    <w:rsid w:val="00225513"/>
    <w:rsid w:val="00230BE8"/>
    <w:rsid w:val="00234B16"/>
    <w:rsid w:val="00234CE2"/>
    <w:rsid w:val="00243E0F"/>
    <w:rsid w:val="00247CF6"/>
    <w:rsid w:val="00260C60"/>
    <w:rsid w:val="00263881"/>
    <w:rsid w:val="002704C8"/>
    <w:rsid w:val="0027771F"/>
    <w:rsid w:val="002838AD"/>
    <w:rsid w:val="00286963"/>
    <w:rsid w:val="0029439A"/>
    <w:rsid w:val="002B1505"/>
    <w:rsid w:val="002C0748"/>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27C1C"/>
    <w:rsid w:val="00432EC6"/>
    <w:rsid w:val="004330C5"/>
    <w:rsid w:val="00441D75"/>
    <w:rsid w:val="00442CCD"/>
    <w:rsid w:val="004514B5"/>
    <w:rsid w:val="00452C29"/>
    <w:rsid w:val="00470F82"/>
    <w:rsid w:val="00475721"/>
    <w:rsid w:val="004763F3"/>
    <w:rsid w:val="0048486F"/>
    <w:rsid w:val="004937A4"/>
    <w:rsid w:val="004A5338"/>
    <w:rsid w:val="004B03EA"/>
    <w:rsid w:val="004B2F9D"/>
    <w:rsid w:val="004B672C"/>
    <w:rsid w:val="004D4CF1"/>
    <w:rsid w:val="004D6080"/>
    <w:rsid w:val="004F5F17"/>
    <w:rsid w:val="00513EB2"/>
    <w:rsid w:val="00520527"/>
    <w:rsid w:val="00533DB3"/>
    <w:rsid w:val="005367F6"/>
    <w:rsid w:val="005425AA"/>
    <w:rsid w:val="00547EEF"/>
    <w:rsid w:val="00595688"/>
    <w:rsid w:val="005A1BE7"/>
    <w:rsid w:val="005A305A"/>
    <w:rsid w:val="005A410B"/>
    <w:rsid w:val="005A4A2C"/>
    <w:rsid w:val="005B1738"/>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92844"/>
    <w:rsid w:val="006A0970"/>
    <w:rsid w:val="006A4271"/>
    <w:rsid w:val="006A6795"/>
    <w:rsid w:val="006B2006"/>
    <w:rsid w:val="006B2027"/>
    <w:rsid w:val="006B2269"/>
    <w:rsid w:val="006B76AD"/>
    <w:rsid w:val="006C044E"/>
    <w:rsid w:val="006D4DA8"/>
    <w:rsid w:val="006E237F"/>
    <w:rsid w:val="006F424A"/>
    <w:rsid w:val="007153FE"/>
    <w:rsid w:val="00716426"/>
    <w:rsid w:val="007178AF"/>
    <w:rsid w:val="00736116"/>
    <w:rsid w:val="00737EC0"/>
    <w:rsid w:val="0076701A"/>
    <w:rsid w:val="0077095C"/>
    <w:rsid w:val="007730BB"/>
    <w:rsid w:val="00776DC3"/>
    <w:rsid w:val="007976C9"/>
    <w:rsid w:val="007A0204"/>
    <w:rsid w:val="007A136C"/>
    <w:rsid w:val="007A175C"/>
    <w:rsid w:val="007A1F86"/>
    <w:rsid w:val="007A4336"/>
    <w:rsid w:val="007B1AFA"/>
    <w:rsid w:val="007B3E33"/>
    <w:rsid w:val="007C2AD4"/>
    <w:rsid w:val="007C3FBC"/>
    <w:rsid w:val="007E7516"/>
    <w:rsid w:val="007E7607"/>
    <w:rsid w:val="007F4229"/>
    <w:rsid w:val="007F6807"/>
    <w:rsid w:val="0080357C"/>
    <w:rsid w:val="00823690"/>
    <w:rsid w:val="00825B15"/>
    <w:rsid w:val="00831B35"/>
    <w:rsid w:val="008411D4"/>
    <w:rsid w:val="00844F74"/>
    <w:rsid w:val="0085319D"/>
    <w:rsid w:val="00853DE4"/>
    <w:rsid w:val="008749E6"/>
    <w:rsid w:val="00892325"/>
    <w:rsid w:val="00893B39"/>
    <w:rsid w:val="008A0F34"/>
    <w:rsid w:val="008B1183"/>
    <w:rsid w:val="008D4BD2"/>
    <w:rsid w:val="008F2645"/>
    <w:rsid w:val="008F56BB"/>
    <w:rsid w:val="00921844"/>
    <w:rsid w:val="009271A6"/>
    <w:rsid w:val="0093044A"/>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1393"/>
    <w:rsid w:val="00A33D1B"/>
    <w:rsid w:val="00A4765C"/>
    <w:rsid w:val="00A50683"/>
    <w:rsid w:val="00A54719"/>
    <w:rsid w:val="00A62160"/>
    <w:rsid w:val="00A818BB"/>
    <w:rsid w:val="00A928E8"/>
    <w:rsid w:val="00A95E7E"/>
    <w:rsid w:val="00AA4E87"/>
    <w:rsid w:val="00AA5A9C"/>
    <w:rsid w:val="00AA7905"/>
    <w:rsid w:val="00AB2E8F"/>
    <w:rsid w:val="00AB7C33"/>
    <w:rsid w:val="00AC3D26"/>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964A3"/>
    <w:rsid w:val="00BA4898"/>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76E9F"/>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0C81"/>
    <w:rsid w:val="00DE125B"/>
    <w:rsid w:val="00DE5E42"/>
    <w:rsid w:val="00E036C3"/>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350D"/>
    <w:rsid w:val="00F747BA"/>
    <w:rsid w:val="00F75C4F"/>
    <w:rsid w:val="00F83968"/>
    <w:rsid w:val="00F8684F"/>
    <w:rsid w:val="00F916CE"/>
    <w:rsid w:val="00F91FEC"/>
    <w:rsid w:val="00FA305A"/>
    <w:rsid w:val="00FB017F"/>
    <w:rsid w:val="00FB1189"/>
    <w:rsid w:val="00FB2DEF"/>
    <w:rsid w:val="00FB52E2"/>
    <w:rsid w:val="00FC5D1D"/>
    <w:rsid w:val="00FD1910"/>
    <w:rsid w:val="00FD1D18"/>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5FCD8677-8090-4034-B78B-D340182F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 w:type="paragraph" w:styleId="NoSpacing">
    <w:name w:val="No Spacing"/>
    <w:uiPriority w:val="1"/>
    <w:qFormat/>
    <w:rsid w:val="00716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11" Type="http://schemas.openxmlformats.org/officeDocument/2006/relationships/theme" Target="theme/theme1.xml"/><Relationship Id="rId5" Type="http://schemas.openxmlformats.org/officeDocument/2006/relationships/hyperlink" Target="https://poppertech.com/achieving-financial-freed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C117C675.dotm</Template>
  <TotalTime>613</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80</cp:revision>
  <dcterms:created xsi:type="dcterms:W3CDTF">2019-01-13T16:11:00Z</dcterms:created>
  <dcterms:modified xsi:type="dcterms:W3CDTF">2019-02-07T13:41:00Z</dcterms:modified>
</cp:coreProperties>
</file>