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FA65BE" w:rsidRDefault="00FA65BE">
      <w:pPr>
        <w:rPr>
          <w:rFonts w:ascii="Times New Roman" w:hAnsi="Times New Roman" w:cs="Times New Roman"/>
          <w:b/>
          <w:sz w:val="24"/>
          <w:szCs w:val="24"/>
        </w:rPr>
      </w:pPr>
      <w:r w:rsidRPr="00FA65BE">
        <w:rPr>
          <w:rFonts w:ascii="Times New Roman" w:hAnsi="Times New Roman" w:cs="Times New Roman"/>
          <w:b/>
          <w:sz w:val="24"/>
          <w:szCs w:val="24"/>
        </w:rPr>
        <w:t>GOAL-BASED INVESTING: A SCENARIO-BASED SIMULATION APPROACH</w:t>
      </w:r>
    </w:p>
    <w:p w:rsidR="00870000" w:rsidRDefault="00360B31">
      <w:pPr>
        <w:rPr>
          <w:rFonts w:ascii="Times New Roman" w:hAnsi="Times New Roman" w:cs="Times New Roman"/>
          <w:b/>
          <w:sz w:val="24"/>
          <w:szCs w:val="24"/>
        </w:rPr>
      </w:pPr>
      <w:r>
        <w:rPr>
          <w:rFonts w:ascii="Times New Roman" w:hAnsi="Times New Roman" w:cs="Times New Roman"/>
          <w:b/>
          <w:sz w:val="24"/>
          <w:szCs w:val="24"/>
        </w:rPr>
        <w:t>ABSTRACT</w:t>
      </w:r>
    </w:p>
    <w:p w:rsidR="00870000" w:rsidRPr="00870000" w:rsidRDefault="00870000">
      <w:pPr>
        <w:rPr>
          <w:rFonts w:ascii="Times New Roman" w:hAnsi="Times New Roman" w:cs="Times New Roman"/>
          <w:sz w:val="24"/>
          <w:szCs w:val="24"/>
        </w:rPr>
      </w:pPr>
      <w:r>
        <w:rPr>
          <w:rFonts w:ascii="Times New Roman" w:hAnsi="Times New Roman" w:cs="Times New Roman"/>
          <w:sz w:val="24"/>
          <w:szCs w:val="24"/>
        </w:rPr>
        <w:t>Goal-based investing</w:t>
      </w:r>
      <w:r w:rsidR="004464ED">
        <w:rPr>
          <w:rFonts w:ascii="Times New Roman" w:hAnsi="Times New Roman" w:cs="Times New Roman"/>
          <w:sz w:val="24"/>
          <w:szCs w:val="24"/>
        </w:rPr>
        <w:t xml:space="preserve"> (GBI)</w:t>
      </w:r>
      <w:r>
        <w:rPr>
          <w:rFonts w:ascii="Times New Roman" w:hAnsi="Times New Roman" w:cs="Times New Roman"/>
          <w:sz w:val="24"/>
          <w:szCs w:val="24"/>
        </w:rPr>
        <w:t xml:space="preserve"> defines risk as the probability of an investor not attaining a goal. </w:t>
      </w:r>
      <w:r w:rsidR="003207D8">
        <w:rPr>
          <w:rFonts w:ascii="Times New Roman" w:hAnsi="Times New Roman" w:cs="Times New Roman"/>
          <w:sz w:val="24"/>
          <w:szCs w:val="24"/>
        </w:rPr>
        <w:t>T</w:t>
      </w:r>
      <w:r w:rsidR="00576DFB">
        <w:rPr>
          <w:rFonts w:ascii="Times New Roman" w:hAnsi="Times New Roman" w:cs="Times New Roman"/>
          <w:sz w:val="24"/>
          <w:szCs w:val="24"/>
        </w:rPr>
        <w:t>his definition captures both contextual information</w:t>
      </w:r>
      <w:r w:rsidR="004B09EE">
        <w:rPr>
          <w:rFonts w:ascii="Times New Roman" w:hAnsi="Times New Roman" w:cs="Times New Roman"/>
          <w:sz w:val="24"/>
          <w:szCs w:val="24"/>
        </w:rPr>
        <w:t xml:space="preserve"> about the investor</w:t>
      </w:r>
      <w:r w:rsidR="00576DFB">
        <w:rPr>
          <w:rFonts w:ascii="Times New Roman" w:hAnsi="Times New Roman" w:cs="Times New Roman"/>
          <w:sz w:val="24"/>
          <w:szCs w:val="24"/>
        </w:rPr>
        <w:t xml:space="preserve"> and distributional properties</w:t>
      </w:r>
      <w:r w:rsidR="004B09EE">
        <w:rPr>
          <w:rFonts w:ascii="Times New Roman" w:hAnsi="Times New Roman" w:cs="Times New Roman"/>
          <w:sz w:val="24"/>
          <w:szCs w:val="24"/>
        </w:rPr>
        <w:t xml:space="preserve"> of investments</w:t>
      </w:r>
      <w:r w:rsidR="00576DFB">
        <w:rPr>
          <w:rFonts w:ascii="Times New Roman" w:hAnsi="Times New Roman" w:cs="Times New Roman"/>
          <w:sz w:val="24"/>
          <w:szCs w:val="24"/>
        </w:rPr>
        <w:t xml:space="preserve"> that fall outside of the scope of Modern Portfolio Theory</w:t>
      </w:r>
      <w:r w:rsidR="00B10466">
        <w:rPr>
          <w:rFonts w:ascii="Times New Roman" w:hAnsi="Times New Roman" w:cs="Times New Roman"/>
          <w:sz w:val="24"/>
          <w:szCs w:val="24"/>
        </w:rPr>
        <w:t xml:space="preserve"> (MPT)</w:t>
      </w:r>
      <w:r w:rsidR="00576DFB">
        <w:rPr>
          <w:rFonts w:ascii="Times New Roman" w:hAnsi="Times New Roman" w:cs="Times New Roman"/>
          <w:sz w:val="24"/>
          <w:szCs w:val="24"/>
        </w:rPr>
        <w:t>.</w:t>
      </w:r>
      <w:r w:rsidR="00344FB5">
        <w:rPr>
          <w:rFonts w:ascii="Times New Roman" w:hAnsi="Times New Roman" w:cs="Times New Roman"/>
          <w:sz w:val="24"/>
          <w:szCs w:val="24"/>
        </w:rPr>
        <w:t xml:space="preserve"> In particula</w:t>
      </w:r>
      <w:r w:rsidR="00841700">
        <w:rPr>
          <w:rFonts w:ascii="Times New Roman" w:hAnsi="Times New Roman" w:cs="Times New Roman"/>
          <w:sz w:val="24"/>
          <w:szCs w:val="24"/>
        </w:rPr>
        <w:t xml:space="preserve">r, </w:t>
      </w:r>
      <w:r w:rsidR="00D10C6D">
        <w:rPr>
          <w:rFonts w:ascii="Times New Roman" w:hAnsi="Times New Roman" w:cs="Times New Roman"/>
          <w:sz w:val="24"/>
          <w:szCs w:val="24"/>
        </w:rPr>
        <w:t>GBI</w:t>
      </w:r>
      <w:r w:rsidR="00841700">
        <w:rPr>
          <w:rFonts w:ascii="Times New Roman" w:hAnsi="Times New Roman" w:cs="Times New Roman"/>
          <w:sz w:val="24"/>
          <w:szCs w:val="24"/>
        </w:rPr>
        <w:t xml:space="preserve"> risk</w:t>
      </w:r>
      <w:r w:rsidR="00344FB5">
        <w:rPr>
          <w:rFonts w:ascii="Times New Roman" w:hAnsi="Times New Roman" w:cs="Times New Roman"/>
          <w:sz w:val="24"/>
          <w:szCs w:val="24"/>
        </w:rPr>
        <w:t xml:space="preserve"> can accommodate asymmetrical and “fat-tailed” distributions, such as alternative investments.</w:t>
      </w:r>
      <w:r w:rsidR="003B4D9B">
        <w:rPr>
          <w:rFonts w:ascii="Times New Roman" w:hAnsi="Times New Roman" w:cs="Times New Roman"/>
          <w:sz w:val="24"/>
          <w:szCs w:val="24"/>
        </w:rPr>
        <w:t xml:space="preserve"> </w:t>
      </w:r>
      <w:r w:rsidR="00641158">
        <w:rPr>
          <w:rFonts w:ascii="Times New Roman" w:hAnsi="Times New Roman" w:cs="Times New Roman"/>
          <w:sz w:val="24"/>
          <w:szCs w:val="24"/>
        </w:rPr>
        <w:t>To leverage these advantages</w:t>
      </w:r>
      <w:r w:rsidR="008A0E41">
        <w:rPr>
          <w:rFonts w:ascii="Times New Roman" w:hAnsi="Times New Roman" w:cs="Times New Roman"/>
          <w:sz w:val="24"/>
          <w:szCs w:val="24"/>
        </w:rPr>
        <w:t xml:space="preserve">, this paper </w:t>
      </w:r>
      <w:r w:rsidR="00C15028">
        <w:rPr>
          <w:rFonts w:ascii="Times New Roman" w:hAnsi="Times New Roman" w:cs="Times New Roman"/>
          <w:sz w:val="24"/>
          <w:szCs w:val="24"/>
        </w:rPr>
        <w:t>introduces a scenario-based simulation approach</w:t>
      </w:r>
      <w:r w:rsidR="00641158">
        <w:rPr>
          <w:rFonts w:ascii="Times New Roman" w:hAnsi="Times New Roman" w:cs="Times New Roman"/>
          <w:sz w:val="24"/>
          <w:szCs w:val="24"/>
        </w:rPr>
        <w:t xml:space="preserve">. </w:t>
      </w:r>
      <w:r w:rsidR="00045A73">
        <w:rPr>
          <w:rFonts w:ascii="Times New Roman" w:hAnsi="Times New Roman" w:cs="Times New Roman"/>
          <w:sz w:val="24"/>
          <w:szCs w:val="24"/>
        </w:rPr>
        <w:t>This approach</w:t>
      </w:r>
      <w:r w:rsidR="00B412DF">
        <w:rPr>
          <w:rFonts w:ascii="Times New Roman" w:hAnsi="Times New Roman" w:cs="Times New Roman"/>
          <w:sz w:val="24"/>
          <w:szCs w:val="24"/>
        </w:rPr>
        <w:t xml:space="preserve"> also</w:t>
      </w:r>
      <w:r w:rsidR="00641158">
        <w:rPr>
          <w:rFonts w:ascii="Times New Roman" w:hAnsi="Times New Roman" w:cs="Times New Roman"/>
          <w:sz w:val="24"/>
          <w:szCs w:val="24"/>
        </w:rPr>
        <w:t xml:space="preserve"> </w:t>
      </w:r>
      <w:r w:rsidR="00FB62CC">
        <w:rPr>
          <w:rFonts w:ascii="Times New Roman" w:hAnsi="Times New Roman" w:cs="Times New Roman"/>
          <w:sz w:val="24"/>
          <w:szCs w:val="24"/>
        </w:rPr>
        <w:t>incorporate</w:t>
      </w:r>
      <w:r w:rsidR="00956FF7">
        <w:rPr>
          <w:rFonts w:ascii="Times New Roman" w:hAnsi="Times New Roman" w:cs="Times New Roman"/>
          <w:sz w:val="24"/>
          <w:szCs w:val="24"/>
        </w:rPr>
        <w:t>s</w:t>
      </w:r>
      <w:r w:rsidR="00C15028">
        <w:rPr>
          <w:rFonts w:ascii="Times New Roman" w:hAnsi="Times New Roman" w:cs="Times New Roman"/>
          <w:sz w:val="24"/>
          <w:szCs w:val="24"/>
        </w:rPr>
        <w:t xml:space="preserve"> the desirab</w:t>
      </w:r>
      <w:r w:rsidR="00FB62CC">
        <w:rPr>
          <w:rFonts w:ascii="Times New Roman" w:hAnsi="Times New Roman" w:cs="Times New Roman"/>
          <w:sz w:val="24"/>
          <w:szCs w:val="24"/>
        </w:rPr>
        <w:t>le feat</w:t>
      </w:r>
      <w:r w:rsidR="00641158">
        <w:rPr>
          <w:rFonts w:ascii="Times New Roman" w:hAnsi="Times New Roman" w:cs="Times New Roman"/>
          <w:sz w:val="24"/>
          <w:szCs w:val="24"/>
        </w:rPr>
        <w:t>ures of MPT</w:t>
      </w:r>
      <w:r w:rsidR="00FB62CC">
        <w:rPr>
          <w:rFonts w:ascii="Times New Roman" w:hAnsi="Times New Roman" w:cs="Times New Roman"/>
          <w:sz w:val="24"/>
          <w:szCs w:val="24"/>
        </w:rPr>
        <w:t xml:space="preserve"> and demonstrate</w:t>
      </w:r>
      <w:r w:rsidR="00956FF7">
        <w:rPr>
          <w:rFonts w:ascii="Times New Roman" w:hAnsi="Times New Roman" w:cs="Times New Roman"/>
          <w:sz w:val="24"/>
          <w:szCs w:val="24"/>
        </w:rPr>
        <w:t>s</w:t>
      </w:r>
      <w:r w:rsidR="00466259">
        <w:rPr>
          <w:rFonts w:ascii="Times New Roman" w:hAnsi="Times New Roman" w:cs="Times New Roman"/>
          <w:sz w:val="24"/>
          <w:szCs w:val="24"/>
        </w:rPr>
        <w:t xml:space="preserve"> the reasoning</w:t>
      </w:r>
      <w:r w:rsidR="00FB62CC">
        <w:rPr>
          <w:rFonts w:ascii="Times New Roman" w:hAnsi="Times New Roman" w:cs="Times New Roman"/>
          <w:sz w:val="24"/>
          <w:szCs w:val="24"/>
        </w:rPr>
        <w:t xml:space="preserve"> behind investment forecasts intuitively and transparently</w:t>
      </w:r>
      <w:r w:rsidR="00C15028">
        <w:rPr>
          <w:rFonts w:ascii="Times New Roman" w:hAnsi="Times New Roman" w:cs="Times New Roman"/>
          <w:sz w:val="24"/>
          <w:szCs w:val="24"/>
        </w:rPr>
        <w:t>.</w:t>
      </w:r>
      <w:r w:rsidR="00576DFB">
        <w:rPr>
          <w:rFonts w:ascii="Times New Roman" w:hAnsi="Times New Roman" w:cs="Times New Roman"/>
          <w:sz w:val="24"/>
          <w:szCs w:val="24"/>
        </w:rPr>
        <w:t xml:space="preserve"> </w:t>
      </w:r>
      <w:r w:rsidR="0054661B">
        <w:rPr>
          <w:rFonts w:ascii="Times New Roman" w:hAnsi="Times New Roman" w:cs="Times New Roman"/>
          <w:sz w:val="24"/>
          <w:szCs w:val="24"/>
        </w:rPr>
        <w:t>The</w:t>
      </w:r>
      <w:r w:rsidR="00347BBE">
        <w:rPr>
          <w:rFonts w:ascii="Times New Roman" w:hAnsi="Times New Roman" w:cs="Times New Roman"/>
          <w:sz w:val="24"/>
          <w:szCs w:val="24"/>
        </w:rPr>
        <w:t xml:space="preserve"> article aims to demonstrate that this</w:t>
      </w:r>
      <w:r w:rsidR="0054661B">
        <w:rPr>
          <w:rFonts w:ascii="Times New Roman" w:hAnsi="Times New Roman" w:cs="Times New Roman"/>
          <w:sz w:val="24"/>
          <w:szCs w:val="24"/>
        </w:rPr>
        <w:t xml:space="preserve"> approach to modeling a single portfolio</w:t>
      </w:r>
      <w:r w:rsidR="00DD3DCF">
        <w:rPr>
          <w:rFonts w:ascii="Times New Roman" w:hAnsi="Times New Roman" w:cs="Times New Roman"/>
          <w:sz w:val="24"/>
          <w:szCs w:val="24"/>
        </w:rPr>
        <w:t xml:space="preserve"> or asset</w:t>
      </w:r>
      <w:r w:rsidR="0054661B">
        <w:rPr>
          <w:rFonts w:ascii="Times New Roman" w:hAnsi="Times New Roman" w:cs="Times New Roman"/>
          <w:sz w:val="24"/>
          <w:szCs w:val="24"/>
        </w:rPr>
        <w:t xml:space="preserve"> </w:t>
      </w:r>
      <w:r w:rsidR="00546360">
        <w:rPr>
          <w:rFonts w:ascii="Times New Roman" w:hAnsi="Times New Roman" w:cs="Times New Roman"/>
          <w:sz w:val="24"/>
          <w:szCs w:val="24"/>
        </w:rPr>
        <w:t xml:space="preserve">more directly addresses the needs of </w:t>
      </w:r>
      <w:r w:rsidR="00A61392">
        <w:rPr>
          <w:rFonts w:ascii="Times New Roman" w:eastAsiaTheme="minorEastAsia" w:hAnsi="Times New Roman" w:cs="Times New Roman"/>
          <w:sz w:val="24"/>
          <w:szCs w:val="24"/>
        </w:rPr>
        <w:t>investors and wealth managers than MPT.</w:t>
      </w:r>
    </w:p>
    <w:p w:rsidR="00037ED2" w:rsidRPr="004D3FA8" w:rsidRDefault="00360B31">
      <w:pPr>
        <w:rPr>
          <w:rFonts w:ascii="Times New Roman" w:hAnsi="Times New Roman" w:cs="Times New Roman"/>
          <w:b/>
          <w:sz w:val="24"/>
          <w:szCs w:val="24"/>
        </w:rPr>
      </w:pPr>
      <w:r>
        <w:rPr>
          <w:rFonts w:ascii="Times New Roman" w:hAnsi="Times New Roman" w:cs="Times New Roman"/>
          <w:b/>
          <w:sz w:val="24"/>
          <w:szCs w:val="24"/>
        </w:rPr>
        <w:t>INTRODUCTION</w:t>
      </w:r>
    </w:p>
    <w:p w:rsidR="00946559" w:rsidRDefault="00FF47A4"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article focuses on </w:t>
      </w:r>
      <w:r w:rsidR="00962DBF">
        <w:rPr>
          <w:rFonts w:ascii="Times New Roman" w:eastAsiaTheme="minorEastAsia" w:hAnsi="Times New Roman" w:cs="Times New Roman"/>
          <w:sz w:val="24"/>
          <w:szCs w:val="24"/>
        </w:rPr>
        <w:t>investment risk through the lens of G</w:t>
      </w:r>
      <w:r w:rsidR="00AB4203">
        <w:rPr>
          <w:rFonts w:ascii="Times New Roman" w:eastAsiaTheme="minorEastAsia" w:hAnsi="Times New Roman" w:cs="Times New Roman"/>
          <w:sz w:val="24"/>
          <w:szCs w:val="24"/>
        </w:rPr>
        <w:t>oals-based investing (GBI)</w:t>
      </w:r>
      <w:r w:rsidR="00962DBF">
        <w:rPr>
          <w:rFonts w:ascii="Times New Roman" w:eastAsiaTheme="minorEastAsia" w:hAnsi="Times New Roman" w:cs="Times New Roman"/>
          <w:sz w:val="24"/>
          <w:szCs w:val="24"/>
        </w:rPr>
        <w:t xml:space="preserve">. </w:t>
      </w:r>
      <w:r w:rsidR="00946559">
        <w:rPr>
          <w:rFonts w:ascii="Times New Roman" w:eastAsiaTheme="minorEastAsia" w:hAnsi="Times New Roman" w:cs="Times New Roman"/>
          <w:sz w:val="24"/>
          <w:szCs w:val="24"/>
        </w:rPr>
        <w:t>First, i</w:t>
      </w:r>
      <w:r w:rsidR="00962DBF">
        <w:rPr>
          <w:rFonts w:ascii="Times New Roman" w:eastAsiaTheme="minorEastAsia" w:hAnsi="Times New Roman" w:cs="Times New Roman"/>
          <w:sz w:val="24"/>
          <w:szCs w:val="24"/>
        </w:rPr>
        <w:t>t aims to demonstrate that the de</w:t>
      </w:r>
      <w:r w:rsidR="00272DD6">
        <w:rPr>
          <w:rFonts w:ascii="Times New Roman" w:eastAsiaTheme="minorEastAsia" w:hAnsi="Times New Roman" w:cs="Times New Roman"/>
          <w:sz w:val="24"/>
          <w:szCs w:val="24"/>
        </w:rPr>
        <w:t xml:space="preserve">finition of investment risk as </w:t>
      </w:r>
      <w:r w:rsidR="00962DBF">
        <w:rPr>
          <w:rFonts w:ascii="Times New Roman" w:eastAsiaTheme="minorEastAsia" w:hAnsi="Times New Roman" w:cs="Times New Roman"/>
          <w:sz w:val="24"/>
          <w:szCs w:val="24"/>
        </w:rPr>
        <w:t xml:space="preserve">the probability of </w:t>
      </w:r>
      <w:r w:rsidR="00272DD6">
        <w:rPr>
          <w:rFonts w:ascii="Times New Roman" w:eastAsiaTheme="minorEastAsia" w:hAnsi="Times New Roman" w:cs="Times New Roman"/>
          <w:sz w:val="24"/>
          <w:szCs w:val="24"/>
        </w:rPr>
        <w:t>an investor not reaching a goal</w:t>
      </w:r>
      <w:r w:rsidR="00962DBF">
        <w:rPr>
          <w:rFonts w:ascii="Times New Roman" w:eastAsiaTheme="minorEastAsia" w:hAnsi="Times New Roman" w:cs="Times New Roman"/>
          <w:sz w:val="24"/>
          <w:szCs w:val="24"/>
        </w:rPr>
        <w:t xml:space="preserve"> captures more information than volatility. Specifica</w:t>
      </w:r>
      <w:r w:rsidR="00272DD6">
        <w:rPr>
          <w:rFonts w:ascii="Times New Roman" w:eastAsiaTheme="minorEastAsia" w:hAnsi="Times New Roman" w:cs="Times New Roman"/>
          <w:sz w:val="24"/>
          <w:szCs w:val="24"/>
        </w:rPr>
        <w:t xml:space="preserve">lly, this definition </w:t>
      </w:r>
      <w:r w:rsidR="00A26729">
        <w:rPr>
          <w:rFonts w:ascii="Times New Roman" w:eastAsiaTheme="minorEastAsia" w:hAnsi="Times New Roman" w:cs="Times New Roman"/>
          <w:sz w:val="24"/>
          <w:szCs w:val="24"/>
        </w:rPr>
        <w:t>accommodates</w:t>
      </w:r>
      <w:r w:rsidR="00962DBF">
        <w:rPr>
          <w:rFonts w:ascii="Times New Roman" w:eastAsiaTheme="minorEastAsia" w:hAnsi="Times New Roman" w:cs="Times New Roman"/>
          <w:sz w:val="24"/>
          <w:szCs w:val="24"/>
        </w:rPr>
        <w:t xml:space="preserve">: 1) </w:t>
      </w:r>
      <w:r w:rsidR="002377AD">
        <w:rPr>
          <w:rFonts w:ascii="Times New Roman" w:eastAsiaTheme="minorEastAsia" w:hAnsi="Times New Roman" w:cs="Times New Roman"/>
          <w:sz w:val="24"/>
          <w:szCs w:val="24"/>
        </w:rPr>
        <w:t>investor-specific characteristics</w:t>
      </w:r>
      <w:r w:rsidR="00962DBF">
        <w:rPr>
          <w:rFonts w:ascii="Times New Roman" w:eastAsiaTheme="minorEastAsia" w:hAnsi="Times New Roman" w:cs="Times New Roman"/>
          <w:sz w:val="24"/>
          <w:szCs w:val="24"/>
        </w:rPr>
        <w:t xml:space="preserve">; 2) skewness (asymmetry) </w:t>
      </w:r>
      <w:r w:rsidR="007155E4">
        <w:rPr>
          <w:rFonts w:ascii="Times New Roman" w:eastAsiaTheme="minorEastAsia" w:hAnsi="Times New Roman" w:cs="Times New Roman"/>
          <w:sz w:val="24"/>
          <w:szCs w:val="24"/>
        </w:rPr>
        <w:t>and kurtosis (</w:t>
      </w:r>
      <w:r w:rsidR="008A18BA">
        <w:rPr>
          <w:rFonts w:ascii="Times New Roman" w:eastAsiaTheme="minorEastAsia" w:hAnsi="Times New Roman" w:cs="Times New Roman"/>
          <w:sz w:val="24"/>
          <w:szCs w:val="24"/>
        </w:rPr>
        <w:t xml:space="preserve">“fat-tails”). Regarding the </w:t>
      </w:r>
      <w:r w:rsidR="00B501B2">
        <w:rPr>
          <w:rFonts w:ascii="Times New Roman" w:eastAsiaTheme="minorEastAsia" w:hAnsi="Times New Roman" w:cs="Times New Roman"/>
          <w:sz w:val="24"/>
          <w:szCs w:val="24"/>
        </w:rPr>
        <w:t>second</w:t>
      </w:r>
      <w:r w:rsidR="008A18BA">
        <w:rPr>
          <w:rFonts w:ascii="Times New Roman" w:eastAsiaTheme="minorEastAsia" w:hAnsi="Times New Roman" w:cs="Times New Roman"/>
          <w:sz w:val="24"/>
          <w:szCs w:val="24"/>
        </w:rPr>
        <w:t>, GBI can model</w:t>
      </w:r>
      <w:r w:rsidR="00A8586F">
        <w:rPr>
          <w:rFonts w:ascii="Times New Roman" w:eastAsiaTheme="minorEastAsia" w:hAnsi="Times New Roman" w:cs="Times New Roman"/>
          <w:sz w:val="24"/>
          <w:szCs w:val="24"/>
        </w:rPr>
        <w:t xml:space="preserve"> the risk of many types of investments that MPT could not, such as alternatives</w:t>
      </w:r>
      <w:r w:rsidR="00962DBF">
        <w:rPr>
          <w:rFonts w:ascii="Times New Roman" w:eastAsiaTheme="minorEastAsia" w:hAnsi="Times New Roman" w:cs="Times New Roman"/>
          <w:sz w:val="24"/>
          <w:szCs w:val="24"/>
        </w:rPr>
        <w:t>.</w:t>
      </w:r>
      <w:r w:rsidR="002613D9">
        <w:rPr>
          <w:rFonts w:ascii="Times New Roman" w:eastAsiaTheme="minorEastAsia" w:hAnsi="Times New Roman" w:cs="Times New Roman"/>
          <w:sz w:val="24"/>
          <w:szCs w:val="24"/>
        </w:rPr>
        <w:t xml:space="preserve"> </w:t>
      </w:r>
      <w:r w:rsidR="00946559">
        <w:rPr>
          <w:rFonts w:ascii="Times New Roman" w:eastAsiaTheme="minorEastAsia" w:hAnsi="Times New Roman" w:cs="Times New Roman"/>
          <w:sz w:val="24"/>
          <w:szCs w:val="24"/>
        </w:rPr>
        <w:t>To reap these potential benefits, this article introduces an investment simulation framework and shows its application.</w:t>
      </w:r>
    </w:p>
    <w:p w:rsidR="00962DBF" w:rsidRDefault="00946559"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Second, it presents a fictional narrative</w:t>
      </w:r>
      <w:r w:rsidR="002A7E77">
        <w:rPr>
          <w:rFonts w:ascii="Times New Roman" w:eastAsiaTheme="minorEastAsia" w:hAnsi="Times New Roman" w:cs="Times New Roman"/>
          <w:sz w:val="24"/>
          <w:szCs w:val="24"/>
        </w:rPr>
        <w:t xml:space="preserve"> to illustrate</w:t>
      </w:r>
      <w:r>
        <w:rPr>
          <w:rFonts w:ascii="Times New Roman" w:eastAsiaTheme="minorEastAsia" w:hAnsi="Times New Roman" w:cs="Times New Roman"/>
          <w:sz w:val="24"/>
          <w:szCs w:val="24"/>
        </w:rPr>
        <w:t xml:space="preserve"> the approach. </w:t>
      </w:r>
      <w:r w:rsidR="00F065BA">
        <w:rPr>
          <w:rFonts w:ascii="Times New Roman" w:eastAsiaTheme="minorEastAsia" w:hAnsi="Times New Roman" w:cs="Times New Roman"/>
          <w:sz w:val="24"/>
          <w:szCs w:val="24"/>
        </w:rPr>
        <w:t xml:space="preserve">This is possible because </w:t>
      </w:r>
      <w:r w:rsidR="007D4E78">
        <w:rPr>
          <w:rFonts w:ascii="Times New Roman" w:eastAsiaTheme="minorEastAsia" w:hAnsi="Times New Roman" w:cs="Times New Roman"/>
          <w:sz w:val="24"/>
          <w:szCs w:val="24"/>
        </w:rPr>
        <w:t>GBI introduces more than a new risk metric. It shifts the focus of asset management from the portfolio to the client and is more intelligible and transparent than MPT. Investor goals are mapped to cash outflows and the probability of matching these outflows defines risk. These steps only require the investor and wealth manager to know basic financial and probabilistic concepts.</w:t>
      </w:r>
      <w:r w:rsidR="00EF05FD">
        <w:rPr>
          <w:rFonts w:ascii="Times New Roman" w:eastAsiaTheme="minorEastAsia" w:hAnsi="Times New Roman" w:cs="Times New Roman"/>
          <w:sz w:val="24"/>
          <w:szCs w:val="24"/>
        </w:rPr>
        <w:t xml:space="preserve"> </w:t>
      </w:r>
      <w:r w:rsidR="00B40BBE">
        <w:rPr>
          <w:rFonts w:ascii="Times New Roman" w:eastAsiaTheme="minorEastAsia" w:hAnsi="Times New Roman" w:cs="Times New Roman"/>
          <w:sz w:val="24"/>
          <w:szCs w:val="24"/>
        </w:rPr>
        <w:t>However, the wealth manager or investor must select an investment portfolio that defeases the outflows.</w:t>
      </w:r>
      <w:r w:rsidR="00B40BBE" w:rsidRPr="00172D74">
        <w:rPr>
          <w:rFonts w:ascii="Times New Roman" w:eastAsiaTheme="minorEastAsia" w:hAnsi="Times New Roman" w:cs="Times New Roman"/>
          <w:sz w:val="24"/>
          <w:szCs w:val="24"/>
        </w:rPr>
        <w:t xml:space="preserve"> </w:t>
      </w:r>
      <w:r w:rsidR="00B40BBE">
        <w:rPr>
          <w:rFonts w:ascii="Times New Roman" w:eastAsiaTheme="minorEastAsia" w:hAnsi="Times New Roman" w:cs="Times New Roman"/>
          <w:sz w:val="24"/>
          <w:szCs w:val="24"/>
        </w:rPr>
        <w:t xml:space="preserve">A number of authors recommend using </w:t>
      </w:r>
      <w:r w:rsidR="00B40BBE" w:rsidRPr="00962DBF">
        <w:rPr>
          <w:rFonts w:ascii="Times New Roman" w:eastAsiaTheme="minorEastAsia" w:hAnsi="Times New Roman" w:cs="Times New Roman"/>
          <w:sz w:val="24"/>
          <w:szCs w:val="24"/>
          <w:highlight w:val="yellow"/>
        </w:rPr>
        <w:t>MPT for this purpose</w:t>
      </w:r>
      <w:r w:rsidR="00B40BBE">
        <w:rPr>
          <w:rFonts w:ascii="Times New Roman" w:eastAsiaTheme="minorEastAsia" w:hAnsi="Times New Roman" w:cs="Times New Roman"/>
          <w:sz w:val="24"/>
          <w:szCs w:val="24"/>
        </w:rPr>
        <w:t xml:space="preserve">, such as Das 2010 and 2011. </w:t>
      </w:r>
      <w:r w:rsidR="00EF05FD">
        <w:rPr>
          <w:rFonts w:ascii="Times New Roman" w:eastAsiaTheme="minorEastAsia" w:hAnsi="Times New Roman" w:cs="Times New Roman"/>
          <w:sz w:val="24"/>
          <w:szCs w:val="24"/>
        </w:rPr>
        <w:t xml:space="preserve">In the experience of the author, even institutional investors struggle to understand how to estimate portfolio volatility. In </w:t>
      </w:r>
      <w:r w:rsidR="0048162E">
        <w:rPr>
          <w:rFonts w:ascii="Times New Roman" w:eastAsiaTheme="minorEastAsia" w:hAnsi="Times New Roman" w:cs="Times New Roman"/>
          <w:sz w:val="24"/>
          <w:szCs w:val="24"/>
        </w:rPr>
        <w:t>fact, an entire segment of the investment management software i</w:t>
      </w:r>
      <w:r w:rsidR="00EF05FD">
        <w:rPr>
          <w:rFonts w:ascii="Times New Roman" w:eastAsiaTheme="minorEastAsia" w:hAnsi="Times New Roman" w:cs="Times New Roman"/>
          <w:sz w:val="24"/>
          <w:szCs w:val="24"/>
        </w:rPr>
        <w:t>ndustry creates models and techniques dedicated to this topic. This</w:t>
      </w:r>
      <w:r w:rsidR="002B064B">
        <w:rPr>
          <w:rFonts w:ascii="Times New Roman" w:eastAsiaTheme="minorEastAsia" w:hAnsi="Times New Roman" w:cs="Times New Roman"/>
          <w:sz w:val="24"/>
          <w:szCs w:val="24"/>
        </w:rPr>
        <w:t xml:space="preserve"> opacity</w:t>
      </w:r>
      <w:r w:rsidR="00EF05FD">
        <w:rPr>
          <w:rFonts w:ascii="Times New Roman" w:eastAsiaTheme="minorEastAsia" w:hAnsi="Times New Roman" w:cs="Times New Roman"/>
          <w:sz w:val="24"/>
          <w:szCs w:val="24"/>
        </w:rPr>
        <w:t xml:space="preserve"> limits GBI in reaching its full potential. </w:t>
      </w:r>
      <w:r w:rsidR="00022514">
        <w:rPr>
          <w:rFonts w:ascii="Times New Roman" w:eastAsiaTheme="minorEastAsia" w:hAnsi="Times New Roman" w:cs="Times New Roman"/>
          <w:sz w:val="24"/>
          <w:szCs w:val="24"/>
        </w:rPr>
        <w:t>The objective of the simulation framework is to only</w:t>
      </w:r>
      <w:r w:rsidR="006F76A7">
        <w:rPr>
          <w:rFonts w:ascii="Times New Roman" w:eastAsiaTheme="minorEastAsia" w:hAnsi="Times New Roman" w:cs="Times New Roman"/>
          <w:sz w:val="24"/>
          <w:szCs w:val="24"/>
        </w:rPr>
        <w:t xml:space="preserve"> require</w:t>
      </w:r>
      <w:r w:rsidR="00022514">
        <w:rPr>
          <w:rFonts w:ascii="Times New Roman" w:eastAsiaTheme="minorEastAsia" w:hAnsi="Times New Roman" w:cs="Times New Roman"/>
          <w:sz w:val="24"/>
          <w:szCs w:val="24"/>
        </w:rPr>
        <w:t xml:space="preserve"> </w:t>
      </w:r>
      <w:r w:rsidR="006F76A7">
        <w:rPr>
          <w:rFonts w:ascii="Times New Roman" w:eastAsiaTheme="minorEastAsia" w:hAnsi="Times New Roman" w:cs="Times New Roman"/>
          <w:sz w:val="24"/>
          <w:szCs w:val="24"/>
        </w:rPr>
        <w:t>the investor and wealth manager to know basic financial and probabilistic concepts</w:t>
      </w:r>
      <w:r w:rsidR="00BC6CDB">
        <w:rPr>
          <w:rFonts w:ascii="Times New Roman" w:eastAsiaTheme="minorEastAsia" w:hAnsi="Times New Roman" w:cs="Times New Roman"/>
          <w:sz w:val="24"/>
          <w:szCs w:val="24"/>
        </w:rPr>
        <w:t xml:space="preserve"> to understand</w:t>
      </w:r>
      <w:r w:rsidR="006F76A7">
        <w:rPr>
          <w:rFonts w:ascii="Times New Roman" w:eastAsiaTheme="minorEastAsia" w:hAnsi="Times New Roman" w:cs="Times New Roman"/>
          <w:sz w:val="24"/>
          <w:szCs w:val="24"/>
        </w:rPr>
        <w:t xml:space="preserve"> </w:t>
      </w:r>
      <w:r w:rsidR="00BC6CDB">
        <w:rPr>
          <w:rFonts w:ascii="Times New Roman" w:eastAsiaTheme="minorEastAsia" w:hAnsi="Times New Roman" w:cs="Times New Roman"/>
          <w:sz w:val="24"/>
          <w:szCs w:val="24"/>
        </w:rPr>
        <w:t>investment models</w:t>
      </w:r>
      <w:r w:rsidR="00022514">
        <w:rPr>
          <w:rFonts w:ascii="Times New Roman" w:eastAsiaTheme="minorEastAsia" w:hAnsi="Times New Roman" w:cs="Times New Roman"/>
          <w:sz w:val="24"/>
          <w:szCs w:val="24"/>
        </w:rPr>
        <w:t>.</w:t>
      </w:r>
      <w:r w:rsidR="007D4E78">
        <w:rPr>
          <w:rFonts w:ascii="Times New Roman" w:eastAsiaTheme="minorEastAsia" w:hAnsi="Times New Roman" w:cs="Times New Roman"/>
          <w:sz w:val="24"/>
          <w:szCs w:val="24"/>
        </w:rPr>
        <w:t xml:space="preserve"> </w:t>
      </w:r>
    </w:p>
    <w:p w:rsidR="00F92E73" w:rsidRDefault="00C13897"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Third, this paper details the methods required to create the simulations. </w:t>
      </w:r>
      <w:r w:rsidR="009B6E4D">
        <w:rPr>
          <w:rFonts w:ascii="Times New Roman" w:eastAsiaTheme="minorEastAsia" w:hAnsi="Times New Roman" w:cs="Times New Roman"/>
          <w:sz w:val="24"/>
          <w:szCs w:val="24"/>
        </w:rPr>
        <w:t xml:space="preserve">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w:t>
      </w:r>
      <w:r w:rsidR="00576B00">
        <w:rPr>
          <w:rFonts w:ascii="Times New Roman" w:eastAsiaTheme="minorEastAsia" w:hAnsi="Times New Roman" w:cs="Times New Roman"/>
          <w:sz w:val="24"/>
          <w:szCs w:val="24"/>
        </w:rPr>
        <w:lastRenderedPageBreak/>
        <w:t>traditional asset managers.</w:t>
      </w:r>
      <w:r w:rsidR="00674E14">
        <w:rPr>
          <w:rFonts w:ascii="Times New Roman" w:eastAsiaTheme="minorEastAsia" w:hAnsi="Times New Roman" w:cs="Times New Roman"/>
          <w:sz w:val="24"/>
          <w:szCs w:val="24"/>
        </w:rPr>
        <w:t xml:space="preserve"> </w:t>
      </w:r>
      <w:r w:rsidR="000A3A2A">
        <w:rPr>
          <w:rFonts w:ascii="Times New Roman" w:eastAsiaTheme="minorEastAsia" w:hAnsi="Times New Roman" w:cs="Times New Roman"/>
          <w:sz w:val="24"/>
          <w:szCs w:val="24"/>
        </w:rPr>
        <w:t>They</w:t>
      </w:r>
      <w:r w:rsidR="004676FB">
        <w:rPr>
          <w:rFonts w:ascii="Times New Roman" w:eastAsiaTheme="minorEastAsia" w:hAnsi="Times New Roman" w:cs="Times New Roman"/>
          <w:sz w:val="24"/>
          <w:szCs w:val="24"/>
        </w:rPr>
        <w:t xml:space="preserve"> can</w:t>
      </w:r>
      <w:r w:rsidR="000A3A2A">
        <w:rPr>
          <w:rFonts w:ascii="Times New Roman" w:eastAsiaTheme="minorEastAsia" w:hAnsi="Times New Roman" w:cs="Times New Roman"/>
          <w:sz w:val="24"/>
          <w:szCs w:val="24"/>
        </w:rPr>
        <w:t xml:space="preserve"> also</w:t>
      </w:r>
      <w:r w:rsidR="004676FB">
        <w:rPr>
          <w:rFonts w:ascii="Times New Roman" w:eastAsiaTheme="minorEastAsia" w:hAnsi="Times New Roman" w:cs="Times New Roman"/>
          <w:sz w:val="24"/>
          <w:szCs w:val="24"/>
        </w:rPr>
        <w:t xml:space="preserve">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1A0F64">
        <w:rPr>
          <w:rFonts w:ascii="Times New Roman" w:eastAsiaTheme="minorEastAsia" w:hAnsi="Times New Roman" w:cs="Times New Roman"/>
          <w:sz w:val="24"/>
          <w:szCs w:val="24"/>
        </w:rPr>
        <w:t>, and</w:t>
      </w:r>
      <w:r w:rsidR="00611DFF">
        <w:rPr>
          <w:rFonts w:ascii="Times New Roman" w:eastAsiaTheme="minorEastAsia" w:hAnsi="Times New Roman" w:cs="Times New Roman"/>
          <w:sz w:val="24"/>
          <w:szCs w:val="24"/>
        </w:rPr>
        <w:t xml:space="preserve"> a computer</w:t>
      </w:r>
      <w:r w:rsidR="00987C00">
        <w:rPr>
          <w:rFonts w:ascii="Times New Roman" w:eastAsiaTheme="minorEastAsia" w:hAnsi="Times New Roman" w:cs="Times New Roman"/>
          <w:sz w:val="24"/>
          <w:szCs w:val="24"/>
        </w:rPr>
        <w:t xml:space="preserve"> can</w:t>
      </w:r>
      <w:r w:rsidR="00171AF5">
        <w:rPr>
          <w:rFonts w:ascii="Times New Roman" w:eastAsiaTheme="minorEastAsia" w:hAnsi="Times New Roman" w:cs="Times New Roman"/>
          <w:sz w:val="24"/>
          <w:szCs w:val="24"/>
        </w:rPr>
        <w:t xml:space="preserve"> use this to</w:t>
      </w:r>
      <w:r w:rsidR="00987C00">
        <w:rPr>
          <w:rFonts w:ascii="Times New Roman" w:eastAsiaTheme="minorEastAsia" w:hAnsi="Times New Roman" w:cs="Times New Roman"/>
          <w:sz w:val="24"/>
          <w:szCs w:val="24"/>
        </w:rPr>
        <w:t xml:space="preserve"> simulate investment results.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ted over computer networks, this approach enables different wealth managers and investors to leverage the same investment forecast to calculate the probability of reaching different goals and potentially lower</w:t>
      </w:r>
      <w:r w:rsidR="00247D1E">
        <w:rPr>
          <w:rFonts w:ascii="Times New Roman" w:eastAsiaTheme="minorEastAsia" w:hAnsi="Times New Roman" w:cs="Times New Roman"/>
          <w:sz w:val="24"/>
          <w:szCs w:val="24"/>
        </w:rPr>
        <w:t xml:space="preserve"> industry</w:t>
      </w:r>
      <w:r w:rsidR="00CE4F62">
        <w:rPr>
          <w:rFonts w:ascii="Times New Roman" w:eastAsiaTheme="minorEastAsia" w:hAnsi="Times New Roman" w:cs="Times New Roman"/>
          <w:sz w:val="24"/>
          <w:szCs w:val="24"/>
        </w:rPr>
        <w:t xml:space="preserve"> costs</w:t>
      </w:r>
      <w:r w:rsidR="000E3FD6">
        <w:rPr>
          <w:rFonts w:ascii="Times New Roman" w:eastAsiaTheme="minorEastAsia" w:hAnsi="Times New Roman" w:cs="Times New Roman"/>
          <w:sz w:val="24"/>
          <w:szCs w:val="24"/>
        </w:rPr>
        <w:t>.</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FA7CB9">
        <w:rPr>
          <w:rFonts w:ascii="Times New Roman" w:eastAsiaTheme="minorEastAsia" w:hAnsi="Times New Roman" w:cs="Times New Roman"/>
          <w:sz w:val="24"/>
          <w:szCs w:val="24"/>
        </w:rPr>
        <w:t xml:space="preserve"> metrics</w:t>
      </w:r>
      <w:r w:rsidR="00143486">
        <w:rPr>
          <w:rFonts w:ascii="Times New Roman" w:eastAsiaTheme="minorEastAsia" w:hAnsi="Times New Roman" w:cs="Times New Roman"/>
          <w:sz w:val="24"/>
          <w:szCs w:val="24"/>
        </w:rPr>
        <w:t xml:space="preserve"> described by </w:t>
      </w:r>
      <w:r w:rsidR="00A9627E" w:rsidRPr="00A9627E">
        <w:rPr>
          <w:rFonts w:ascii="Times New Roman" w:eastAsiaTheme="minorEastAsia" w:hAnsi="Times New Roman" w:cs="Times New Roman"/>
          <w:sz w:val="24"/>
          <w:szCs w:val="24"/>
          <w:highlight w:val="yellow"/>
        </w:rPr>
        <w:t>Brier 1950</w:t>
      </w:r>
      <w:r w:rsidR="00FD5055">
        <w:rPr>
          <w:rFonts w:ascii="Times New Roman" w:eastAsiaTheme="minorEastAsia" w:hAnsi="Times New Roman" w:cs="Times New Roman"/>
          <w:sz w:val="24"/>
          <w:szCs w:val="24"/>
        </w:rPr>
        <w:t xml:space="preserve"> and popularized by </w:t>
      </w:r>
      <w:proofErr w:type="spellStart"/>
      <w:r w:rsidR="00FA7CB9" w:rsidRPr="009F2920">
        <w:rPr>
          <w:rFonts w:ascii="Times New Roman" w:eastAsiaTheme="minorEastAsia" w:hAnsi="Times New Roman" w:cs="Times New Roman"/>
          <w:sz w:val="24"/>
          <w:szCs w:val="24"/>
          <w:highlight w:val="yellow"/>
        </w:rPr>
        <w:t>Tetlock</w:t>
      </w:r>
      <w:proofErr w:type="spellEnd"/>
      <w:r w:rsidR="00FA7CB9" w:rsidRPr="009F2920">
        <w:rPr>
          <w:rFonts w:ascii="Times New Roman" w:eastAsiaTheme="minorEastAsia" w:hAnsi="Times New Roman" w:cs="Times New Roman"/>
          <w:sz w:val="24"/>
          <w:szCs w:val="24"/>
          <w:highlight w:val="yellow"/>
        </w:rPr>
        <w:t xml:space="preserve"> 2015</w:t>
      </w:r>
      <w:r w:rsidR="003F1BCD">
        <w:rPr>
          <w:rFonts w:ascii="Times New Roman" w:eastAsiaTheme="minorEastAsia" w:hAnsi="Times New Roman" w:cs="Times New Roman"/>
          <w:sz w:val="24"/>
          <w:szCs w:val="24"/>
        </w:rPr>
        <w:t>.</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w:t>
      </w:r>
      <w:r w:rsidR="009D471D">
        <w:rPr>
          <w:rFonts w:ascii="Times New Roman" w:eastAsiaTheme="minorEastAsia" w:hAnsi="Times New Roman" w:cs="Times New Roman"/>
          <w:sz w:val="24"/>
          <w:szCs w:val="24"/>
        </w:rPr>
        <w:t>or skill (</w:t>
      </w:r>
      <w:r w:rsidR="00FD1882">
        <w:rPr>
          <w:rFonts w:ascii="Times New Roman" w:eastAsiaTheme="minorEastAsia" w:hAnsi="Times New Roman" w:cs="Times New Roman"/>
          <w:sz w:val="24"/>
          <w:szCs w:val="24"/>
        </w:rPr>
        <w:t>Performance Attribution).</w:t>
      </w:r>
      <w:r w:rsidR="00615B12">
        <w:rPr>
          <w:rFonts w:ascii="Times New Roman" w:eastAsiaTheme="minorEastAsia" w:hAnsi="Times New Roman" w:cs="Times New Roman"/>
          <w:sz w:val="24"/>
          <w:szCs w:val="24"/>
        </w:rPr>
        <w:t xml:space="preserve"> </w:t>
      </w:r>
    </w:p>
    <w:p w:rsidR="005A2D9C" w:rsidRDefault="005A2D9C" w:rsidP="003F565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Although this paper only deals with a single </w:t>
      </w:r>
      <w:r>
        <w:rPr>
          <w:rFonts w:ascii="Times New Roman" w:eastAsiaTheme="minorEastAsia" w:hAnsi="Times New Roman" w:cs="Times New Roman"/>
          <w:sz w:val="24"/>
          <w:szCs w:val="24"/>
        </w:rPr>
        <w:t>portfolio or investment</w:t>
      </w:r>
      <w:r w:rsidRPr="004D3FA8">
        <w:rPr>
          <w:rFonts w:ascii="Times New Roman" w:eastAsiaTheme="minorEastAsia" w:hAnsi="Times New Roman" w:cs="Times New Roman"/>
          <w:sz w:val="24"/>
          <w:szCs w:val="24"/>
        </w:rPr>
        <w:t xml:space="preserve">, this general approach is compatible with modelling the relationships between multiple assets. </w:t>
      </w:r>
      <w:r>
        <w:rPr>
          <w:rFonts w:ascii="Times New Roman" w:eastAsiaTheme="minorEastAsia" w:hAnsi="Times New Roman" w:cs="Times New Roman"/>
          <w:sz w:val="24"/>
          <w:szCs w:val="24"/>
        </w:rPr>
        <w:t xml:space="preserve">In fact, </w:t>
      </w:r>
      <w:r w:rsidRPr="004D3FA8">
        <w:rPr>
          <w:rFonts w:ascii="Times New Roman" w:eastAsiaTheme="minorEastAsia" w:hAnsi="Times New Roman" w:cs="Times New Roman"/>
          <w:sz w:val="24"/>
          <w:szCs w:val="24"/>
        </w:rPr>
        <w:t xml:space="preserve">the scenarios may be linked together using a Bayesian Network. </w:t>
      </w:r>
      <w:r w:rsidRPr="00C840B6">
        <w:rPr>
          <w:rFonts w:ascii="Times New Roman" w:eastAsiaTheme="minorEastAsia" w:hAnsi="Times New Roman" w:cs="Times New Roman"/>
          <w:sz w:val="24"/>
          <w:szCs w:val="24"/>
          <w:highlight w:val="yellow"/>
        </w:rPr>
        <w:t>Shenoy 2000</w:t>
      </w:r>
      <w:r w:rsidRPr="004D3FA8">
        <w:rPr>
          <w:rFonts w:ascii="Times New Roman" w:eastAsiaTheme="minorEastAsia" w:hAnsi="Times New Roman" w:cs="Times New Roman"/>
          <w:sz w:val="24"/>
          <w:szCs w:val="24"/>
        </w:rPr>
        <w:t xml:space="preserve"> has already shown that Bayesian Networks</w:t>
      </w:r>
      <w:r>
        <w:rPr>
          <w:rFonts w:ascii="Times New Roman" w:eastAsiaTheme="minorEastAsia" w:hAnsi="Times New Roman" w:cs="Times New Roman"/>
          <w:sz w:val="24"/>
          <w:szCs w:val="24"/>
        </w:rPr>
        <w:t xml:space="preserve"> based on the normal distribution</w:t>
      </w:r>
      <w:r w:rsidRPr="004D3FA8">
        <w:rPr>
          <w:rFonts w:ascii="Times New Roman" w:eastAsiaTheme="minorEastAsia" w:hAnsi="Times New Roman" w:cs="Times New Roman"/>
          <w:sz w:val="24"/>
          <w:szCs w:val="24"/>
        </w:rPr>
        <w:t xml:space="preserve"> are compatible with</w:t>
      </w:r>
      <w:r w:rsidR="00D86AE6">
        <w:rPr>
          <w:rFonts w:ascii="Times New Roman" w:eastAsiaTheme="minorEastAsia" w:hAnsi="Times New Roman" w:cs="Times New Roman"/>
          <w:sz w:val="24"/>
          <w:szCs w:val="24"/>
        </w:rPr>
        <w:t xml:space="preserve"> factor models such as</w:t>
      </w:r>
      <w:r w:rsidR="00A14C7E">
        <w:rPr>
          <w:rFonts w:ascii="Times New Roman" w:eastAsiaTheme="minorEastAsia" w:hAnsi="Times New Roman" w:cs="Times New Roman"/>
          <w:sz w:val="24"/>
          <w:szCs w:val="24"/>
        </w:rPr>
        <w:t xml:space="preserve"> CAPM</w:t>
      </w:r>
      <w:r w:rsidRPr="004D3FA8">
        <w:rPr>
          <w:rFonts w:ascii="Times New Roman" w:eastAsiaTheme="minorEastAsia" w:hAnsi="Times New Roman" w:cs="Times New Roman"/>
          <w:sz w:val="24"/>
          <w:szCs w:val="24"/>
        </w:rPr>
        <w:t>. It is the intention of the author to delve deeply into this topic in a future paper.</w:t>
      </w:r>
      <w:r>
        <w:rPr>
          <w:rFonts w:ascii="Times New Roman" w:eastAsiaTheme="minorEastAsia" w:hAnsi="Times New Roman" w:cs="Times New Roman"/>
          <w:sz w:val="24"/>
          <w:szCs w:val="24"/>
        </w:rPr>
        <w:t xml:space="preserve"> </w:t>
      </w:r>
    </w:p>
    <w:p w:rsidR="00386579" w:rsidRDefault="00386579"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w:t>
      </w:r>
      <w:r w:rsidRPr="00CD37F9">
        <w:rPr>
          <w:rFonts w:ascii="Times New Roman" w:eastAsiaTheme="minorEastAsia" w:hAnsi="Times New Roman" w:cs="Times New Roman"/>
          <w:sz w:val="24"/>
          <w:szCs w:val="24"/>
          <w:highlight w:val="yellow"/>
        </w:rPr>
        <w:t xml:space="preserve">Others, such as </w:t>
      </w:r>
      <w:proofErr w:type="spellStart"/>
      <w:r>
        <w:rPr>
          <w:rFonts w:ascii="Times New Roman" w:eastAsiaTheme="minorEastAsia" w:hAnsi="Times New Roman" w:cs="Times New Roman"/>
          <w:sz w:val="24"/>
          <w:szCs w:val="24"/>
          <w:highlight w:val="yellow"/>
        </w:rPr>
        <w:t>Shefrin</w:t>
      </w:r>
      <w:proofErr w:type="spellEnd"/>
      <w:r>
        <w:rPr>
          <w:rFonts w:ascii="Times New Roman" w:eastAsiaTheme="minorEastAsia" w:hAnsi="Times New Roman" w:cs="Times New Roman"/>
          <w:sz w:val="24"/>
          <w:szCs w:val="24"/>
          <w:highlight w:val="yellow"/>
        </w:rPr>
        <w:t xml:space="preserve"> 2000, </w:t>
      </w:r>
      <w:r w:rsidRPr="00CD37F9">
        <w:rPr>
          <w:rFonts w:ascii="Times New Roman" w:eastAsiaTheme="minorEastAsia" w:hAnsi="Times New Roman" w:cs="Times New Roman"/>
          <w:sz w:val="24"/>
          <w:szCs w:val="24"/>
          <w:highlight w:val="yellow"/>
        </w:rPr>
        <w:t xml:space="preserve">Brunel 2003, Nevins 2004, </w:t>
      </w:r>
      <w:proofErr w:type="spellStart"/>
      <w:r w:rsidRPr="00CD37F9">
        <w:rPr>
          <w:rFonts w:ascii="Times New Roman" w:eastAsiaTheme="minorEastAsia" w:hAnsi="Times New Roman" w:cs="Times New Roman"/>
          <w:sz w:val="24"/>
          <w:szCs w:val="24"/>
          <w:highlight w:val="yellow"/>
        </w:rPr>
        <w:t>Pompian</w:t>
      </w:r>
      <w:proofErr w:type="spellEnd"/>
      <w:r w:rsidRPr="00CD37F9">
        <w:rPr>
          <w:rFonts w:ascii="Times New Roman" w:eastAsiaTheme="minorEastAsia" w:hAnsi="Times New Roman" w:cs="Times New Roman"/>
          <w:sz w:val="24"/>
          <w:szCs w:val="24"/>
          <w:highlight w:val="yellow"/>
        </w:rPr>
        <w:t xml:space="preserve"> 2004, Chhabra, Brunel 2005, and Brunel 2015, have covered this topic extensively</w:t>
      </w:r>
      <w:r w:rsidR="001E4530">
        <w:rPr>
          <w:rFonts w:ascii="Times New Roman" w:eastAsiaTheme="minorEastAsia" w:hAnsi="Times New Roman" w:cs="Times New Roman"/>
          <w:sz w:val="24"/>
          <w:szCs w:val="24"/>
          <w:highlight w:val="yellow"/>
        </w:rPr>
        <w:t xml:space="preserve">. </w:t>
      </w:r>
      <w:r w:rsidRPr="00CD37F9">
        <w:rPr>
          <w:rFonts w:ascii="Times New Roman" w:eastAsiaTheme="minorEastAsia" w:hAnsi="Times New Roman" w:cs="Times New Roman"/>
          <w:sz w:val="24"/>
          <w:szCs w:val="24"/>
          <w:highlight w:val="yellow"/>
        </w:rPr>
        <w:t xml:space="preserve">In addition, this article only includes a brief mention of </w:t>
      </w:r>
      <w:r w:rsidR="001E4530">
        <w:rPr>
          <w:rFonts w:ascii="Times New Roman" w:eastAsiaTheme="minorEastAsia" w:hAnsi="Times New Roman" w:cs="Times New Roman"/>
          <w:sz w:val="24"/>
          <w:szCs w:val="24"/>
          <w:highlight w:val="yellow"/>
        </w:rPr>
        <w:t>MPT</w:t>
      </w:r>
      <w:r w:rsidRPr="00CD37F9">
        <w:rPr>
          <w:rFonts w:ascii="Times New Roman" w:eastAsiaTheme="minorEastAsia" w:hAnsi="Times New Roman" w:cs="Times New Roman"/>
          <w:sz w:val="24"/>
          <w:szCs w:val="24"/>
          <w:highlight w:val="yellow"/>
        </w:rPr>
        <w:t xml:space="preserve">, and its relationship to GBI. This topic also has exhaustive coverage in the literature such as </w:t>
      </w:r>
      <w:bookmarkStart w:id="0" w:name="_GoBack"/>
      <w:bookmarkEnd w:id="0"/>
      <w:r w:rsidRPr="00CD37F9">
        <w:rPr>
          <w:rFonts w:ascii="Times New Roman" w:eastAsiaTheme="minorEastAsia" w:hAnsi="Times New Roman" w:cs="Times New Roman"/>
          <w:sz w:val="24"/>
          <w:szCs w:val="24"/>
          <w:highlight w:val="yellow"/>
        </w:rPr>
        <w:t xml:space="preserve">Brunel 2006, Das 2010, </w:t>
      </w:r>
      <w:proofErr w:type="gramStart"/>
      <w:r w:rsidRPr="00CD37F9">
        <w:rPr>
          <w:rFonts w:ascii="Times New Roman" w:eastAsiaTheme="minorEastAsia" w:hAnsi="Times New Roman" w:cs="Times New Roman"/>
          <w:sz w:val="24"/>
          <w:szCs w:val="24"/>
          <w:highlight w:val="yellow"/>
        </w:rPr>
        <w:t>Das</w:t>
      </w:r>
      <w:proofErr w:type="gramEnd"/>
      <w:r w:rsidRPr="00CD37F9">
        <w:rPr>
          <w:rFonts w:ascii="Times New Roman" w:eastAsiaTheme="minorEastAsia" w:hAnsi="Times New Roman" w:cs="Times New Roman"/>
          <w:sz w:val="24"/>
          <w:szCs w:val="24"/>
          <w:highlight w:val="yellow"/>
        </w:rPr>
        <w:t xml:space="preserve"> 2011.</w:t>
      </w:r>
      <w:r>
        <w:rPr>
          <w:rFonts w:ascii="Times New Roman" w:eastAsiaTheme="minorEastAsia" w:hAnsi="Times New Roman" w:cs="Times New Roman"/>
          <w:sz w:val="24"/>
          <w:szCs w:val="24"/>
        </w:rPr>
        <w:t xml:space="preserve"> </w:t>
      </w: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As discussed by </w:t>
      </w:r>
      <w:r w:rsidRPr="004D3FA8">
        <w:rPr>
          <w:rFonts w:ascii="Times New Roman" w:eastAsiaTheme="minorEastAsia" w:hAnsi="Times New Roman" w:cs="Times New Roman"/>
          <w:sz w:val="24"/>
          <w:szCs w:val="24"/>
          <w:highlight w:val="yellow"/>
        </w:rPr>
        <w:t>Brunel</w:t>
      </w:r>
      <w:r>
        <w:rPr>
          <w:rFonts w:ascii="Times New Roman" w:eastAsiaTheme="minorEastAsia" w:hAnsi="Times New Roman" w:cs="Times New Roman"/>
          <w:sz w:val="24"/>
          <w:szCs w:val="24"/>
        </w:rPr>
        <w:t xml:space="preserve"> 2015</w:t>
      </w:r>
      <w:r w:rsidRPr="004D3FA8">
        <w:rPr>
          <w:rFonts w:ascii="Times New Roman" w:eastAsiaTheme="minorEastAsia" w:hAnsi="Times New Roman" w:cs="Times New Roman"/>
          <w:sz w:val="24"/>
          <w:szCs w:val="24"/>
        </w:rPr>
        <w:t>, this is critical. However, this topic complicates the analysis and thus is beyond the scope of this paper.</w:t>
      </w:r>
    </w:p>
    <w:p w:rsidR="000079E1" w:rsidRPr="000079E1" w:rsidRDefault="000079E1"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article has the following organization. First, it demonstrates the GBI risk captures more information than volatility. Second, it presents a hypothetical investment narrative that describes the full approach. Third, it details how the cash flow forecasts, investment forecasts, and simulations are created. Within the third section, the article presents two examples of creating a scenario-based forecast: 1) using judgment to create a forecast that approximates the normal distribution; 2) bootstrapping historical data and overlaying judgment on this base. The first example shows that the approach can approximate MPT and does not require data. The second is based primarily on data with only slight human modification. Lastly, the article concludes and presents several mathematical appendices to complement the aforementioned sections.  </w:t>
      </w:r>
    </w:p>
    <w:p w:rsidR="002168D9" w:rsidRPr="004D3FA8" w:rsidRDefault="006850C1">
      <w:pPr>
        <w:rPr>
          <w:rFonts w:ascii="Times New Roman" w:hAnsi="Times New Roman" w:cs="Times New Roman"/>
          <w:b/>
          <w:sz w:val="24"/>
          <w:szCs w:val="24"/>
        </w:rPr>
      </w:pPr>
      <w:r w:rsidRPr="004D3FA8">
        <w:rPr>
          <w:rFonts w:ascii="Times New Roman" w:hAnsi="Times New Roman" w:cs="Times New Roman"/>
          <w:b/>
          <w:sz w:val="24"/>
          <w:szCs w:val="24"/>
        </w:rPr>
        <w:t>AN ADVANTAGE OF GOAL-BASED INVESTING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lastRenderedPageBreak/>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7A3F09">
      <w:pPr>
        <w:rPr>
          <w:rFonts w:ascii="Times New Roman" w:hAnsi="Times New Roman" w:cs="Times New Roman"/>
          <w:b/>
          <w:sz w:val="24"/>
          <w:szCs w:val="24"/>
        </w:rPr>
      </w:pPr>
      <w:r>
        <w:rPr>
          <w:rFonts w:ascii="Times New Roman" w:hAnsi="Times New Roman" w:cs="Times New Roman"/>
          <w:b/>
          <w:sz w:val="24"/>
          <w:szCs w:val="24"/>
        </w:rPr>
        <w:t>DEMONSTRATING THE APPROACH VIA A HYPOTHETICAL NARRATIVE</w:t>
      </w:r>
    </w:p>
    <w:p w:rsidR="008D7722" w:rsidRPr="008D7722" w:rsidRDefault="008D7722">
      <w:pPr>
        <w:rPr>
          <w:rFonts w:ascii="Times New Roman" w:hAnsi="Times New Roman" w:cs="Times New Roman"/>
          <w:b/>
          <w:sz w:val="24"/>
          <w:szCs w:val="24"/>
        </w:rPr>
      </w:pPr>
      <w:r>
        <w:rPr>
          <w:rFonts w:ascii="Times New Roman" w:hAnsi="Times New Roman" w:cs="Times New Roman"/>
          <w:b/>
          <w:sz w:val="24"/>
          <w:szCs w:val="24"/>
        </w:rPr>
        <w:t>Client 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1"/>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1"/>
      <w:r w:rsidRPr="004D3FA8">
        <w:rPr>
          <w:rStyle w:val="CommentReference"/>
          <w:rFonts w:ascii="Times New Roman" w:hAnsi="Times New Roman" w:cs="Times New Roman"/>
          <w:sz w:val="24"/>
          <w:szCs w:val="24"/>
        </w:rPr>
        <w:commentReference w:id="1"/>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 xml:space="preserve">The software assumes the Probability Density Function is piecewise linear between the scenarios. It produces simulations by drawing from a Uniform Random distribution and using the Inverse Cumulative Density function of the distribution to map these simulated probabilities to </w:t>
      </w:r>
      <w:r w:rsidRPr="004D3FA8">
        <w:rPr>
          <w:rFonts w:ascii="Times New Roman" w:hAnsi="Times New Roman" w:cs="Times New Roman"/>
          <w:sz w:val="24"/>
          <w:szCs w:val="24"/>
        </w:rPr>
        <w:lastRenderedPageBreak/>
        <w:t>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CD1DAD">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r>
        <w:rPr>
          <w:rFonts w:ascii="Times New Roman" w:hAnsi="Times New Roman" w:cs="Times New Roman"/>
          <w:b/>
          <w:sz w:val="24"/>
          <w:szCs w:val="24"/>
        </w:rPr>
        <w:t>: CREATING CASH FLOW FORECASTS, INVESTMENT FORECASTS, AND SIMULATIONS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133D27" w:rsidRDefault="007E6C4A">
      <w:pPr>
        <w:rPr>
          <w:rFonts w:ascii="Times New Roman" w:hAnsi="Times New Roman" w:cs="Times New Roman"/>
          <w:b/>
          <w:sz w:val="24"/>
          <w:szCs w:val="24"/>
        </w:rPr>
      </w:pPr>
      <w:r w:rsidRPr="00133D27">
        <w:rPr>
          <w:rFonts w:ascii="Times New Roman" w:hAnsi="Times New Roman" w:cs="Times New Roman"/>
          <w:b/>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5A2D9C" w:rsidRDefault="005A2D9C">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5A2D9C"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5A2D9C"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5A2D9C"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m:t>
          </m:r>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m:rPr>
            <m:sty m:val="p"/>
          </m:rP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Scenario 1 Excess Kurtosis=</m:t>
          </m:r>
          <m:f>
            <m:fPr>
              <m:ctrlPr>
                <w:rPr>
                  <w:rFonts w:ascii="Cambria Math" w:hAnsi="Cambria Math" w:cs="Times New Roman"/>
                  <w:i/>
                  <w:sz w:val="24"/>
                  <w:szCs w:val="24"/>
                </w:rPr>
              </m:ctrlPr>
            </m:fPr>
            <m:num>
              <m:r>
                <w:rPr>
                  <w:rFonts w:ascii="Cambria Math" w:hAnsi="Cambria Math" w:cs="Times New Roman"/>
                  <w:sz w:val="24"/>
                  <w:szCs w:val="24"/>
                </w:rPr>
                <m:t>1-6*.2*.8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Scenario 2 Excess Kurtosis=</m:t>
          </m:r>
          <m:f>
            <m:fPr>
              <m:ctrlPr>
                <w:rPr>
                  <w:rFonts w:ascii="Cambria Math" w:hAnsi="Cambria Math" w:cs="Times New Roman"/>
                  <w:i/>
                  <w:sz w:val="24"/>
                  <w:szCs w:val="24"/>
                </w:rPr>
              </m:ctrlPr>
            </m:fPr>
            <m:num>
              <m:r>
                <w:rPr>
                  <w:rFonts w:ascii="Cambria Math" w:hAnsi="Cambria Math" w:cs="Times New Roman"/>
                  <w:sz w:val="24"/>
                  <w:szCs w:val="24"/>
                </w:rPr>
                <m:t>1-6*.5*.5</m:t>
              </m:r>
            </m:num>
            <m:den>
              <m:r>
                <w:rPr>
                  <w:rFonts w:ascii="Cambria Math" w:hAnsi="Cambria Math" w:cs="Times New Roman"/>
                  <w:sz w:val="24"/>
                  <w:szCs w:val="24"/>
                </w:rPr>
                <m:t>.5(.5)</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5A2D9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5A2D9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5A2D9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5A2D9C"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5A2D9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5A2D9C"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5A2D9C"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5A2D9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5A2D9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5A2D9C"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5A2D9C"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5A2D9C"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5A2D9C"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5A2D9C"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5A2D9C"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5A2D9C"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5A2D9C"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5A2D9C"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5A2D9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5A2D9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5A2D9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5A2D9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5A2D9C"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r>
                <w:rPr>
                  <w:rFonts w:ascii="Cambria Math" w:hAnsi="Cambria Math" w:cs="Times New Roman"/>
                  <w:sz w:val="24"/>
                  <w:szCs w:val="24"/>
                </w:rPr>
                <m:t>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5A2D9C"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5A2D9C"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5A2D9C"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5A2D9C"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5A2D9C"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5A2D9C"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CB130B" w:rsidRDefault="00CB13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50ADD" w:rsidRDefault="00CB130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A9627E" w:rsidRPr="00A9627E" w:rsidRDefault="00A9627E">
      <w:pPr>
        <w:rPr>
          <w:rFonts w:ascii="Times New Roman" w:eastAsiaTheme="minorEastAsia" w:hAnsi="Times New Roman" w:cs="Times New Roman"/>
          <w:sz w:val="24"/>
          <w:szCs w:val="24"/>
          <w:highlight w:val="yellow"/>
        </w:rPr>
      </w:pPr>
      <w:r w:rsidRPr="00A9627E">
        <w:rPr>
          <w:rFonts w:ascii="Times New Roman" w:eastAsiaTheme="minorEastAsia" w:hAnsi="Times New Roman" w:cs="Times New Roman"/>
          <w:sz w:val="24"/>
          <w:szCs w:val="24"/>
          <w:highlight w:val="yellow"/>
        </w:rPr>
        <w:t xml:space="preserve">Brier, G. W., (1950) Verification of Forecasts Expressed in Terms of Probability. Mon. </w:t>
      </w:r>
      <w:proofErr w:type="spellStart"/>
      <w:r w:rsidRPr="00A9627E">
        <w:rPr>
          <w:rFonts w:ascii="Times New Roman" w:eastAsiaTheme="minorEastAsia" w:hAnsi="Times New Roman" w:cs="Times New Roman"/>
          <w:sz w:val="24"/>
          <w:szCs w:val="24"/>
          <w:highlight w:val="yellow"/>
        </w:rPr>
        <w:t>Wea</w:t>
      </w:r>
      <w:proofErr w:type="spellEnd"/>
      <w:r w:rsidRPr="00A9627E">
        <w:rPr>
          <w:rFonts w:ascii="Times New Roman" w:eastAsiaTheme="minorEastAsia" w:hAnsi="Times New Roman" w:cs="Times New Roman"/>
          <w:sz w:val="24"/>
          <w:szCs w:val="24"/>
          <w:highlight w:val="yellow"/>
        </w:rPr>
        <w:t>. Rev. (78), 1-3.</w:t>
      </w:r>
    </w:p>
    <w:p w:rsidR="00CB130B" w:rsidRPr="004D3689" w:rsidRDefault="00CB130B">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 xml:space="preserve">L. P Brunel, Jean. (2003). Revisiting the Asset Allocation Challenge </w:t>
      </w:r>
      <w:proofErr w:type="gramStart"/>
      <w:r w:rsidRPr="004D3689">
        <w:rPr>
          <w:rFonts w:ascii="Times New Roman" w:eastAsiaTheme="minorEastAsia" w:hAnsi="Times New Roman" w:cs="Times New Roman"/>
          <w:sz w:val="24"/>
          <w:szCs w:val="24"/>
          <w:highlight w:val="yellow"/>
        </w:rPr>
        <w:t>Through</w:t>
      </w:r>
      <w:proofErr w:type="gramEnd"/>
      <w:r w:rsidRPr="004D3689">
        <w:rPr>
          <w:rFonts w:ascii="Times New Roman" w:eastAsiaTheme="minorEastAsia" w:hAnsi="Times New Roman" w:cs="Times New Roman"/>
          <w:sz w:val="24"/>
          <w:szCs w:val="24"/>
          <w:highlight w:val="yellow"/>
        </w:rPr>
        <w:t xml:space="preserve"> a Behavioral Finance Lens.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6. 10-20. 10.3905/jwm.2003.320479.</w:t>
      </w:r>
    </w:p>
    <w:p w:rsidR="00494DC0" w:rsidRPr="004D3689" w:rsidRDefault="00494DC0">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Brunel, Jean L. P</w:t>
      </w:r>
      <w:proofErr w:type="gramStart"/>
      <w:r w:rsidRPr="004D3689">
        <w:rPr>
          <w:rFonts w:ascii="Times New Roman" w:eastAsiaTheme="minorEastAsia" w:hAnsi="Times New Roman" w:cs="Times New Roman"/>
          <w:sz w:val="24"/>
          <w:szCs w:val="24"/>
          <w:highlight w:val="yellow"/>
        </w:rPr>
        <w:t>.(</w:t>
      </w:r>
      <w:proofErr w:type="gramEnd"/>
      <w:r w:rsidR="006F03C7" w:rsidRPr="004D3689">
        <w:rPr>
          <w:rFonts w:ascii="Times New Roman" w:eastAsiaTheme="minorEastAsia" w:hAnsi="Times New Roman" w:cs="Times New Roman"/>
          <w:sz w:val="24"/>
          <w:szCs w:val="24"/>
          <w:highlight w:val="yellow"/>
        </w:rPr>
        <w:t>2005</w:t>
      </w:r>
      <w:r w:rsidRPr="004D3689">
        <w:rPr>
          <w:rFonts w:ascii="Times New Roman" w:eastAsiaTheme="minorEastAsia" w:hAnsi="Times New Roman" w:cs="Times New Roman"/>
          <w:sz w:val="24"/>
          <w:szCs w:val="24"/>
          <w:highlight w:val="yellow"/>
        </w:rPr>
        <w:t>), A Behavioral Finance Approach to Strategic Asset Allocation: A Case Study (Winter 2005-2006). Journal of Investment Consulting, Vol. 7, No. 3, pp. 61-69, Winter 2005-2006.</w:t>
      </w:r>
    </w:p>
    <w:p w:rsidR="00C34DCF" w:rsidRDefault="00C34DCF">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L. P Brunel, Jean. (2006). How </w:t>
      </w:r>
      <w:proofErr w:type="spellStart"/>
      <w:r w:rsidRPr="004D3689">
        <w:rPr>
          <w:rFonts w:ascii="Times New Roman" w:eastAsiaTheme="minorEastAsia" w:hAnsi="Times New Roman" w:cs="Times New Roman"/>
          <w:sz w:val="24"/>
          <w:szCs w:val="24"/>
          <w:highlight w:val="yellow"/>
        </w:rPr>
        <w:t>SubOptimal</w:t>
      </w:r>
      <w:proofErr w:type="spellEnd"/>
      <w:r w:rsidRPr="004D3689">
        <w:rPr>
          <w:rFonts w:ascii="Times New Roman" w:eastAsiaTheme="minorEastAsia" w:hAnsi="Times New Roman" w:cs="Times New Roman"/>
          <w:sz w:val="24"/>
          <w:szCs w:val="24"/>
          <w:highlight w:val="yellow"/>
        </w:rPr>
        <w:t>—If at All—Is Goal-Based Asset Allocation</w:t>
      </w:r>
      <w:proofErr w:type="gramStart"/>
      <w:r w:rsidRPr="004D3689">
        <w:rPr>
          <w:rFonts w:ascii="Times New Roman" w:eastAsiaTheme="minorEastAsia" w:hAnsi="Times New Roman" w:cs="Times New Roman"/>
          <w:sz w:val="24"/>
          <w:szCs w:val="24"/>
          <w:highlight w:val="yellow"/>
        </w:rPr>
        <w: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9. 19-34. 10.3905/jwm.2006.644216.</w:t>
      </w:r>
    </w:p>
    <w:p w:rsidR="004D3689" w:rsidRDefault="00474050">
      <w:pPr>
        <w:rPr>
          <w:rFonts w:ascii="Times New Roman" w:eastAsiaTheme="minorEastAsia" w:hAnsi="Times New Roman" w:cs="Times New Roman"/>
          <w:sz w:val="24"/>
          <w:szCs w:val="24"/>
        </w:rPr>
      </w:pPr>
      <w:r w:rsidRPr="00474050">
        <w:rPr>
          <w:rFonts w:ascii="Times New Roman" w:eastAsiaTheme="minorEastAsia" w:hAnsi="Times New Roman" w:cs="Times New Roman"/>
          <w:sz w:val="24"/>
          <w:szCs w:val="24"/>
          <w:highlight w:val="yellow"/>
        </w:rPr>
        <w:t>Brunel, J. L. P. (2015). Goals-Based Wealth Management: An Integrated and Practical Approach to Changing the Structure of Wealth Advisory Practices, Wiley &amp; Sons, New Jersey.</w:t>
      </w:r>
    </w:p>
    <w:p w:rsidR="00C34DCF" w:rsidRDefault="00494DC0">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B. Chhabra, </w:t>
      </w:r>
      <w:proofErr w:type="spellStart"/>
      <w:r w:rsidRPr="004D3689">
        <w:rPr>
          <w:rFonts w:ascii="Times New Roman" w:eastAsiaTheme="minorEastAsia" w:hAnsi="Times New Roman" w:cs="Times New Roman"/>
          <w:sz w:val="24"/>
          <w:szCs w:val="24"/>
          <w:highlight w:val="yellow"/>
        </w:rPr>
        <w:t>Ashvin</w:t>
      </w:r>
      <w:proofErr w:type="spellEnd"/>
      <w:r w:rsidRPr="004D3689">
        <w:rPr>
          <w:rFonts w:ascii="Times New Roman" w:eastAsiaTheme="minorEastAsia" w:hAnsi="Times New Roman" w:cs="Times New Roman"/>
          <w:sz w:val="24"/>
          <w:szCs w:val="24"/>
          <w:highlight w:val="yellow"/>
        </w:rPr>
        <w:t xml:space="preserve">. (2005). Beyond Markowitz: A Comprehensive Wealth Allocation Framework for Individual Investors. </w:t>
      </w:r>
      <w:proofErr w:type="gramStart"/>
      <w:r w:rsidRPr="004D3689">
        <w:rPr>
          <w:rFonts w:ascii="Times New Roman" w:eastAsiaTheme="minorEastAsia" w:hAnsi="Times New Roman" w:cs="Times New Roman"/>
          <w:sz w:val="24"/>
          <w:szCs w:val="24"/>
          <w:highlight w:val="yellow"/>
        </w:rPr>
        <w:t>Journal of Wealth Management.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7. 10.3905/jwm.2005.470606.</w:t>
      </w:r>
      <w:proofErr w:type="gramEnd"/>
    </w:p>
    <w:p w:rsidR="00DB253C" w:rsidRPr="003E30C7" w:rsidRDefault="00DB253C">
      <w:pPr>
        <w:rPr>
          <w:rFonts w:ascii="Times New Roman" w:eastAsiaTheme="minorEastAsia" w:hAnsi="Times New Roman" w:cs="Times New Roman"/>
          <w:sz w:val="24"/>
          <w:szCs w:val="24"/>
          <w:highlight w:val="yellow"/>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Harry Markowitz, Jonathan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and Meir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w:t>
      </w:r>
      <w:proofErr w:type="gramEnd"/>
      <w:r w:rsidRPr="003E30C7">
        <w:rPr>
          <w:rFonts w:ascii="Times New Roman" w:eastAsiaTheme="minorEastAsia" w:hAnsi="Times New Roman" w:cs="Times New Roman"/>
          <w:sz w:val="24"/>
          <w:szCs w:val="24"/>
          <w:highlight w:val="yellow"/>
        </w:rPr>
        <w:t xml:space="preserve"> </w:t>
      </w:r>
      <w:proofErr w:type="gramStart"/>
      <w:r w:rsidRPr="003E30C7">
        <w:rPr>
          <w:rFonts w:ascii="Times New Roman" w:eastAsiaTheme="minorEastAsia" w:hAnsi="Times New Roman" w:cs="Times New Roman"/>
          <w:sz w:val="24"/>
          <w:szCs w:val="24"/>
          <w:highlight w:val="yellow"/>
        </w:rPr>
        <w:t>"Portfolio Optimization with Mental Accounts."</w:t>
      </w:r>
      <w:proofErr w:type="gramEnd"/>
      <w:r w:rsidRPr="003E30C7">
        <w:rPr>
          <w:rFonts w:ascii="Times New Roman" w:eastAsiaTheme="minorEastAsia" w:hAnsi="Times New Roman" w:cs="Times New Roman"/>
          <w:sz w:val="24"/>
          <w:szCs w:val="24"/>
          <w:highlight w:val="yellow"/>
        </w:rPr>
        <w:t xml:space="preserve"> The Journal of Financial and Quantitative Analysis 45, no. 2 (2010): 311-34. http://www.jstor.org/stable/27801487.</w:t>
      </w:r>
    </w:p>
    <w:p w:rsidR="00414760" w:rsidRDefault="00414760">
      <w:pPr>
        <w:rPr>
          <w:rFonts w:ascii="Times New Roman" w:eastAsiaTheme="minorEastAsia" w:hAnsi="Times New Roman" w:cs="Times New Roman"/>
          <w:sz w:val="24"/>
          <w:szCs w:val="24"/>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&amp; Markowitz, Harry &amp;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Jonathan &amp;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 Meir.</w:t>
      </w:r>
      <w:proofErr w:type="gramEnd"/>
      <w:r w:rsidRPr="003E30C7">
        <w:rPr>
          <w:rFonts w:ascii="Times New Roman" w:eastAsiaTheme="minorEastAsia" w:hAnsi="Times New Roman" w:cs="Times New Roman"/>
          <w:sz w:val="24"/>
          <w:szCs w:val="24"/>
          <w:highlight w:val="yellow"/>
        </w:rPr>
        <w:t xml:space="preserve"> (2011). Portfolios for Investors Who Want to Reach Their Goals While Staying on the Mean–Variance Efficient Frontier. </w:t>
      </w:r>
      <w:proofErr w:type="gramStart"/>
      <w:r w:rsidRPr="003E30C7">
        <w:rPr>
          <w:rFonts w:ascii="Times New Roman" w:eastAsiaTheme="minorEastAsia" w:hAnsi="Times New Roman" w:cs="Times New Roman"/>
          <w:sz w:val="24"/>
          <w:szCs w:val="24"/>
          <w:highlight w:val="yellow"/>
        </w:rPr>
        <w:t>The Journal of Wealth Management.</w:t>
      </w:r>
      <w:proofErr w:type="gramEnd"/>
      <w:r w:rsidRPr="003E30C7">
        <w:rPr>
          <w:rFonts w:ascii="Times New Roman" w:eastAsiaTheme="minorEastAsia" w:hAnsi="Times New Roman" w:cs="Times New Roman"/>
          <w:sz w:val="24"/>
          <w:szCs w:val="24"/>
          <w:highlight w:val="yellow"/>
        </w:rPr>
        <w:t xml:space="preserve"> 14. 25-31. 10.3905/jwm.2011.14.2.025.</w:t>
      </w:r>
    </w:p>
    <w:p w:rsidR="003500AC" w:rsidRDefault="003500AC">
      <w:pPr>
        <w:rPr>
          <w:rFonts w:ascii="Times New Roman" w:eastAsiaTheme="minorEastAsia" w:hAnsi="Times New Roman" w:cs="Times New Roman"/>
          <w:sz w:val="24"/>
          <w:szCs w:val="24"/>
        </w:rPr>
      </w:pPr>
      <w:r w:rsidRPr="003500AC">
        <w:rPr>
          <w:rFonts w:ascii="Times New Roman" w:eastAsiaTheme="minorEastAsia" w:hAnsi="Times New Roman" w:cs="Times New Roman"/>
          <w:sz w:val="24"/>
          <w:szCs w:val="24"/>
          <w:highlight w:val="yellow"/>
        </w:rPr>
        <w:t xml:space="preserve">Engle, Robert F. "Autoregressive Conditional Heteroscedasticity with Estimates of the Variance of United Kingdom Inflation." </w:t>
      </w:r>
      <w:proofErr w:type="spellStart"/>
      <w:r w:rsidRPr="003500AC">
        <w:rPr>
          <w:rFonts w:ascii="Times New Roman" w:eastAsiaTheme="minorEastAsia" w:hAnsi="Times New Roman" w:cs="Times New Roman"/>
          <w:sz w:val="24"/>
          <w:szCs w:val="24"/>
          <w:highlight w:val="yellow"/>
        </w:rPr>
        <w:t>Econometrica</w:t>
      </w:r>
      <w:proofErr w:type="spellEnd"/>
      <w:r w:rsidRPr="003500AC">
        <w:rPr>
          <w:rFonts w:ascii="Times New Roman" w:eastAsiaTheme="minorEastAsia" w:hAnsi="Times New Roman" w:cs="Times New Roman"/>
          <w:sz w:val="24"/>
          <w:szCs w:val="24"/>
          <w:highlight w:val="yellow"/>
        </w:rPr>
        <w:t xml:space="preserve"> 50, no. 4 (1982): 987-1007. </w:t>
      </w:r>
      <w:proofErr w:type="gramStart"/>
      <w:r w:rsidRPr="003500AC">
        <w:rPr>
          <w:rFonts w:ascii="Times New Roman" w:eastAsiaTheme="minorEastAsia" w:hAnsi="Times New Roman" w:cs="Times New Roman"/>
          <w:sz w:val="24"/>
          <w:szCs w:val="24"/>
          <w:highlight w:val="yellow"/>
        </w:rPr>
        <w:t>doi:</w:t>
      </w:r>
      <w:proofErr w:type="gramEnd"/>
      <w:r w:rsidRPr="003500AC">
        <w:rPr>
          <w:rFonts w:ascii="Times New Roman" w:eastAsiaTheme="minorEastAsia" w:hAnsi="Times New Roman" w:cs="Times New Roman"/>
          <w:sz w:val="24"/>
          <w:szCs w:val="24"/>
          <w:highlight w:val="yellow"/>
        </w:rPr>
        <w:t>10.2307/1912773</w:t>
      </w:r>
      <w:r w:rsidRPr="003500AC">
        <w:rPr>
          <w:rFonts w:ascii="Times New Roman" w:eastAsiaTheme="minorEastAsia" w:hAnsi="Times New Roman" w:cs="Times New Roman"/>
          <w:sz w:val="24"/>
          <w:szCs w:val="24"/>
        </w:rPr>
        <w:t>.</w:t>
      </w:r>
    </w:p>
    <w:p w:rsidR="00CB130B" w:rsidRDefault="00CB130B">
      <w:pPr>
        <w:rPr>
          <w:rFonts w:ascii="Times New Roman" w:eastAsiaTheme="minorEastAsia" w:hAnsi="Times New Roman" w:cs="Times New Roman"/>
          <w:sz w:val="24"/>
          <w:szCs w:val="24"/>
        </w:rPr>
      </w:pPr>
      <w:r w:rsidRPr="00BD74BE">
        <w:rPr>
          <w:rFonts w:ascii="Times New Roman" w:eastAsiaTheme="minorEastAsia" w:hAnsi="Times New Roman" w:cs="Times New Roman"/>
          <w:sz w:val="24"/>
          <w:szCs w:val="24"/>
          <w:highlight w:val="yellow"/>
        </w:rPr>
        <w:t xml:space="preserve">Nevins, Daniel. (2004). Goals-Based Investing: Integrating Traditional and Behavioral Finance. </w:t>
      </w:r>
      <w:proofErr w:type="gramStart"/>
      <w:r w:rsidRPr="00BD74BE">
        <w:rPr>
          <w:rFonts w:ascii="Times New Roman" w:eastAsiaTheme="minorEastAsia" w:hAnsi="Times New Roman" w:cs="Times New Roman"/>
          <w:sz w:val="24"/>
          <w:szCs w:val="24"/>
          <w:highlight w:val="yellow"/>
        </w:rPr>
        <w:t>The Journal of Wealth Management.</w:t>
      </w:r>
      <w:proofErr w:type="gramEnd"/>
      <w:r w:rsidRPr="00BD74BE">
        <w:rPr>
          <w:rFonts w:ascii="Times New Roman" w:eastAsiaTheme="minorEastAsia" w:hAnsi="Times New Roman" w:cs="Times New Roman"/>
          <w:sz w:val="24"/>
          <w:szCs w:val="24"/>
          <w:highlight w:val="yellow"/>
        </w:rPr>
        <w:t xml:space="preserve"> 6. 8-23. 10.3905/jwm.2004.391053.</w:t>
      </w:r>
    </w:p>
    <w:p w:rsidR="00570D5F" w:rsidRDefault="00570D5F">
      <w:pPr>
        <w:rPr>
          <w:rFonts w:ascii="Times New Roman" w:eastAsiaTheme="minorEastAsia" w:hAnsi="Times New Roman" w:cs="Times New Roman"/>
          <w:sz w:val="24"/>
          <w:szCs w:val="24"/>
        </w:rPr>
      </w:pPr>
      <w:r w:rsidRPr="00524F64">
        <w:rPr>
          <w:rFonts w:ascii="Times New Roman" w:eastAsiaTheme="minorEastAsia" w:hAnsi="Times New Roman" w:cs="Times New Roman"/>
          <w:sz w:val="24"/>
          <w:szCs w:val="24"/>
          <w:highlight w:val="yellow"/>
        </w:rPr>
        <w:t xml:space="preserve">M. POMPIAN, MICHAEL &amp; M. LONGO, JOHN. (2004). A New Paradigm for Practical Application of Behavioral Finance: Creating Investment Programs Based on Personality Type and Gender to Produce Better Investment Outcomes. </w:t>
      </w:r>
      <w:proofErr w:type="gramStart"/>
      <w:r w:rsidRPr="00524F64">
        <w:rPr>
          <w:rFonts w:ascii="Times New Roman" w:eastAsiaTheme="minorEastAsia" w:hAnsi="Times New Roman" w:cs="Times New Roman"/>
          <w:sz w:val="24"/>
          <w:szCs w:val="24"/>
          <w:highlight w:val="yellow"/>
        </w:rPr>
        <w:t>The Journal of Wealth Management.</w:t>
      </w:r>
      <w:proofErr w:type="gramEnd"/>
      <w:r w:rsidRPr="00524F64">
        <w:rPr>
          <w:rFonts w:ascii="Times New Roman" w:eastAsiaTheme="minorEastAsia" w:hAnsi="Times New Roman" w:cs="Times New Roman"/>
          <w:sz w:val="24"/>
          <w:szCs w:val="24"/>
          <w:highlight w:val="yellow"/>
        </w:rPr>
        <w:t xml:space="preserve"> 7. 9-15. 10.3905/jwm.2004.434561.</w:t>
      </w:r>
    </w:p>
    <w:p w:rsidR="002C49CD" w:rsidRPr="002C49CD" w:rsidRDefault="002C49CD">
      <w:pPr>
        <w:rPr>
          <w:rFonts w:ascii="Times New Roman" w:eastAsiaTheme="minorEastAsia" w:hAnsi="Times New Roman" w:cs="Times New Roman"/>
          <w:sz w:val="24"/>
          <w:szCs w:val="24"/>
          <w:highlight w:val="yellow"/>
        </w:rPr>
      </w:pPr>
      <w:r w:rsidRPr="002C49CD">
        <w:rPr>
          <w:rFonts w:ascii="Times New Roman" w:eastAsiaTheme="minorEastAsia" w:hAnsi="Times New Roman" w:cs="Times New Roman"/>
          <w:sz w:val="24"/>
          <w:szCs w:val="24"/>
          <w:highlight w:val="yellow"/>
        </w:rPr>
        <w:t xml:space="preserve">Sironi, Paolo. Modern Portfolio Management: From Markowitz to Probabilistic Scenario </w:t>
      </w:r>
      <w:proofErr w:type="spellStart"/>
      <w:r w:rsidRPr="002C49CD">
        <w:rPr>
          <w:rFonts w:ascii="Times New Roman" w:eastAsiaTheme="minorEastAsia" w:hAnsi="Times New Roman" w:cs="Times New Roman"/>
          <w:sz w:val="24"/>
          <w:szCs w:val="24"/>
          <w:highlight w:val="yellow"/>
        </w:rPr>
        <w:t>Optimisation</w:t>
      </w:r>
      <w:proofErr w:type="spellEnd"/>
      <w:r w:rsidRPr="002C49CD">
        <w:rPr>
          <w:rFonts w:ascii="Times New Roman" w:eastAsiaTheme="minorEastAsia" w:hAnsi="Times New Roman" w:cs="Times New Roman"/>
          <w:sz w:val="24"/>
          <w:szCs w:val="24"/>
          <w:highlight w:val="yellow"/>
        </w:rPr>
        <w:t xml:space="preserve">. </w:t>
      </w:r>
      <w:proofErr w:type="gramStart"/>
      <w:r w:rsidRPr="002C49CD">
        <w:rPr>
          <w:rFonts w:ascii="Times New Roman" w:eastAsiaTheme="minorEastAsia" w:hAnsi="Times New Roman" w:cs="Times New Roman"/>
          <w:sz w:val="24"/>
          <w:szCs w:val="24"/>
          <w:highlight w:val="yellow"/>
        </w:rPr>
        <w:t>Risk books, 2015.</w:t>
      </w:r>
      <w:proofErr w:type="gramEnd"/>
    </w:p>
    <w:p w:rsidR="001F5051" w:rsidRDefault="00637169">
      <w:pPr>
        <w:rPr>
          <w:rFonts w:ascii="Times New Roman" w:eastAsiaTheme="minorEastAsia" w:hAnsi="Times New Roman" w:cs="Times New Roman"/>
          <w:sz w:val="24"/>
          <w:szCs w:val="24"/>
        </w:rPr>
      </w:pPr>
      <w:proofErr w:type="spellStart"/>
      <w:proofErr w:type="gramStart"/>
      <w:r w:rsidRPr="00BD74BE">
        <w:rPr>
          <w:rFonts w:ascii="Times New Roman" w:eastAsiaTheme="minorEastAsia" w:hAnsi="Times New Roman" w:cs="Times New Roman"/>
          <w:sz w:val="24"/>
          <w:szCs w:val="24"/>
          <w:highlight w:val="yellow"/>
        </w:rPr>
        <w:lastRenderedPageBreak/>
        <w:t>Shefrin</w:t>
      </w:r>
      <w:proofErr w:type="spellEnd"/>
      <w:r w:rsidRPr="00BD74BE">
        <w:rPr>
          <w:rFonts w:ascii="Times New Roman" w:eastAsiaTheme="minorEastAsia" w:hAnsi="Times New Roman" w:cs="Times New Roman"/>
          <w:sz w:val="24"/>
          <w:szCs w:val="24"/>
          <w:highlight w:val="yellow"/>
        </w:rPr>
        <w:t xml:space="preserve">, </w:t>
      </w:r>
      <w:proofErr w:type="spellStart"/>
      <w:r w:rsidRPr="00BD74BE">
        <w:rPr>
          <w:rFonts w:ascii="Times New Roman" w:eastAsiaTheme="minorEastAsia" w:hAnsi="Times New Roman" w:cs="Times New Roman"/>
          <w:sz w:val="24"/>
          <w:szCs w:val="24"/>
          <w:highlight w:val="yellow"/>
        </w:rPr>
        <w:t>Hersh</w:t>
      </w:r>
      <w:proofErr w:type="spellEnd"/>
      <w:r w:rsidRPr="00BD74BE">
        <w:rPr>
          <w:rFonts w:ascii="Times New Roman" w:eastAsiaTheme="minorEastAsia" w:hAnsi="Times New Roman" w:cs="Times New Roman"/>
          <w:sz w:val="24"/>
          <w:szCs w:val="24"/>
          <w:highlight w:val="yellow"/>
        </w:rPr>
        <w:t xml:space="preserve"> &amp; </w:t>
      </w:r>
      <w:proofErr w:type="spellStart"/>
      <w:r w:rsidRPr="00BD74BE">
        <w:rPr>
          <w:rFonts w:ascii="Times New Roman" w:eastAsiaTheme="minorEastAsia" w:hAnsi="Times New Roman" w:cs="Times New Roman"/>
          <w:sz w:val="24"/>
          <w:szCs w:val="24"/>
          <w:highlight w:val="yellow"/>
        </w:rPr>
        <w:t>Statman</w:t>
      </w:r>
      <w:proofErr w:type="spellEnd"/>
      <w:r w:rsidRPr="00BD74BE">
        <w:rPr>
          <w:rFonts w:ascii="Times New Roman" w:eastAsiaTheme="minorEastAsia" w:hAnsi="Times New Roman" w:cs="Times New Roman"/>
          <w:sz w:val="24"/>
          <w:szCs w:val="24"/>
          <w:highlight w:val="yellow"/>
        </w:rPr>
        <w:t>, Meir.</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(2000). Behavioral Portfolio Theory.</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Journal of Financial and Quantitative Analysis.</w:t>
      </w:r>
      <w:proofErr w:type="gramEnd"/>
      <w:r w:rsidRPr="00BD74BE">
        <w:rPr>
          <w:rFonts w:ascii="Times New Roman" w:eastAsiaTheme="minorEastAsia" w:hAnsi="Times New Roman" w:cs="Times New Roman"/>
          <w:sz w:val="24"/>
          <w:szCs w:val="24"/>
          <w:highlight w:val="yellow"/>
        </w:rPr>
        <w:t xml:space="preserve"> 35. 127-151. </w:t>
      </w:r>
      <w:proofErr w:type="gramStart"/>
      <w:r w:rsidRPr="00BD74BE">
        <w:rPr>
          <w:rFonts w:ascii="Times New Roman" w:eastAsiaTheme="minorEastAsia" w:hAnsi="Times New Roman" w:cs="Times New Roman"/>
          <w:sz w:val="24"/>
          <w:szCs w:val="24"/>
          <w:highlight w:val="yellow"/>
        </w:rPr>
        <w:t>10.2307/2676187.</w:t>
      </w:r>
      <w:proofErr w:type="gramEnd"/>
    </w:p>
    <w:p w:rsidR="00E72D7D" w:rsidRDefault="00E72D7D">
      <w:pPr>
        <w:rPr>
          <w:rFonts w:ascii="Times New Roman" w:eastAsiaTheme="minorEastAsia" w:hAnsi="Times New Roman" w:cs="Times New Roman"/>
          <w:sz w:val="24"/>
          <w:szCs w:val="24"/>
        </w:rPr>
      </w:pPr>
      <w:r w:rsidRPr="00E72D7D">
        <w:rPr>
          <w:rFonts w:ascii="Times New Roman" w:eastAsiaTheme="minorEastAsia" w:hAnsi="Times New Roman" w:cs="Times New Roman"/>
          <w:sz w:val="24"/>
          <w:szCs w:val="24"/>
          <w:highlight w:val="yellow"/>
        </w:rPr>
        <w:t xml:space="preserve">Shenoy, C. and P. P. Shenoy (2000), "Bayesian Network Models of Portfolio Risk and Return," in Y. S. Abu-Mostafa, B. </w:t>
      </w:r>
      <w:proofErr w:type="spellStart"/>
      <w:r w:rsidRPr="00E72D7D">
        <w:rPr>
          <w:rFonts w:ascii="Times New Roman" w:eastAsiaTheme="minorEastAsia" w:hAnsi="Times New Roman" w:cs="Times New Roman"/>
          <w:sz w:val="24"/>
          <w:szCs w:val="24"/>
          <w:highlight w:val="yellow"/>
        </w:rPr>
        <w:t>LeBaron</w:t>
      </w:r>
      <w:proofErr w:type="spellEnd"/>
      <w:r w:rsidRPr="00E72D7D">
        <w:rPr>
          <w:rFonts w:ascii="Times New Roman" w:eastAsiaTheme="minorEastAsia" w:hAnsi="Times New Roman" w:cs="Times New Roman"/>
          <w:sz w:val="24"/>
          <w:szCs w:val="24"/>
          <w:highlight w:val="yellow"/>
        </w:rPr>
        <w:t xml:space="preserve">, A W. Lo, and A. S. </w:t>
      </w:r>
      <w:proofErr w:type="spellStart"/>
      <w:r w:rsidRPr="00E72D7D">
        <w:rPr>
          <w:rFonts w:ascii="Times New Roman" w:eastAsiaTheme="minorEastAsia" w:hAnsi="Times New Roman" w:cs="Times New Roman"/>
          <w:sz w:val="24"/>
          <w:szCs w:val="24"/>
          <w:highlight w:val="yellow"/>
        </w:rPr>
        <w:t>Weigand</w:t>
      </w:r>
      <w:proofErr w:type="spellEnd"/>
      <w:r w:rsidRPr="00E72D7D">
        <w:rPr>
          <w:rFonts w:ascii="Times New Roman" w:eastAsiaTheme="minorEastAsia" w:hAnsi="Times New Roman" w:cs="Times New Roman"/>
          <w:sz w:val="24"/>
          <w:szCs w:val="24"/>
          <w:highlight w:val="yellow"/>
        </w:rPr>
        <w:t xml:space="preserve"> (eds.), Computational Finance 1999, pp. 87--106, The MIT Press, Cambridge, MA.</w:t>
      </w:r>
    </w:p>
    <w:p w:rsidR="009F2920" w:rsidRPr="00837872" w:rsidRDefault="009F2920" w:rsidP="009F2920">
      <w:pPr>
        <w:rPr>
          <w:rFonts w:ascii="Times New Roman" w:eastAsiaTheme="minorEastAsia" w:hAnsi="Times New Roman" w:cs="Times New Roman"/>
          <w:sz w:val="24"/>
          <w:szCs w:val="24"/>
        </w:rPr>
      </w:pPr>
      <w:proofErr w:type="gramStart"/>
      <w:r w:rsidRPr="009F2920">
        <w:rPr>
          <w:rFonts w:ascii="Times New Roman" w:eastAsiaTheme="minorEastAsia" w:hAnsi="Times New Roman" w:cs="Times New Roman"/>
          <w:sz w:val="24"/>
          <w:szCs w:val="24"/>
          <w:highlight w:val="yellow"/>
        </w:rPr>
        <w:t xml:space="preserve">Philip E. </w:t>
      </w:r>
      <w:proofErr w:type="spellStart"/>
      <w:r w:rsidRPr="009F2920">
        <w:rPr>
          <w:rFonts w:ascii="Times New Roman" w:eastAsiaTheme="minorEastAsia" w:hAnsi="Times New Roman" w:cs="Times New Roman"/>
          <w:sz w:val="24"/>
          <w:szCs w:val="24"/>
          <w:highlight w:val="yellow"/>
        </w:rPr>
        <w:t>Tetlock</w:t>
      </w:r>
      <w:proofErr w:type="spellEnd"/>
      <w:r w:rsidRPr="009F2920">
        <w:rPr>
          <w:rFonts w:ascii="Times New Roman" w:eastAsiaTheme="minorEastAsia" w:hAnsi="Times New Roman" w:cs="Times New Roman"/>
          <w:sz w:val="24"/>
          <w:szCs w:val="24"/>
          <w:highlight w:val="yellow"/>
        </w:rPr>
        <w:t xml:space="preserve"> and Dan Gardner.</w:t>
      </w:r>
      <w:proofErr w:type="gramEnd"/>
      <w:r w:rsidRPr="009F2920">
        <w:rPr>
          <w:rFonts w:ascii="Times New Roman" w:eastAsiaTheme="minorEastAsia" w:hAnsi="Times New Roman" w:cs="Times New Roman"/>
          <w:sz w:val="24"/>
          <w:szCs w:val="24"/>
          <w:highlight w:val="yellow"/>
        </w:rPr>
        <w:t xml:space="preserve"> 2015. Superforecasting: The Art and Science of Prediction. Crown Publishing Group, New York, NY, USA.</w:t>
      </w:r>
    </w:p>
    <w:sectPr w:rsidR="009F2920" w:rsidRPr="008378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5A2D9C" w:rsidRDefault="005A2D9C">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0E69"/>
    <w:rsid w:val="000051AF"/>
    <w:rsid w:val="000079E1"/>
    <w:rsid w:val="00010A9E"/>
    <w:rsid w:val="000160FB"/>
    <w:rsid w:val="000206E6"/>
    <w:rsid w:val="00022514"/>
    <w:rsid w:val="00022EBD"/>
    <w:rsid w:val="00025571"/>
    <w:rsid w:val="00037ED2"/>
    <w:rsid w:val="000404E0"/>
    <w:rsid w:val="000440CB"/>
    <w:rsid w:val="00044754"/>
    <w:rsid w:val="00045A73"/>
    <w:rsid w:val="00046BFE"/>
    <w:rsid w:val="00046CE5"/>
    <w:rsid w:val="000477F0"/>
    <w:rsid w:val="000512E3"/>
    <w:rsid w:val="0005437F"/>
    <w:rsid w:val="000552F3"/>
    <w:rsid w:val="00060C37"/>
    <w:rsid w:val="000626C9"/>
    <w:rsid w:val="00063D5F"/>
    <w:rsid w:val="00072AD2"/>
    <w:rsid w:val="00073A2E"/>
    <w:rsid w:val="00076D86"/>
    <w:rsid w:val="000873B3"/>
    <w:rsid w:val="00091754"/>
    <w:rsid w:val="00093E94"/>
    <w:rsid w:val="00095AF6"/>
    <w:rsid w:val="000A1684"/>
    <w:rsid w:val="000A3182"/>
    <w:rsid w:val="000A3A2A"/>
    <w:rsid w:val="000A3E7E"/>
    <w:rsid w:val="000B0FC2"/>
    <w:rsid w:val="000B31A3"/>
    <w:rsid w:val="000B4CEA"/>
    <w:rsid w:val="000C5CA6"/>
    <w:rsid w:val="000D5158"/>
    <w:rsid w:val="000D6D2F"/>
    <w:rsid w:val="000E0A57"/>
    <w:rsid w:val="000E2DEA"/>
    <w:rsid w:val="000E3FD6"/>
    <w:rsid w:val="000F16F6"/>
    <w:rsid w:val="000F7509"/>
    <w:rsid w:val="00100F22"/>
    <w:rsid w:val="0010270A"/>
    <w:rsid w:val="001076AB"/>
    <w:rsid w:val="001143F9"/>
    <w:rsid w:val="00117A0D"/>
    <w:rsid w:val="0013314D"/>
    <w:rsid w:val="00133D27"/>
    <w:rsid w:val="00142D87"/>
    <w:rsid w:val="00143486"/>
    <w:rsid w:val="00147643"/>
    <w:rsid w:val="001501C5"/>
    <w:rsid w:val="00150F9D"/>
    <w:rsid w:val="00171AF5"/>
    <w:rsid w:val="00172D74"/>
    <w:rsid w:val="00175E6E"/>
    <w:rsid w:val="00182E13"/>
    <w:rsid w:val="00185AFC"/>
    <w:rsid w:val="001919B9"/>
    <w:rsid w:val="00194FA5"/>
    <w:rsid w:val="001978F8"/>
    <w:rsid w:val="001A0F64"/>
    <w:rsid w:val="001A202F"/>
    <w:rsid w:val="001A2856"/>
    <w:rsid w:val="001A44CD"/>
    <w:rsid w:val="001B3E0F"/>
    <w:rsid w:val="001B5777"/>
    <w:rsid w:val="001B5A49"/>
    <w:rsid w:val="001B62E1"/>
    <w:rsid w:val="001B63C8"/>
    <w:rsid w:val="001D05D0"/>
    <w:rsid w:val="001D2ABC"/>
    <w:rsid w:val="001D5E8F"/>
    <w:rsid w:val="001E4530"/>
    <w:rsid w:val="001E67D4"/>
    <w:rsid w:val="001F3B42"/>
    <w:rsid w:val="001F42FD"/>
    <w:rsid w:val="001F5051"/>
    <w:rsid w:val="001F7485"/>
    <w:rsid w:val="0020287B"/>
    <w:rsid w:val="00210FF5"/>
    <w:rsid w:val="00213F2D"/>
    <w:rsid w:val="00214D0C"/>
    <w:rsid w:val="002168D9"/>
    <w:rsid w:val="00220046"/>
    <w:rsid w:val="00222B94"/>
    <w:rsid w:val="002235BD"/>
    <w:rsid w:val="002312B5"/>
    <w:rsid w:val="00233B6B"/>
    <w:rsid w:val="0023726B"/>
    <w:rsid w:val="002377AD"/>
    <w:rsid w:val="002449E8"/>
    <w:rsid w:val="00247D1E"/>
    <w:rsid w:val="00253F63"/>
    <w:rsid w:val="00257895"/>
    <w:rsid w:val="0026090A"/>
    <w:rsid w:val="002613D9"/>
    <w:rsid w:val="00263906"/>
    <w:rsid w:val="00266130"/>
    <w:rsid w:val="00270774"/>
    <w:rsid w:val="00272DD6"/>
    <w:rsid w:val="00273FAA"/>
    <w:rsid w:val="002740A6"/>
    <w:rsid w:val="002746AB"/>
    <w:rsid w:val="002761E3"/>
    <w:rsid w:val="002774D2"/>
    <w:rsid w:val="00290C87"/>
    <w:rsid w:val="0029268F"/>
    <w:rsid w:val="00293405"/>
    <w:rsid w:val="002939E3"/>
    <w:rsid w:val="00293D00"/>
    <w:rsid w:val="002A2182"/>
    <w:rsid w:val="002A7E77"/>
    <w:rsid w:val="002B064B"/>
    <w:rsid w:val="002B2BAF"/>
    <w:rsid w:val="002B40CB"/>
    <w:rsid w:val="002C49CD"/>
    <w:rsid w:val="002D0685"/>
    <w:rsid w:val="002D3054"/>
    <w:rsid w:val="002D3B34"/>
    <w:rsid w:val="002E3360"/>
    <w:rsid w:val="002E3CC7"/>
    <w:rsid w:val="002E5B72"/>
    <w:rsid w:val="002E5C89"/>
    <w:rsid w:val="002F1083"/>
    <w:rsid w:val="00300637"/>
    <w:rsid w:val="00302696"/>
    <w:rsid w:val="003059D2"/>
    <w:rsid w:val="0031276E"/>
    <w:rsid w:val="00313078"/>
    <w:rsid w:val="00314186"/>
    <w:rsid w:val="00315CCC"/>
    <w:rsid w:val="003207D8"/>
    <w:rsid w:val="0032244F"/>
    <w:rsid w:val="00323D93"/>
    <w:rsid w:val="00324406"/>
    <w:rsid w:val="0033227B"/>
    <w:rsid w:val="00341788"/>
    <w:rsid w:val="00344FB5"/>
    <w:rsid w:val="00347BBE"/>
    <w:rsid w:val="003500AC"/>
    <w:rsid w:val="00360570"/>
    <w:rsid w:val="00360B31"/>
    <w:rsid w:val="0036463A"/>
    <w:rsid w:val="00367045"/>
    <w:rsid w:val="003721AE"/>
    <w:rsid w:val="0037337E"/>
    <w:rsid w:val="003768BB"/>
    <w:rsid w:val="00386579"/>
    <w:rsid w:val="003901BD"/>
    <w:rsid w:val="00397BF0"/>
    <w:rsid w:val="003A2536"/>
    <w:rsid w:val="003B48DD"/>
    <w:rsid w:val="003B4D9B"/>
    <w:rsid w:val="003C5477"/>
    <w:rsid w:val="003C637B"/>
    <w:rsid w:val="003E30C7"/>
    <w:rsid w:val="003E61FC"/>
    <w:rsid w:val="003F115A"/>
    <w:rsid w:val="003F11BD"/>
    <w:rsid w:val="003F1BCD"/>
    <w:rsid w:val="003F5655"/>
    <w:rsid w:val="003F6EE1"/>
    <w:rsid w:val="0040276B"/>
    <w:rsid w:val="00402BB1"/>
    <w:rsid w:val="004058A0"/>
    <w:rsid w:val="0041019F"/>
    <w:rsid w:val="00410886"/>
    <w:rsid w:val="00414760"/>
    <w:rsid w:val="00414BED"/>
    <w:rsid w:val="004155B2"/>
    <w:rsid w:val="004202C0"/>
    <w:rsid w:val="00420356"/>
    <w:rsid w:val="00427164"/>
    <w:rsid w:val="004329A4"/>
    <w:rsid w:val="0043452B"/>
    <w:rsid w:val="00437B5C"/>
    <w:rsid w:val="00440636"/>
    <w:rsid w:val="004442B2"/>
    <w:rsid w:val="004464ED"/>
    <w:rsid w:val="00452FFC"/>
    <w:rsid w:val="0045614A"/>
    <w:rsid w:val="0046009A"/>
    <w:rsid w:val="00463475"/>
    <w:rsid w:val="00465A2C"/>
    <w:rsid w:val="00466259"/>
    <w:rsid w:val="004676FB"/>
    <w:rsid w:val="00474050"/>
    <w:rsid w:val="0048162E"/>
    <w:rsid w:val="004816EE"/>
    <w:rsid w:val="004826DE"/>
    <w:rsid w:val="0048644A"/>
    <w:rsid w:val="00486805"/>
    <w:rsid w:val="004872D4"/>
    <w:rsid w:val="00494DC0"/>
    <w:rsid w:val="00497F1D"/>
    <w:rsid w:val="004A09C8"/>
    <w:rsid w:val="004A2346"/>
    <w:rsid w:val="004A24C3"/>
    <w:rsid w:val="004B09EE"/>
    <w:rsid w:val="004B1AEF"/>
    <w:rsid w:val="004B36FF"/>
    <w:rsid w:val="004B729D"/>
    <w:rsid w:val="004B7A0F"/>
    <w:rsid w:val="004C08CF"/>
    <w:rsid w:val="004C24B7"/>
    <w:rsid w:val="004C5078"/>
    <w:rsid w:val="004C7C7A"/>
    <w:rsid w:val="004D0484"/>
    <w:rsid w:val="004D3689"/>
    <w:rsid w:val="004D3FA8"/>
    <w:rsid w:val="004D64E1"/>
    <w:rsid w:val="004E4388"/>
    <w:rsid w:val="004E5738"/>
    <w:rsid w:val="004F1A7B"/>
    <w:rsid w:val="004F20A8"/>
    <w:rsid w:val="004F25B4"/>
    <w:rsid w:val="004F456F"/>
    <w:rsid w:val="0050295B"/>
    <w:rsid w:val="00502BFA"/>
    <w:rsid w:val="005031D6"/>
    <w:rsid w:val="005128BA"/>
    <w:rsid w:val="00516E16"/>
    <w:rsid w:val="00517A9B"/>
    <w:rsid w:val="00520D33"/>
    <w:rsid w:val="00522D3F"/>
    <w:rsid w:val="00524F64"/>
    <w:rsid w:val="005325E2"/>
    <w:rsid w:val="00533B25"/>
    <w:rsid w:val="00537921"/>
    <w:rsid w:val="00546032"/>
    <w:rsid w:val="00546360"/>
    <w:rsid w:val="0054661B"/>
    <w:rsid w:val="00551046"/>
    <w:rsid w:val="00554D3A"/>
    <w:rsid w:val="00566BBC"/>
    <w:rsid w:val="00570D5F"/>
    <w:rsid w:val="0057130F"/>
    <w:rsid w:val="005719B1"/>
    <w:rsid w:val="00572538"/>
    <w:rsid w:val="005729D8"/>
    <w:rsid w:val="00576B00"/>
    <w:rsid w:val="00576DFB"/>
    <w:rsid w:val="00590AB6"/>
    <w:rsid w:val="00597990"/>
    <w:rsid w:val="005A2D9C"/>
    <w:rsid w:val="005B1198"/>
    <w:rsid w:val="005B6D24"/>
    <w:rsid w:val="005C225E"/>
    <w:rsid w:val="005C2E38"/>
    <w:rsid w:val="005C4863"/>
    <w:rsid w:val="005D7F86"/>
    <w:rsid w:val="006111B3"/>
    <w:rsid w:val="00611DFF"/>
    <w:rsid w:val="00615B12"/>
    <w:rsid w:val="00623584"/>
    <w:rsid w:val="00632F1E"/>
    <w:rsid w:val="006340E0"/>
    <w:rsid w:val="00637169"/>
    <w:rsid w:val="00641158"/>
    <w:rsid w:val="00641263"/>
    <w:rsid w:val="00641E47"/>
    <w:rsid w:val="00644BE9"/>
    <w:rsid w:val="00653EE1"/>
    <w:rsid w:val="00654897"/>
    <w:rsid w:val="0065599A"/>
    <w:rsid w:val="00661C1E"/>
    <w:rsid w:val="006624DE"/>
    <w:rsid w:val="00664870"/>
    <w:rsid w:val="00665808"/>
    <w:rsid w:val="00673FF5"/>
    <w:rsid w:val="00674A09"/>
    <w:rsid w:val="00674E14"/>
    <w:rsid w:val="00682917"/>
    <w:rsid w:val="006850C1"/>
    <w:rsid w:val="00690BAF"/>
    <w:rsid w:val="00697110"/>
    <w:rsid w:val="006A13B2"/>
    <w:rsid w:val="006A54C1"/>
    <w:rsid w:val="006B4F5B"/>
    <w:rsid w:val="006C17E2"/>
    <w:rsid w:val="006C573E"/>
    <w:rsid w:val="006D286C"/>
    <w:rsid w:val="006E2138"/>
    <w:rsid w:val="006E23BC"/>
    <w:rsid w:val="006E585E"/>
    <w:rsid w:val="006E7AB8"/>
    <w:rsid w:val="006F03C7"/>
    <w:rsid w:val="006F20E8"/>
    <w:rsid w:val="006F6B85"/>
    <w:rsid w:val="006F76A7"/>
    <w:rsid w:val="00711CEF"/>
    <w:rsid w:val="0071231B"/>
    <w:rsid w:val="007155E4"/>
    <w:rsid w:val="0072164B"/>
    <w:rsid w:val="00722019"/>
    <w:rsid w:val="00726634"/>
    <w:rsid w:val="00730A46"/>
    <w:rsid w:val="007330CE"/>
    <w:rsid w:val="00733DE2"/>
    <w:rsid w:val="007370B0"/>
    <w:rsid w:val="00737C70"/>
    <w:rsid w:val="00745021"/>
    <w:rsid w:val="007561E0"/>
    <w:rsid w:val="007603F9"/>
    <w:rsid w:val="00761BA8"/>
    <w:rsid w:val="00763335"/>
    <w:rsid w:val="00764838"/>
    <w:rsid w:val="007648D4"/>
    <w:rsid w:val="00781658"/>
    <w:rsid w:val="00783DB8"/>
    <w:rsid w:val="00784B67"/>
    <w:rsid w:val="00793B2E"/>
    <w:rsid w:val="00797BB1"/>
    <w:rsid w:val="007A26F5"/>
    <w:rsid w:val="007A3183"/>
    <w:rsid w:val="007A3F09"/>
    <w:rsid w:val="007A6959"/>
    <w:rsid w:val="007B0201"/>
    <w:rsid w:val="007B244E"/>
    <w:rsid w:val="007C2AF1"/>
    <w:rsid w:val="007C78EE"/>
    <w:rsid w:val="007D1E14"/>
    <w:rsid w:val="007D4E78"/>
    <w:rsid w:val="007D5A5F"/>
    <w:rsid w:val="007D6F8C"/>
    <w:rsid w:val="007D7FCD"/>
    <w:rsid w:val="007E142D"/>
    <w:rsid w:val="007E1973"/>
    <w:rsid w:val="007E2BE3"/>
    <w:rsid w:val="007E3FFF"/>
    <w:rsid w:val="007E578F"/>
    <w:rsid w:val="007E6C4A"/>
    <w:rsid w:val="007E701B"/>
    <w:rsid w:val="007F17A8"/>
    <w:rsid w:val="007F5965"/>
    <w:rsid w:val="007F7161"/>
    <w:rsid w:val="007F74CA"/>
    <w:rsid w:val="00804016"/>
    <w:rsid w:val="00807EE2"/>
    <w:rsid w:val="00812882"/>
    <w:rsid w:val="0082056E"/>
    <w:rsid w:val="0082583C"/>
    <w:rsid w:val="0083127A"/>
    <w:rsid w:val="00837872"/>
    <w:rsid w:val="00841700"/>
    <w:rsid w:val="00841B2F"/>
    <w:rsid w:val="008449D0"/>
    <w:rsid w:val="00844E96"/>
    <w:rsid w:val="00850ADD"/>
    <w:rsid w:val="0085156E"/>
    <w:rsid w:val="00851BAA"/>
    <w:rsid w:val="00856973"/>
    <w:rsid w:val="00861C42"/>
    <w:rsid w:val="00870000"/>
    <w:rsid w:val="00870D80"/>
    <w:rsid w:val="00872F63"/>
    <w:rsid w:val="0087721D"/>
    <w:rsid w:val="00890213"/>
    <w:rsid w:val="00894BDD"/>
    <w:rsid w:val="008A0E41"/>
    <w:rsid w:val="008A18BA"/>
    <w:rsid w:val="008A24C4"/>
    <w:rsid w:val="008C431B"/>
    <w:rsid w:val="008D3CDC"/>
    <w:rsid w:val="008D5A8A"/>
    <w:rsid w:val="008D7722"/>
    <w:rsid w:val="008E1455"/>
    <w:rsid w:val="008E4885"/>
    <w:rsid w:val="008F12FB"/>
    <w:rsid w:val="008F300C"/>
    <w:rsid w:val="008F447A"/>
    <w:rsid w:val="008F75EB"/>
    <w:rsid w:val="009010FF"/>
    <w:rsid w:val="00905A4E"/>
    <w:rsid w:val="00913260"/>
    <w:rsid w:val="0091515C"/>
    <w:rsid w:val="00922EEB"/>
    <w:rsid w:val="00923CF6"/>
    <w:rsid w:val="00926399"/>
    <w:rsid w:val="0094119A"/>
    <w:rsid w:val="00946559"/>
    <w:rsid w:val="009509B4"/>
    <w:rsid w:val="00952250"/>
    <w:rsid w:val="009568E0"/>
    <w:rsid w:val="00956FF7"/>
    <w:rsid w:val="009626D1"/>
    <w:rsid w:val="00962DBF"/>
    <w:rsid w:val="009636B9"/>
    <w:rsid w:val="00971BC5"/>
    <w:rsid w:val="00976D4C"/>
    <w:rsid w:val="00977437"/>
    <w:rsid w:val="00981532"/>
    <w:rsid w:val="009876D8"/>
    <w:rsid w:val="00987C00"/>
    <w:rsid w:val="009901C7"/>
    <w:rsid w:val="00990887"/>
    <w:rsid w:val="00991BCF"/>
    <w:rsid w:val="00993E93"/>
    <w:rsid w:val="0099713B"/>
    <w:rsid w:val="009A6ECE"/>
    <w:rsid w:val="009B34E3"/>
    <w:rsid w:val="009B6E4D"/>
    <w:rsid w:val="009B7F85"/>
    <w:rsid w:val="009C0417"/>
    <w:rsid w:val="009C449B"/>
    <w:rsid w:val="009D1135"/>
    <w:rsid w:val="009D471D"/>
    <w:rsid w:val="009E14BA"/>
    <w:rsid w:val="009E60F9"/>
    <w:rsid w:val="009F2406"/>
    <w:rsid w:val="009F2920"/>
    <w:rsid w:val="00A07E99"/>
    <w:rsid w:val="00A10AF8"/>
    <w:rsid w:val="00A134CB"/>
    <w:rsid w:val="00A14C7E"/>
    <w:rsid w:val="00A15C03"/>
    <w:rsid w:val="00A21756"/>
    <w:rsid w:val="00A26729"/>
    <w:rsid w:val="00A3137F"/>
    <w:rsid w:val="00A32B4C"/>
    <w:rsid w:val="00A5508C"/>
    <w:rsid w:val="00A56599"/>
    <w:rsid w:val="00A576F9"/>
    <w:rsid w:val="00A61392"/>
    <w:rsid w:val="00A64358"/>
    <w:rsid w:val="00A6576A"/>
    <w:rsid w:val="00A67147"/>
    <w:rsid w:val="00A67DBB"/>
    <w:rsid w:val="00A74E45"/>
    <w:rsid w:val="00A8205D"/>
    <w:rsid w:val="00A8586F"/>
    <w:rsid w:val="00A858E6"/>
    <w:rsid w:val="00A9627E"/>
    <w:rsid w:val="00A96E00"/>
    <w:rsid w:val="00AA13FE"/>
    <w:rsid w:val="00AA42F5"/>
    <w:rsid w:val="00AA5BAE"/>
    <w:rsid w:val="00AA7A8E"/>
    <w:rsid w:val="00AB40E9"/>
    <w:rsid w:val="00AB4203"/>
    <w:rsid w:val="00AB5D2D"/>
    <w:rsid w:val="00AC2B42"/>
    <w:rsid w:val="00AC4134"/>
    <w:rsid w:val="00AC5D42"/>
    <w:rsid w:val="00AD21B4"/>
    <w:rsid w:val="00AD3DCD"/>
    <w:rsid w:val="00AD6709"/>
    <w:rsid w:val="00AE020D"/>
    <w:rsid w:val="00AE2714"/>
    <w:rsid w:val="00AF07E0"/>
    <w:rsid w:val="00B040F9"/>
    <w:rsid w:val="00B10466"/>
    <w:rsid w:val="00B13E72"/>
    <w:rsid w:val="00B25976"/>
    <w:rsid w:val="00B26C59"/>
    <w:rsid w:val="00B26CAA"/>
    <w:rsid w:val="00B40BBE"/>
    <w:rsid w:val="00B412DF"/>
    <w:rsid w:val="00B501B2"/>
    <w:rsid w:val="00B56D43"/>
    <w:rsid w:val="00B5713C"/>
    <w:rsid w:val="00B8111C"/>
    <w:rsid w:val="00B84663"/>
    <w:rsid w:val="00B87A34"/>
    <w:rsid w:val="00B9103A"/>
    <w:rsid w:val="00B9515E"/>
    <w:rsid w:val="00BA4FF5"/>
    <w:rsid w:val="00BA537F"/>
    <w:rsid w:val="00BA7EF5"/>
    <w:rsid w:val="00BC2450"/>
    <w:rsid w:val="00BC6CDB"/>
    <w:rsid w:val="00BD1F70"/>
    <w:rsid w:val="00BD668A"/>
    <w:rsid w:val="00BD7349"/>
    <w:rsid w:val="00BD74BE"/>
    <w:rsid w:val="00BE1A3A"/>
    <w:rsid w:val="00BE7AB9"/>
    <w:rsid w:val="00BF66DE"/>
    <w:rsid w:val="00C053A4"/>
    <w:rsid w:val="00C13897"/>
    <w:rsid w:val="00C15028"/>
    <w:rsid w:val="00C15295"/>
    <w:rsid w:val="00C16CDB"/>
    <w:rsid w:val="00C23F4C"/>
    <w:rsid w:val="00C26726"/>
    <w:rsid w:val="00C270BF"/>
    <w:rsid w:val="00C278BD"/>
    <w:rsid w:val="00C27B7C"/>
    <w:rsid w:val="00C301A9"/>
    <w:rsid w:val="00C3064B"/>
    <w:rsid w:val="00C3481B"/>
    <w:rsid w:val="00C348A4"/>
    <w:rsid w:val="00C34DCF"/>
    <w:rsid w:val="00C35DC6"/>
    <w:rsid w:val="00C41397"/>
    <w:rsid w:val="00C47B15"/>
    <w:rsid w:val="00C55AB9"/>
    <w:rsid w:val="00C61BCB"/>
    <w:rsid w:val="00C61E53"/>
    <w:rsid w:val="00C70682"/>
    <w:rsid w:val="00C7584F"/>
    <w:rsid w:val="00C76419"/>
    <w:rsid w:val="00C80E24"/>
    <w:rsid w:val="00C840B6"/>
    <w:rsid w:val="00C934E8"/>
    <w:rsid w:val="00C94519"/>
    <w:rsid w:val="00C94F6E"/>
    <w:rsid w:val="00CB130B"/>
    <w:rsid w:val="00CB4E1B"/>
    <w:rsid w:val="00CB5797"/>
    <w:rsid w:val="00CC2B2C"/>
    <w:rsid w:val="00CC40FB"/>
    <w:rsid w:val="00CC543D"/>
    <w:rsid w:val="00CD1DAD"/>
    <w:rsid w:val="00CD37F9"/>
    <w:rsid w:val="00CD657E"/>
    <w:rsid w:val="00CE4F62"/>
    <w:rsid w:val="00CF55CB"/>
    <w:rsid w:val="00D0558D"/>
    <w:rsid w:val="00D10C20"/>
    <w:rsid w:val="00D10C6D"/>
    <w:rsid w:val="00D1112B"/>
    <w:rsid w:val="00D15724"/>
    <w:rsid w:val="00D17D0E"/>
    <w:rsid w:val="00D17F95"/>
    <w:rsid w:val="00D21AEC"/>
    <w:rsid w:val="00D220F0"/>
    <w:rsid w:val="00D24DBB"/>
    <w:rsid w:val="00D32713"/>
    <w:rsid w:val="00D33BB4"/>
    <w:rsid w:val="00D33F81"/>
    <w:rsid w:val="00D3695A"/>
    <w:rsid w:val="00D44D9B"/>
    <w:rsid w:val="00D47B88"/>
    <w:rsid w:val="00D500CC"/>
    <w:rsid w:val="00D86AE6"/>
    <w:rsid w:val="00D878DF"/>
    <w:rsid w:val="00D9533D"/>
    <w:rsid w:val="00D97EB0"/>
    <w:rsid w:val="00DA2BFD"/>
    <w:rsid w:val="00DA5B88"/>
    <w:rsid w:val="00DB253C"/>
    <w:rsid w:val="00DD3DCF"/>
    <w:rsid w:val="00DD4617"/>
    <w:rsid w:val="00DE2DDE"/>
    <w:rsid w:val="00DE50A9"/>
    <w:rsid w:val="00DE7354"/>
    <w:rsid w:val="00DF5F59"/>
    <w:rsid w:val="00DF7478"/>
    <w:rsid w:val="00E00E16"/>
    <w:rsid w:val="00E102A2"/>
    <w:rsid w:val="00E20942"/>
    <w:rsid w:val="00E20F8A"/>
    <w:rsid w:val="00E37EEE"/>
    <w:rsid w:val="00E41D17"/>
    <w:rsid w:val="00E437DE"/>
    <w:rsid w:val="00E443F5"/>
    <w:rsid w:val="00E50E7C"/>
    <w:rsid w:val="00E51E41"/>
    <w:rsid w:val="00E56F6C"/>
    <w:rsid w:val="00E6628F"/>
    <w:rsid w:val="00E72D7D"/>
    <w:rsid w:val="00E76372"/>
    <w:rsid w:val="00E763CF"/>
    <w:rsid w:val="00E852B9"/>
    <w:rsid w:val="00E8570B"/>
    <w:rsid w:val="00E967B1"/>
    <w:rsid w:val="00EA3B65"/>
    <w:rsid w:val="00EA6E8C"/>
    <w:rsid w:val="00EB5CE7"/>
    <w:rsid w:val="00EB601C"/>
    <w:rsid w:val="00EC4103"/>
    <w:rsid w:val="00ED016E"/>
    <w:rsid w:val="00ED7B46"/>
    <w:rsid w:val="00EE4E47"/>
    <w:rsid w:val="00EE6966"/>
    <w:rsid w:val="00EF05FD"/>
    <w:rsid w:val="00EF492F"/>
    <w:rsid w:val="00EF6670"/>
    <w:rsid w:val="00F01645"/>
    <w:rsid w:val="00F025E9"/>
    <w:rsid w:val="00F02827"/>
    <w:rsid w:val="00F065BA"/>
    <w:rsid w:val="00F208A5"/>
    <w:rsid w:val="00F25E14"/>
    <w:rsid w:val="00F32911"/>
    <w:rsid w:val="00F41ABF"/>
    <w:rsid w:val="00F476AB"/>
    <w:rsid w:val="00F5405F"/>
    <w:rsid w:val="00F545D4"/>
    <w:rsid w:val="00F571A3"/>
    <w:rsid w:val="00F6010A"/>
    <w:rsid w:val="00F77456"/>
    <w:rsid w:val="00F86571"/>
    <w:rsid w:val="00F92E73"/>
    <w:rsid w:val="00F9328F"/>
    <w:rsid w:val="00F936E7"/>
    <w:rsid w:val="00F96528"/>
    <w:rsid w:val="00F96BF9"/>
    <w:rsid w:val="00FA558C"/>
    <w:rsid w:val="00FA65BE"/>
    <w:rsid w:val="00FA7CB9"/>
    <w:rsid w:val="00FB62CC"/>
    <w:rsid w:val="00FB6A7F"/>
    <w:rsid w:val="00FC1EAD"/>
    <w:rsid w:val="00FD1882"/>
    <w:rsid w:val="00FD2E0C"/>
    <w:rsid w:val="00FD5055"/>
    <w:rsid w:val="00FD6428"/>
    <w:rsid w:val="00FE1E56"/>
    <w:rsid w:val="00FE33AF"/>
    <w:rsid w:val="00FE6858"/>
    <w:rsid w:val="00FF0EE6"/>
    <w:rsid w:val="00FF1764"/>
    <w:rsid w:val="00FF47A4"/>
    <w:rsid w:val="00FF6DAC"/>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929C5-B1CD-458F-A001-ADD45222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23</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649</cp:revision>
  <dcterms:created xsi:type="dcterms:W3CDTF">2019-07-14T14:16:00Z</dcterms:created>
  <dcterms:modified xsi:type="dcterms:W3CDTF">2019-08-08T16:52:00Z</dcterms:modified>
</cp:coreProperties>
</file>