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Default="00F5405F">
      <w:pPr>
        <w:rPr>
          <w:b/>
        </w:rPr>
      </w:pPr>
      <w:r>
        <w:rPr>
          <w:b/>
        </w:rPr>
        <w:t>Using Goal-Based Simulations and Scenario-Based Investment Forecasts</w:t>
      </w:r>
      <w:r w:rsidR="00D15724">
        <w:rPr>
          <w:b/>
        </w:rPr>
        <w:t xml:space="preserve"> to Communicate with </w:t>
      </w:r>
      <w:r w:rsidR="00D32713">
        <w:rPr>
          <w:b/>
        </w:rPr>
        <w:t>Investors</w:t>
      </w:r>
      <w:bookmarkStart w:id="0" w:name="_GoBack"/>
      <w:bookmarkEnd w:id="0"/>
    </w:p>
    <w:p w:rsidR="00764838" w:rsidRDefault="00117A0D">
      <w:pPr>
        <w:rPr>
          <w:b/>
        </w:rPr>
      </w:pPr>
      <w:r>
        <w:rPr>
          <w:b/>
        </w:rPr>
        <w:t xml:space="preserve">Client </w:t>
      </w:r>
      <w:r w:rsidR="00502BFA">
        <w:rPr>
          <w:b/>
        </w:rPr>
        <w:t>Narrative</w:t>
      </w:r>
    </w:p>
    <w:p w:rsidR="009E60F9" w:rsidRDefault="00C35DC6">
      <w:r>
        <w:t xml:space="preserve">Rose is a 70 year old widow who recently received a lump sum distribution of $400,000 from a </w:t>
      </w:r>
      <w:r w:rsidR="00761BA8">
        <w:t>law suit</w:t>
      </w:r>
      <w:r>
        <w:t xml:space="preserve">. She </w:t>
      </w:r>
      <w:r w:rsidR="001F3B42">
        <w:t>receives income from a life insurance policy</w:t>
      </w:r>
      <w:r>
        <w:t xml:space="preserve"> and</w:t>
      </w:r>
      <w:r w:rsidR="001F3B42">
        <w:t xml:space="preserve"> social security, which covers her</w:t>
      </w:r>
      <w:r>
        <w:t xml:space="preserve"> basic expenses. Her goal for the discretionary portfolio is to fund private school for her grandson. The best private school </w:t>
      </w:r>
      <w:r w:rsidR="00DF7478">
        <w:t xml:space="preserve">in the area </w:t>
      </w:r>
      <w:r>
        <w:t xml:space="preserve">costs $40,000 in inflation-adjusted dollars each year, and he has 10 years before he graduates. </w:t>
      </w:r>
    </w:p>
    <w:p w:rsidR="004F1A7B" w:rsidRPr="00AC5D42" w:rsidRDefault="009E60F9" w:rsidP="004F1A7B">
      <w:r>
        <w:t xml:space="preserve">Rose consults with her financial advisor, Meredith, on how to allocate funds. In addition, she </w:t>
      </w:r>
      <w:r w:rsidR="007D5A5F">
        <w:t xml:space="preserve">mentions that she is only comfortable investing in stocks and annuities. </w:t>
      </w:r>
      <w:r w:rsidR="0083127A">
        <w:t xml:space="preserve">Although Meredith disagrees with such a severe constraint on the investable universe, she </w:t>
      </w:r>
      <w:r w:rsidR="00923CF6">
        <w:t xml:space="preserve">agrees to determine the probability of Rose meeting her goal. To start, Meredith simulates the performance of an equal allocation of $200,000 in both stocks and an annuity. </w:t>
      </w:r>
      <w:r w:rsidR="00641E47">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t>Rose suggests testing different allocations</w:t>
      </w:r>
      <w:r w:rsidR="004F1A7B">
        <w:t>, and M</w:t>
      </w:r>
      <w:r w:rsidR="00AC5D42">
        <w:t>eredith creates Graph 1.</w:t>
      </w:r>
    </w:p>
    <w:p w:rsidR="00566BBC" w:rsidRDefault="004F1A7B" w:rsidP="004F1A7B">
      <w:pPr>
        <w:rPr>
          <w:b/>
          <w:i/>
        </w:rPr>
      </w:pPr>
      <w:r>
        <w:rPr>
          <w:noProof/>
        </w:rPr>
        <w:drawing>
          <wp:anchor distT="0" distB="0" distL="114300" distR="114300" simplePos="0" relativeHeight="251659264" behindDoc="0" locked="0" layoutInCell="1" allowOverlap="1" wp14:anchorId="5EB1C46C" wp14:editId="64C943AA">
            <wp:simplePos x="0" y="0"/>
            <wp:positionH relativeFrom="column">
              <wp:posOffset>152400</wp:posOffset>
            </wp:positionH>
            <wp:positionV relativeFrom="paragraph">
              <wp:posOffset>726440</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7B9867" wp14:editId="26928980">
            <wp:simplePos x="0" y="0"/>
            <wp:positionH relativeFrom="column">
              <wp:posOffset>3117850</wp:posOffset>
            </wp:positionH>
            <wp:positionV relativeFrom="paragraph">
              <wp:posOffset>726440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Pr="00AA4E87">
        <w:rPr>
          <w:b/>
          <w:i/>
        </w:rPr>
        <w:t>Graph 1: Probability of Goal Attainment for $200,000 and $400,000 invested in Stocks based on a budget of $400,000, initial cash outflow of $40,000, and 2% inflation. Annuity assumed to pay 6% of principal</w:t>
      </w:r>
      <w:r>
        <w:rPr>
          <w:b/>
          <w:i/>
        </w:rPr>
        <w:t>. Note: investing in annuity alone would never meet required outflows and is not shown</w:t>
      </w:r>
    </w:p>
    <w:p w:rsidR="00117A0D" w:rsidRDefault="00117A0D" w:rsidP="004F1A7B">
      <w:pPr>
        <w:rPr>
          <w:b/>
        </w:rPr>
      </w:pPr>
    </w:p>
    <w:p w:rsidR="00437B5C" w:rsidRDefault="00117A0D" w:rsidP="004F1A7B">
      <w:r>
        <w:t xml:space="preserve">Investing in 100% results in the highest probability of success of </w:t>
      </w:r>
      <w:r w:rsidRPr="00117A0D">
        <w:rPr>
          <w:highlight w:val="yellow"/>
        </w:rPr>
        <w:t>x%</w:t>
      </w:r>
      <w:r>
        <w:t>, but this seems too low to Rose. Perhaps, she could find a less expensive school, or only send her grandson to the best school for middle school and high school.</w:t>
      </w:r>
    </w:p>
    <w:p w:rsidR="00A07E99" w:rsidRDefault="00A07E99" w:rsidP="004F1A7B">
      <w:pPr>
        <w:rPr>
          <w:b/>
        </w:rPr>
      </w:pPr>
      <w:r>
        <w:rPr>
          <w:b/>
        </w:rPr>
        <w:t>Investment Forecast Narrative</w:t>
      </w:r>
    </w:p>
    <w:p w:rsidR="00DD4617" w:rsidRDefault="00DD4617" w:rsidP="00DD4617">
      <w:r>
        <w:t xml:space="preserve">The investment simulations in the client narrative require a long-term forecast for stocks. Meredith gathered daily S&amp;P 500 returns from 12/1/2007 to 12/1/2017 and resampled these with replacement 1000 times for 252 to create a baseline forecast. </w:t>
      </w:r>
      <w:r>
        <w:t xml:space="preserve">She then alters this baseline to match current </w:t>
      </w:r>
      <w:r>
        <w:lastRenderedPageBreak/>
        <w:t>conditions</w:t>
      </w:r>
      <w:r>
        <w:t xml:space="preserve"> according to her judgment</w:t>
      </w:r>
      <w:r w:rsidR="007603F9">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t>kurtosis,</w:t>
      </w:r>
      <w:r w:rsidR="007603F9">
        <w:t xml:space="preserve"> or “fat-tails</w:t>
      </w:r>
      <w:r w:rsidR="000552F3">
        <w:t>,</w:t>
      </w:r>
      <w:r w:rsidR="007603F9">
        <w:t>” is also plausible</w:t>
      </w:r>
      <w:r>
        <w:t>.</w:t>
      </w:r>
      <w:r w:rsidR="00ED7B46">
        <w:t xml:space="preserve"> From an alternate view, she determines that 80% of returns should fall between </w:t>
      </w:r>
      <w:r w:rsidR="00ED7B46" w:rsidRPr="00ED7B46">
        <w:rPr>
          <w:highlight w:val="yellow"/>
        </w:rPr>
        <w:t>Y%</w:t>
      </w:r>
      <w:r w:rsidR="00ED7B46">
        <w:t xml:space="preserve"> and </w:t>
      </w:r>
      <w:r w:rsidR="00ED7B46" w:rsidRPr="00ED7B46">
        <w:rPr>
          <w:highlight w:val="yellow"/>
        </w:rPr>
        <w:t>Z%.</w:t>
      </w:r>
      <w: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Tr="00F209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F2096B">
            <w:commentRangeStart w:id="1"/>
            <w:r>
              <w:t>Minimum</w:t>
            </w:r>
          </w:p>
        </w:tc>
        <w:tc>
          <w:tcPr>
            <w:tcW w:w="1915" w:type="dxa"/>
          </w:tcPr>
          <w:p w:rsidR="00DD4617" w:rsidRDefault="00DD4617" w:rsidP="00F2096B">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rsidR="00DD4617" w:rsidRDefault="00DD4617" w:rsidP="00F2096B">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rsidR="00DD4617" w:rsidRDefault="00DD4617" w:rsidP="00F2096B">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rsidR="00DD4617" w:rsidRDefault="00DD4617" w:rsidP="00F2096B">
            <w:pPr>
              <w:cnfStyle w:val="100000000000" w:firstRow="1" w:lastRow="0" w:firstColumn="0" w:lastColumn="0" w:oddVBand="0" w:evenVBand="0" w:oddHBand="0" w:evenHBand="0" w:firstRowFirstColumn="0" w:firstRowLastColumn="0" w:lastRowFirstColumn="0" w:lastRowLastColumn="0"/>
            </w:pPr>
            <w:r>
              <w:t>Maximum</w:t>
            </w:r>
          </w:p>
        </w:tc>
      </w:tr>
      <w:tr w:rsidR="00DD4617" w:rsidTr="00F209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F2096B">
            <w:r>
              <w:t>-48.7%</w:t>
            </w:r>
          </w:p>
        </w:tc>
        <w:tc>
          <w:tcPr>
            <w:tcW w:w="1915" w:type="dxa"/>
          </w:tcPr>
          <w:p w:rsidR="00DD4617" w:rsidRDefault="00DD4617" w:rsidP="00F2096B">
            <w:pPr>
              <w:cnfStyle w:val="000000100000" w:firstRow="0" w:lastRow="0" w:firstColumn="0" w:lastColumn="0" w:oddVBand="0" w:evenVBand="0" w:oddHBand="1" w:evenHBand="0" w:firstRowFirstColumn="0" w:firstRowLastColumn="0" w:lastRowFirstColumn="0" w:lastRowLastColumn="0"/>
            </w:pPr>
            <w:r>
              <w:t>-16.3%</w:t>
            </w:r>
          </w:p>
        </w:tc>
        <w:tc>
          <w:tcPr>
            <w:tcW w:w="1915" w:type="dxa"/>
          </w:tcPr>
          <w:p w:rsidR="00DD4617" w:rsidRDefault="00DD4617" w:rsidP="00F2096B">
            <w:pPr>
              <w:cnfStyle w:val="000000100000" w:firstRow="0" w:lastRow="0" w:firstColumn="0" w:lastColumn="0" w:oddVBand="0" w:evenVBand="0" w:oddHBand="1" w:evenHBand="0" w:firstRowFirstColumn="0" w:firstRowLastColumn="0" w:lastRowFirstColumn="0" w:lastRowLastColumn="0"/>
            </w:pPr>
            <w:r>
              <w:t>8.9%</w:t>
            </w:r>
          </w:p>
        </w:tc>
        <w:tc>
          <w:tcPr>
            <w:tcW w:w="1915" w:type="dxa"/>
          </w:tcPr>
          <w:p w:rsidR="00DD4617" w:rsidRDefault="00DD4617" w:rsidP="00F2096B">
            <w:pPr>
              <w:cnfStyle w:val="000000100000" w:firstRow="0" w:lastRow="0" w:firstColumn="0" w:lastColumn="0" w:oddVBand="0" w:evenVBand="0" w:oddHBand="1" w:evenHBand="0" w:firstRowFirstColumn="0" w:firstRowLastColumn="0" w:lastRowFirstColumn="0" w:lastRowLastColumn="0"/>
            </w:pPr>
            <w:r>
              <w:t>40.0%</w:t>
            </w:r>
          </w:p>
        </w:tc>
        <w:tc>
          <w:tcPr>
            <w:tcW w:w="1916" w:type="dxa"/>
          </w:tcPr>
          <w:p w:rsidR="00DD4617" w:rsidRDefault="00DD4617" w:rsidP="00F2096B">
            <w:pPr>
              <w:cnfStyle w:val="000000100000" w:firstRow="0" w:lastRow="0" w:firstColumn="0" w:lastColumn="0" w:oddVBand="0" w:evenVBand="0" w:oddHBand="1" w:evenHBand="0" w:firstRowFirstColumn="0" w:firstRowLastColumn="0" w:lastRowFirstColumn="0" w:lastRowLastColumn="0"/>
            </w:pPr>
            <w:r>
              <w:t>120.3%</w:t>
            </w:r>
          </w:p>
        </w:tc>
      </w:tr>
    </w:tbl>
    <w:p w:rsidR="00DD4617" w:rsidRPr="004B2F9D" w:rsidRDefault="00DD4617" w:rsidP="00DD4617">
      <w:pPr>
        <w:spacing w:before="240"/>
        <w:rPr>
          <w:b/>
          <w:i/>
        </w:rPr>
      </w:pPr>
      <w:r>
        <w:rPr>
          <w:b/>
          <w:i/>
        </w:rPr>
        <w:t>Table 1: Annual summary statistics from resampled gains and losses of the SPDR S&amp;P 500 ETF from 12/1/2007 through 12/1/2017 (Daily Gains and Losses from Yahoo Finance)</w:t>
      </w:r>
      <w:commentRangeEnd w:id="1"/>
      <w:r>
        <w:rPr>
          <w:rStyle w:val="CommentReference"/>
        </w:rPr>
        <w:commentReference w:id="1"/>
      </w:r>
    </w:p>
    <w:p w:rsidR="006E585E" w:rsidRDefault="007603F9" w:rsidP="004F1A7B">
      <w:r>
        <w:t xml:space="preserve">Meredith’s software draws a probability distribution based on her scenarios. </w:t>
      </w:r>
      <w:r w:rsidR="006E585E">
        <w:rPr>
          <w:noProof/>
        </w:rPr>
        <w:drawing>
          <wp:inline distT="0" distB="0" distL="0" distR="0" wp14:anchorId="502D811E" wp14:editId="7CBF2DA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Default="006E585E" w:rsidP="006E585E">
      <w:pPr>
        <w:rPr>
          <w:b/>
          <w:i/>
        </w:rPr>
      </w:pPr>
      <w:r w:rsidRPr="00605DA9">
        <w:rPr>
          <w:b/>
          <w:i/>
        </w:rPr>
        <w:t>Graph 3: Estimated annual long-term forecast for the stock market assuming a current price of 100. The software generates the above graphs based on the input scenarios and interpolating straight lines between each scenario.</w:t>
      </w:r>
    </w:p>
    <w:p w:rsidR="00185AFC" w:rsidRDefault="006E585E" w:rsidP="004F1A7B">
      <w:pPr>
        <w:rPr>
          <w:b/>
        </w:rPr>
      </w:pPr>
      <w: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r w:rsidR="00185AFC">
        <w:rPr>
          <w:b/>
        </w:rPr>
        <w:br w:type="page"/>
      </w:r>
    </w:p>
    <w:p w:rsidR="000440CB" w:rsidRDefault="00E8570B" w:rsidP="00DE7354">
      <w:pPr>
        <w:rPr>
          <w:b/>
        </w:rPr>
      </w:pPr>
      <w:r>
        <w:rPr>
          <w:b/>
        </w:rPr>
        <w:lastRenderedPageBreak/>
        <w:t>Framework Objectives</w:t>
      </w:r>
    </w:p>
    <w:p w:rsidR="007F17A8" w:rsidRDefault="00E8570B" w:rsidP="00DE7354">
      <w:r>
        <w:rPr>
          <w:b/>
        </w:rPr>
        <w:t>Investors</w:t>
      </w:r>
      <w:r w:rsidR="007F17A8">
        <w:rPr>
          <w:b/>
        </w:rPr>
        <w:t>:</w:t>
      </w:r>
    </w:p>
    <w:p w:rsidR="00E8570B" w:rsidRDefault="00E8570B" w:rsidP="00E8570B">
      <w:pPr>
        <w:pStyle w:val="ListParagraph"/>
        <w:numPr>
          <w:ilvl w:val="0"/>
          <w:numId w:val="3"/>
        </w:numPr>
      </w:pPr>
      <w:r>
        <w:t>Accurately assess realism of financial goals</w:t>
      </w:r>
    </w:p>
    <w:p w:rsidR="00E8570B" w:rsidRDefault="00E8570B" w:rsidP="00E8570B">
      <w:pPr>
        <w:pStyle w:val="ListParagraph"/>
        <w:numPr>
          <w:ilvl w:val="0"/>
          <w:numId w:val="3"/>
        </w:numPr>
      </w:pPr>
      <w:r>
        <w:t>Communicate assessments in understandable terms</w:t>
      </w:r>
    </w:p>
    <w:p w:rsidR="00E8570B" w:rsidRDefault="00E8570B" w:rsidP="00E8570B">
      <w:pPr>
        <w:pStyle w:val="ListParagraph"/>
        <w:numPr>
          <w:ilvl w:val="0"/>
          <w:numId w:val="3"/>
        </w:numPr>
      </w:pPr>
      <w:r>
        <w:t>Trace assessment results back to assumptions transparently</w:t>
      </w:r>
    </w:p>
    <w:p w:rsidR="00E8570B" w:rsidRDefault="00E8570B" w:rsidP="00E8570B">
      <w:pPr>
        <w:pStyle w:val="ListParagraph"/>
        <w:numPr>
          <w:ilvl w:val="0"/>
          <w:numId w:val="3"/>
        </w:numPr>
      </w:pPr>
      <w:r>
        <w:t>Lower expenses through spreading forecast costs across many individuals</w:t>
      </w:r>
    </w:p>
    <w:p w:rsidR="00E763CF" w:rsidRDefault="00E763CF" w:rsidP="00E8570B">
      <w:pPr>
        <w:pStyle w:val="ListParagraph"/>
        <w:numPr>
          <w:ilvl w:val="0"/>
          <w:numId w:val="3"/>
        </w:numPr>
      </w:pPr>
      <w:r>
        <w:t>Prevent Forecasters from gaming forecast accuracy and quality metrics</w:t>
      </w:r>
    </w:p>
    <w:p w:rsidR="00E8570B" w:rsidRDefault="00E8570B" w:rsidP="00E8570B">
      <w:r>
        <w:rPr>
          <w:b/>
        </w:rPr>
        <w:t>Forecasters:</w:t>
      </w:r>
    </w:p>
    <w:p w:rsidR="00E8570B" w:rsidRDefault="003768BB" w:rsidP="00E8570B">
      <w:pPr>
        <w:pStyle w:val="ListParagraph"/>
        <w:numPr>
          <w:ilvl w:val="0"/>
          <w:numId w:val="4"/>
        </w:numPr>
      </w:pPr>
      <w:r>
        <w:t>Accurately represent views</w:t>
      </w:r>
    </w:p>
    <w:p w:rsidR="003768BB" w:rsidRDefault="00797BB1" w:rsidP="00E8570B">
      <w:pPr>
        <w:pStyle w:val="ListParagraph"/>
        <w:numPr>
          <w:ilvl w:val="0"/>
          <w:numId w:val="4"/>
        </w:numPr>
      </w:pPr>
      <w:r>
        <w:t>Communicate forecasts intui</w:t>
      </w:r>
      <w:r w:rsidR="00572538">
        <w:t>ti</w:t>
      </w:r>
      <w:r>
        <w:t>vely</w:t>
      </w:r>
    </w:p>
    <w:p w:rsidR="003768BB" w:rsidRDefault="00E763CF" w:rsidP="00E8570B">
      <w:pPr>
        <w:pStyle w:val="ListParagraph"/>
        <w:numPr>
          <w:ilvl w:val="0"/>
          <w:numId w:val="4"/>
        </w:numPr>
      </w:pPr>
      <w:r>
        <w:t>Measure forecast quality based on accuracy and precision</w:t>
      </w:r>
      <w:r w:rsidR="003768BB">
        <w:t xml:space="preserve"> </w:t>
      </w:r>
    </w:p>
    <w:p w:rsidR="00076D86" w:rsidRPr="00E8570B" w:rsidRDefault="00076D86" w:rsidP="00E8570B">
      <w:pPr>
        <w:pStyle w:val="ListParagraph"/>
        <w:numPr>
          <w:ilvl w:val="0"/>
          <w:numId w:val="4"/>
        </w:numPr>
      </w:pPr>
      <w:r>
        <w:t>Increase revenue through ability to leverage single forecast across many investors</w:t>
      </w:r>
    </w:p>
    <w:p w:rsidR="00E8570B" w:rsidRPr="0041019F" w:rsidRDefault="0041019F" w:rsidP="00E8570B">
      <w:r>
        <w:rPr>
          <w:b/>
        </w:rPr>
        <w:t>Technology:</w:t>
      </w:r>
    </w:p>
    <w:p w:rsidR="0041019F" w:rsidRDefault="0041019F" w:rsidP="0041019F">
      <w:pPr>
        <w:pStyle w:val="ListParagraph"/>
        <w:numPr>
          <w:ilvl w:val="0"/>
          <w:numId w:val="5"/>
        </w:numPr>
      </w:pPr>
      <w:r>
        <w:t xml:space="preserve">Transform forecasts into </w:t>
      </w:r>
      <w:r w:rsidR="002D3054">
        <w:t>assessments of investor goals</w:t>
      </w:r>
    </w:p>
    <w:p w:rsidR="002D3054" w:rsidRDefault="00142D87" w:rsidP="0041019F">
      <w:pPr>
        <w:pStyle w:val="ListParagraph"/>
        <w:numPr>
          <w:ilvl w:val="0"/>
          <w:numId w:val="5"/>
        </w:numPr>
      </w:pPr>
      <w:r>
        <w:t>Perform calculations within a reasonable time period</w:t>
      </w:r>
    </w:p>
    <w:p w:rsidR="00CB5797" w:rsidRDefault="00CB5797" w:rsidP="0041019F">
      <w:pPr>
        <w:pStyle w:val="ListParagraph"/>
        <w:numPr>
          <w:ilvl w:val="0"/>
          <w:numId w:val="5"/>
        </w:numPr>
      </w:pPr>
      <w:r>
        <w:t>Distribute any forecasts to estimate any investor goals</w:t>
      </w:r>
      <w:r w:rsidR="000512E3">
        <w:t xml:space="preserve"> to lower costs</w:t>
      </w:r>
    </w:p>
    <w:p w:rsidR="00CB5797" w:rsidRDefault="000051AF" w:rsidP="0041019F">
      <w:pPr>
        <w:pStyle w:val="ListParagraph"/>
        <w:numPr>
          <w:ilvl w:val="0"/>
          <w:numId w:val="5"/>
        </w:numPr>
      </w:pPr>
      <w:r>
        <w:t>Build trust through</w:t>
      </w:r>
      <w:r w:rsidR="00D0558D">
        <w:t xml:space="preserve"> understandable,</w:t>
      </w:r>
      <w:r>
        <w:t xml:space="preserve"> open-source code</w:t>
      </w:r>
    </w:p>
    <w:p w:rsidR="00733DE2" w:rsidRDefault="00733DE2" w:rsidP="00733DE2">
      <w:pPr>
        <w:pStyle w:val="ListParagraph"/>
        <w:numPr>
          <w:ilvl w:val="0"/>
          <w:numId w:val="5"/>
        </w:numPr>
      </w:pPr>
      <w:r>
        <w:t>Model portfolios with any type of asset</w:t>
      </w:r>
    </w:p>
    <w:p w:rsidR="00733DE2" w:rsidRDefault="009626D1" w:rsidP="00733DE2">
      <w:pPr>
        <w:pStyle w:val="ListParagraph"/>
        <w:numPr>
          <w:ilvl w:val="0"/>
          <w:numId w:val="5"/>
        </w:numPr>
      </w:pPr>
      <w:r>
        <w:t>Captu</w:t>
      </w:r>
      <w:r w:rsidR="002761E3">
        <w:t>re investments whose payouts can be</w:t>
      </w:r>
      <w:r>
        <w:t xml:space="preserve"> </w:t>
      </w:r>
      <w:r w:rsidR="00341788">
        <w:t>asymmetrical</w:t>
      </w:r>
      <w:r w:rsidR="00022EBD">
        <w:t xml:space="preserve"> and</w:t>
      </w:r>
      <w:r>
        <w:t xml:space="preserve"> extreme (fat-tails)</w:t>
      </w:r>
    </w:p>
    <w:p w:rsidR="00B87A34" w:rsidRDefault="00B87A34" w:rsidP="00733DE2">
      <w:pPr>
        <w:pStyle w:val="ListParagraph"/>
        <w:numPr>
          <w:ilvl w:val="0"/>
          <w:numId w:val="5"/>
        </w:numPr>
      </w:pPr>
      <w:r>
        <w:t xml:space="preserve">Rely on human judgement </w:t>
      </w:r>
      <w:r w:rsidR="00427164">
        <w:t>as well as</w:t>
      </w:r>
      <w:r w:rsidR="001B3E0F">
        <w:t xml:space="preserve"> historical data</w:t>
      </w:r>
    </w:p>
    <w:p w:rsidR="00E76372" w:rsidRDefault="00E76372" w:rsidP="00733DE2">
      <w:pPr>
        <w:pStyle w:val="ListParagraph"/>
        <w:numPr>
          <w:ilvl w:val="0"/>
          <w:numId w:val="5"/>
        </w:numPr>
      </w:pPr>
      <w:r>
        <w:t>Minimize underlying assumptions</w:t>
      </w:r>
      <w:r w:rsidR="00CD657E">
        <w:t xml:space="preserve"> regarding investment risk and investor risk tolerance</w:t>
      </w:r>
    </w:p>
    <w:p w:rsidR="00142D87" w:rsidRDefault="000A3182" w:rsidP="00733DE2">
      <w:pPr>
        <w:pStyle w:val="ListParagraph"/>
        <w:numPr>
          <w:ilvl w:val="0"/>
          <w:numId w:val="5"/>
        </w:numPr>
      </w:pPr>
      <w:r>
        <w:t>Encompass existing portfolio metrics associated with Modern Portfolio Theory and extend them</w:t>
      </w:r>
    </w:p>
    <w:p w:rsidR="003F6EE1" w:rsidRPr="0041019F" w:rsidRDefault="00690BAF" w:rsidP="00733DE2">
      <w:pPr>
        <w:pStyle w:val="ListParagraph"/>
        <w:numPr>
          <w:ilvl w:val="0"/>
          <w:numId w:val="5"/>
        </w:numPr>
      </w:pPr>
      <w:r>
        <w:t>Measure</w:t>
      </w:r>
      <w:r w:rsidR="000A1684">
        <w:t xml:space="preserve"> forecaster</w:t>
      </w:r>
      <w:r w:rsidR="003F6EE1">
        <w:t xml:space="preserve"> ability objectively</w:t>
      </w:r>
      <w:r>
        <w:t xml:space="preserve"> to enable easy comparisons</w:t>
      </w:r>
    </w:p>
    <w:p w:rsidR="007E2BE3" w:rsidRDefault="007E2BE3">
      <w:pPr>
        <w:rPr>
          <w:b/>
        </w:rPr>
      </w:pPr>
      <w:r>
        <w:rPr>
          <w:b/>
        </w:rPr>
        <w:br w:type="page"/>
      </w:r>
    </w:p>
    <w:p w:rsidR="00B26C59" w:rsidRPr="00440636" w:rsidRDefault="000F7509" w:rsidP="00DE7354">
      <w:pPr>
        <w:rPr>
          <w:b/>
        </w:rPr>
      </w:pPr>
      <w:r w:rsidRPr="00440636">
        <w:rPr>
          <w:b/>
        </w:rPr>
        <w:lastRenderedPageBreak/>
        <w:t>Estimating</w:t>
      </w:r>
      <w:r w:rsidR="00B26C59" w:rsidRPr="00440636">
        <w:rPr>
          <w:b/>
        </w:rPr>
        <w:t xml:space="preserve"> the Probability of Achieving an Investment Goal</w:t>
      </w:r>
    </w:p>
    <w:p w:rsidR="004E5738" w:rsidRDefault="00520D33" w:rsidP="00DE7354">
      <w:r>
        <w:t>Suppose the cash outflows required to reach a goal consist</w:t>
      </w:r>
      <w:r w:rsidR="00DE7354">
        <w:t>s</w:t>
      </w:r>
      <w:r>
        <w:t xml:space="preserve"> of a finite sequence</w:t>
      </w:r>
      <w:r w:rsidR="00270774">
        <w:t xml:space="preserve"> of</w:t>
      </w:r>
      <w:r w:rsidR="001501C5">
        <w:t xml:space="preserve"> positive</w:t>
      </w:r>
      <w:r w:rsidR="00DE7354">
        <w:t xml:space="preserve"> real numbers with</w:t>
      </w:r>
      <w:r w:rsidR="001501C5">
        <w:t xml:space="preserve"> </w:t>
      </w:r>
      <w:r w:rsidR="00270774">
        <w:t>at least one member</w:t>
      </w:r>
      <w:r w:rsidR="004058A0">
        <w:t>:</w:t>
      </w:r>
    </w:p>
    <w:p w:rsidR="004058A0" w:rsidRPr="00D47B88" w:rsidRDefault="00502BFA">
      <w:pPr>
        <w:rPr>
          <w:rFonts w:eastAsiaTheme="minorEastAsia"/>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m:rPr>
                  <m:scr m:val="double-struck"/>
                </m:rPr>
                <w:rPr>
                  <w:rFonts w:ascii="Cambria Math" w:hAnsi="Cambria Math"/>
                </w:rPr>
                <m:t>∊R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&gt;0)</m:t>
              </m:r>
            </m:e>
            <m:sub>
              <m:r>
                <w:rPr>
                  <w:rFonts w:ascii="Cambria Math" w:hAnsi="Cambria Math"/>
                </w:rPr>
                <m:t>t</m:t>
              </m:r>
              <m:r>
                <m:rPr>
                  <m:scr m:val="double-struck"/>
                </m:rPr>
                <w:rPr>
                  <w:rFonts w:ascii="Cambria Math" w:hAnsi="Cambria Math"/>
                </w:rPr>
                <m:t>∊N|</m:t>
              </m:r>
              <m:r>
                <w:rPr>
                  <w:rFonts w:ascii="Cambria Math" w:hAnsi="Cambria Math"/>
                </w:rPr>
                <m:t>t&lt;∞</m:t>
              </m:r>
            </m:sub>
          </m:sSub>
        </m:oMath>
      </m:oMathPara>
    </w:p>
    <w:p w:rsidR="00EF6670" w:rsidRDefault="00502BFA">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EF6670">
        <w:rPr>
          <w:rFonts w:eastAsiaTheme="minorEastAsia"/>
        </w:rPr>
        <w:t xml:space="preserve"> denotes a discrete cash outflow at any future time, </w:t>
      </w:r>
      <m:oMath>
        <m:r>
          <w:rPr>
            <w:rFonts w:ascii="Cambria Math" w:hAnsi="Cambria Math"/>
          </w:rPr>
          <m:t>t</m:t>
        </m:r>
      </m:oMath>
      <w:r w:rsidR="00EF6670">
        <w:rPr>
          <w:rFonts w:eastAsiaTheme="minorEastAsia"/>
        </w:rPr>
        <w:t>.</w:t>
      </w:r>
    </w:p>
    <w:p w:rsidR="00194FA5" w:rsidRPr="00D47B88" w:rsidRDefault="00194FA5" w:rsidP="00194FA5">
      <w:pPr>
        <w:rPr>
          <w:rFonts w:eastAsiaTheme="minorEastAsia"/>
        </w:rPr>
      </w:pPr>
      <w:r>
        <w:rPr>
          <w:rFonts w:eastAsiaTheme="minorEastAsia"/>
        </w:rPr>
        <w:t>Then, satisfaction of the goal necessitates a liquid portfolio amount greater than the required cash flow in each period. Conversely, if funds are insufficient to cover the cash outflow in any period, then the portfolio has failed to achieve the go</w:t>
      </w:r>
      <w:r w:rsidR="00EF6670">
        <w:rPr>
          <w:rFonts w:eastAsiaTheme="minorEastAsia"/>
        </w:rPr>
        <w:t>al. Therefore, the probability of success can be represented using the following piecewise function:</w:t>
      </w:r>
      <m:oMath>
        <m:r>
          <m:rPr>
            <m:sty m:val="p"/>
          </m:rPr>
          <w:rPr>
            <w:rFonts w:ascii="Cambria Math" w:hAnsi="Cambria Math"/>
          </w:rPr>
          <w:br/>
        </m:r>
      </m:oMath>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oMath>
      </m:oMathPara>
    </w:p>
    <w:p w:rsidR="00D47B88" w:rsidRDefault="00FF0EE6">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signifies the probability of achieving a goal and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eastAsiaTheme="minorEastAsia"/>
        </w:rPr>
        <w:t xml:space="preserve"> is the liquid portfolio amount</w:t>
      </w:r>
      <w:r w:rsidR="004C24B7">
        <w:rPr>
          <w:rFonts w:eastAsiaTheme="minorEastAsia"/>
        </w:rPr>
        <w:t xml:space="preserve"> at a future time.</w:t>
      </w:r>
    </w:p>
    <w:p w:rsidR="00D220F0" w:rsidRDefault="00502BFA">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220F0">
        <w:rPr>
          <w:rFonts w:eastAsiaTheme="minorEastAsia"/>
        </w:rPr>
        <w:t xml:space="preserve"> is stochastic; consequently, we simulate it via Monte Carlo and estimate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sidR="00D220F0">
        <w:rPr>
          <w:rFonts w:eastAsiaTheme="minorEastAsia"/>
        </w:rPr>
        <w:t xml:space="preserve"> based on the results as follows:</w:t>
      </w:r>
    </w:p>
    <w:p w:rsidR="00D220F0" w:rsidRDefault="00D220F0">
      <w:pPr>
        <w:rPr>
          <w:rFonts w:eastAsiaTheme="minorEastAsia"/>
        </w:rPr>
      </w:pPr>
      <m:oMathPara>
        <m:oMath>
          <m:r>
            <m:rPr>
              <m:sty m:val="p"/>
            </m:rPr>
            <w:rPr>
              <w:rFonts w:ascii="Cambria Math" w:hAnsi="Cambria Math"/>
            </w:rPr>
            <w:br/>
          </m:r>
        </m:oMath>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e>
          </m:nary>
        </m:oMath>
      </m:oMathPara>
    </w:p>
    <w:p w:rsidR="00AA5BAE" w:rsidRDefault="00D220F0">
      <w:pPr>
        <w:rPr>
          <w:rFonts w:eastAsiaTheme="minorEastAsia"/>
        </w:rPr>
      </w:pPr>
      <m:oMath>
        <m:r>
          <w:rPr>
            <w:rFonts w:ascii="Cambria Math" w:hAnsi="Cambria Math"/>
          </w:rPr>
          <m:t>i</m:t>
        </m:r>
      </m:oMath>
      <w:r>
        <w:rPr>
          <w:rFonts w:eastAsiaTheme="minorEastAsia"/>
        </w:rPr>
        <w:t xml:space="preserve"> indexes the Monte Carlo trials and </w:t>
      </w:r>
      <m:oMath>
        <m:r>
          <w:rPr>
            <w:rFonts w:ascii="Cambria Math" w:eastAsiaTheme="minorEastAsia" w:hAnsi="Cambria Math"/>
          </w:rPr>
          <m:t>n</m:t>
        </m:r>
      </m:oMath>
      <w:r>
        <w:rPr>
          <w:rFonts w:eastAsiaTheme="minorEastAsia"/>
        </w:rPr>
        <w:t xml:space="preserve"> is the total number of trials.</w:t>
      </w:r>
    </w:p>
    <w:p w:rsidR="00F96BF9" w:rsidRDefault="00F96BF9">
      <w:pPr>
        <w:rPr>
          <w:rFonts w:eastAsiaTheme="minorEastAsia"/>
        </w:rPr>
      </w:pPr>
      <w:r>
        <w:rPr>
          <w:rFonts w:eastAsiaTheme="minorEastAsia"/>
        </w:rPr>
        <w:br w:type="page"/>
      </w:r>
    </w:p>
    <w:p w:rsidR="00F96BF9" w:rsidRDefault="00F96BF9">
      <w:pPr>
        <w:rPr>
          <w:b/>
        </w:rPr>
      </w:pPr>
      <w:r>
        <w:rPr>
          <w:b/>
        </w:rPr>
        <w:lastRenderedPageBreak/>
        <w:t>Forecasting Portfolio Outcomes Based on Scenarios</w:t>
      </w:r>
    </w:p>
    <w:p w:rsidR="00175E6E" w:rsidRDefault="00175E6E">
      <w:r>
        <w:t>The forecast consist of a strictly monotonically increasing sequence of five</w:t>
      </w:r>
      <w:r w:rsidR="0040276B">
        <w:t xml:space="preserve"> constant</w:t>
      </w:r>
      <w:r>
        <w:t xml:space="preserve"> scenarios:</w:t>
      </w:r>
    </w:p>
    <w:p w:rsidR="00A67DBB" w:rsidRPr="00D47B88" w:rsidRDefault="00502BFA" w:rsidP="00A67DBB">
      <w:pPr>
        <w:rPr>
          <w:rFonts w:eastAsiaTheme="minorEastAsia"/>
        </w:rPr>
      </w:pPr>
      <m:oMathPara>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∊R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sub>
              <m:r>
                <w:rPr>
                  <w:rFonts w:ascii="Cambria Math" w:hAnsi="Cambria Math"/>
                </w:rPr>
                <m:t>i=1</m:t>
              </m:r>
            </m:sub>
            <m:sup>
              <m:r>
                <w:rPr>
                  <w:rFonts w:ascii="Cambria Math" w:hAnsi="Cambria Math"/>
                </w:rPr>
                <m:t>5</m:t>
              </m:r>
            </m:sup>
          </m:sSubSup>
        </m:oMath>
      </m:oMathPara>
    </w:p>
    <w:p w:rsidR="00A67DBB" w:rsidRDefault="00A67DBB">
      <w:pPr>
        <w:rPr>
          <w:rFonts w:eastAsiaTheme="minorEastAsia"/>
        </w:rPr>
      </w:pPr>
      <w:r>
        <w:rPr>
          <w:rFonts w:eastAsiaTheme="minorEastAsia"/>
        </w:rPr>
        <w:t>For convenience, these scenarios are labeled as follows:</w:t>
      </w:r>
    </w:p>
    <w:p w:rsidR="00A67DBB" w:rsidRPr="00A67DBB" w:rsidRDefault="00A67DBB" w:rsidP="00A67DB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oMath>
      </m:oMathPara>
    </w:p>
    <w:p w:rsidR="00A67DBB" w:rsidRDefault="00A67DBB">
      <w:pPr>
        <w:rPr>
          <w:rFonts w:eastAsiaTheme="minorEastAsia"/>
        </w:rPr>
      </w:pPr>
      <w:r>
        <w:rPr>
          <w:rFonts w:eastAsiaTheme="minorEastAsia"/>
        </w:rPr>
        <w:t xml:space="preserve"> </w:t>
      </w:r>
      <w:r w:rsidR="001B62E1">
        <w:rPr>
          <w:rFonts w:eastAsiaTheme="minorEastAsia"/>
        </w:rPr>
        <w:t xml:space="preserve">The </w:t>
      </w:r>
      <w:r w:rsidR="00EC4103">
        <w:rPr>
          <w:rFonts w:eastAsiaTheme="minorEastAsia"/>
        </w:rPr>
        <w:t xml:space="preserve">Cumulative </w:t>
      </w:r>
      <w:r w:rsidR="001B62E1">
        <w:rPr>
          <w:rFonts w:eastAsiaTheme="minorEastAsia"/>
        </w:rPr>
        <w:t>Probability Density Fun</w:t>
      </w:r>
      <w:r w:rsidR="00EC4103">
        <w:rPr>
          <w:rFonts w:eastAsiaTheme="minorEastAsia"/>
        </w:rPr>
        <w:t>ction for the forecast is assumed to conform to the following constraint:</w:t>
      </w:r>
    </w:p>
    <w:p w:rsidR="00737C70" w:rsidRPr="0040276B" w:rsidRDefault="00263906">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A</m:t>
                      </m:r>
                    </m:e>
                    <m:sub>
                      <m:r>
                        <w:rPr>
                          <w:rFonts w:ascii="Cambria Math" w:hAnsi="Cambria Math"/>
                        </w:rPr>
                        <m:t>right_tail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e>
              </m:eqArr>
            </m:e>
          </m:d>
        </m:oMath>
      </m:oMathPara>
    </w:p>
    <w:p w:rsidR="0040276B" w:rsidRPr="004202C0" w:rsidRDefault="000477F0">
      <w:pPr>
        <w:rPr>
          <w:rFonts w:eastAsiaTheme="minorEastAsia"/>
        </w:rPr>
      </w:pPr>
      <w:r>
        <w:rPr>
          <w:rFonts w:eastAsiaTheme="minorEastAsia"/>
        </w:rPr>
        <w:t xml:space="preserve">In words,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40276B">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sidR="0040276B">
        <w:rPr>
          <w:rFonts w:eastAsiaTheme="minorEastAsia"/>
        </w:rPr>
        <w:t xml:space="preserve"> are constants that determine the area under the left and right tails of the Probability Density Function.</w:t>
      </w:r>
    </w:p>
    <w:p w:rsidR="004202C0" w:rsidRDefault="004202C0">
      <w:pPr>
        <w:rPr>
          <w:rFonts w:eastAsiaTheme="minorEastAsia"/>
        </w:rPr>
      </w:pPr>
      <w:r>
        <w:rPr>
          <w:rFonts w:eastAsiaTheme="minorEastAsia"/>
        </w:rPr>
        <w:t>In addition, the Probability Density Function for the forecast is assumed to be piecewise linear with finite bounds:</w:t>
      </w:r>
    </w:p>
    <w:p w:rsidR="00C270BF" w:rsidRPr="00C270BF" w:rsidRDefault="00C270B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C270BF" w:rsidRDefault="00410886">
      <w:pPr>
        <w:rPr>
          <w:rFonts w:eastAsiaTheme="minorEastAsia"/>
        </w:rPr>
      </w:pPr>
      <w:r>
        <w:rPr>
          <w:rFonts w:eastAsiaTheme="minorEastAsia"/>
        </w:rPr>
        <w:t xml:space="preserve">Since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A858E6">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 xml:space="preserve">right_tail </m:t>
            </m:r>
          </m:sub>
        </m:sSub>
      </m:oMath>
      <w:r w:rsidR="00A858E6">
        <w:rPr>
          <w:rFonts w:eastAsiaTheme="minorEastAsia"/>
        </w:rPr>
        <w:t xml:space="preserve"> are triangles,</w:t>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bad</m:t>
            </m:r>
          </m:sub>
        </m:sSub>
      </m:oMath>
      <w:r w:rsidR="00A858E6">
        <w:rPr>
          <w:rFonts w:eastAsiaTheme="minorEastAsia"/>
        </w:rPr>
        <w:t xml:space="preserve"> and</w:t>
      </w:r>
      <w:r w:rsidR="0040276B">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good</m:t>
            </m:r>
          </m:sub>
        </m:sSub>
      </m:oMath>
      <w:r w:rsidR="001E67D4">
        <w:rPr>
          <w:rFonts w:eastAsiaTheme="minorEastAsia"/>
        </w:rPr>
        <w:t xml:space="preserve"> </w:t>
      </w:r>
      <w:r w:rsidR="0040276B">
        <w:rPr>
          <w:rFonts w:eastAsiaTheme="minorEastAsia"/>
        </w:rPr>
        <w:t>are calculated based on the scenario</w:t>
      </w:r>
      <w:r w:rsidR="00A858E6">
        <w:rPr>
          <w:rFonts w:eastAsiaTheme="minorEastAsia"/>
        </w:rPr>
        <w:t>s</w:t>
      </w:r>
      <w:r w:rsidR="0040276B">
        <w:rPr>
          <w:rFonts w:eastAsiaTheme="minorEastAsia"/>
        </w:rPr>
        <w:t xml:space="preserve"> and area constants:</w:t>
      </w:r>
    </w:p>
    <w:p w:rsidR="0040276B" w:rsidRPr="00B8111C" w:rsidRDefault="00502BFA">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left_tail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Pr="00C270BF" w:rsidRDefault="00502BFA" w:rsidP="00B8111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right_tail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Default="001E67D4">
      <w:pPr>
        <w:rPr>
          <w:rFonts w:eastAsiaTheme="minorEastAsia"/>
        </w:rPr>
      </w:pPr>
      <w:r>
        <w:rPr>
          <w:rFonts w:eastAsiaTheme="minorEastAsia"/>
        </w:rPr>
        <w:t xml:space="preserve">The probability between </w:t>
      </w:r>
      <m:oMath>
        <m:sSub>
          <m:sSubPr>
            <m:ctrlPr>
              <w:rPr>
                <w:rFonts w:ascii="Cambria Math" w:hAnsi="Cambria Math"/>
                <w:i/>
              </w:rPr>
            </m:ctrlPr>
          </m:sSubPr>
          <m:e>
            <m:r>
              <w:rPr>
                <w:rFonts w:ascii="Cambria Math" w:hAnsi="Cambria Math"/>
              </w:rPr>
              <m:t>x</m:t>
            </m:r>
          </m:e>
          <m:sub>
            <m:r>
              <w:rPr>
                <w:rFonts w:ascii="Cambria Math" w:hAnsi="Cambria Math"/>
              </w:rPr>
              <m:t>bad</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good</m:t>
            </m:r>
          </m:sub>
        </m:sSub>
      </m:oMath>
      <w:r>
        <w:rPr>
          <w:rFonts w:eastAsiaTheme="minorEastAsia"/>
        </w:rPr>
        <w:t xml:space="preserve"> represents the area of the distribution not consisting of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Pr>
          <w:rFonts w:eastAsiaTheme="minorEastAsia"/>
        </w:rPr>
        <w:t xml:space="preserve">. A vertical line drawn from </w:t>
      </w:r>
      <m:oMath>
        <m:sSub>
          <m:sSubPr>
            <m:ctrlPr>
              <w:rPr>
                <w:rFonts w:ascii="Cambria Math" w:hAnsi="Cambria Math"/>
                <w:i/>
              </w:rPr>
            </m:ctrlPr>
          </m:sSubPr>
          <m:e>
            <m:r>
              <w:rPr>
                <w:rFonts w:ascii="Cambria Math" w:hAnsi="Cambria Math"/>
              </w:rPr>
              <m:t>x</m:t>
            </m:r>
          </m:e>
          <m:sub>
            <m:r>
              <w:rPr>
                <w:rFonts w:ascii="Cambria Math" w:hAnsi="Cambria Math"/>
              </w:rPr>
              <m:t>likely</m:t>
            </m:r>
          </m:sub>
        </m:sSub>
      </m:oMath>
      <w:r>
        <w:rPr>
          <w:rFonts w:eastAsiaTheme="minorEastAsia"/>
        </w:rPr>
        <w:t xml:space="preserve"> to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splits this area into two trapezoids. As a result,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is determined by the aforementioned areas, heights, and scenarios:</w:t>
      </w:r>
    </w:p>
    <w:p w:rsidR="00FC1EAD" w:rsidRPr="00FC1EAD" w:rsidRDefault="00502BFA" w:rsidP="00FC1EAD">
      <w:pPr>
        <w:rPr>
          <w:rFonts w:eastAsiaTheme="minorEastAsia"/>
          <w:sz w:val="20"/>
          <w:szCs w:val="20"/>
        </w:rPr>
      </w:pPr>
      <m:oMathPara>
        <m:oMath>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r>
                <w:rPr>
                  <w:rFonts w:ascii="Cambria Math" w:hAnsi="Cambria Math"/>
                  <w:sz w:val="20"/>
                  <w:szCs w:val="20"/>
                </w:rPr>
                <m:t>2</m:t>
              </m:r>
            </m:den>
          </m:f>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oMath>
      </m:oMathPara>
    </w:p>
    <w:p w:rsidR="00FC1EAD" w:rsidRPr="004816EE" w:rsidRDefault="00502BFA" w:rsidP="00FC1EAD">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eastAsiaTheme="minorEastAsia" w:hAnsi="Cambria Math"/>
              <w:sz w:val="20"/>
              <w:szCs w:val="20"/>
            </w:rPr>
            <m:t>=</m:t>
          </m:r>
          <m:f>
            <m:fPr>
              <m:ctrlPr>
                <w:rPr>
                  <w:rFonts w:ascii="Cambria Math" w:hAnsi="Cambria Math"/>
                  <w:i/>
                  <w:sz w:val="20"/>
                  <w:szCs w:val="20"/>
                </w:rPr>
              </m:ctrlPr>
            </m:fPr>
            <m:num>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ctrlPr>
                    <w:rPr>
                      <w:rFonts w:ascii="Cambria Math" w:hAnsi="Cambria Math"/>
                      <w:i/>
                      <w:sz w:val="20"/>
                      <w:szCs w:val="20"/>
                    </w:rPr>
                  </m:ctrlP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den>
          </m:f>
        </m:oMath>
      </m:oMathPara>
    </w:p>
    <w:p w:rsidR="004816EE" w:rsidRDefault="004816EE" w:rsidP="00FC1EAD">
      <w:pPr>
        <w:rPr>
          <w:rFonts w:eastAsiaTheme="minorEastAsia"/>
          <w:sz w:val="20"/>
          <w:szCs w:val="20"/>
        </w:rPr>
      </w:pPr>
      <w:r>
        <w:rPr>
          <w:rFonts w:eastAsiaTheme="minorEastAsia"/>
          <w:sz w:val="20"/>
          <w:szCs w:val="20"/>
        </w:rPr>
        <w:t>The two trapezoidal areas can also be named and calculated:</w:t>
      </w:r>
    </w:p>
    <w:p w:rsidR="004816EE" w:rsidRPr="0023726B" w:rsidRDefault="00502BFA"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left_normal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likely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bad</m:t>
                  </m:r>
                </m:sub>
              </m:sSub>
              <m:r>
                <w:rPr>
                  <w:rFonts w:ascii="Cambria Math" w:eastAsiaTheme="minorEastAsia" w:hAnsi="Cambria Math"/>
                </w:rPr>
                <m:t>)</m:t>
              </m:r>
            </m:num>
            <m:den>
              <m:r>
                <w:rPr>
                  <w:rFonts w:ascii="Cambria Math" w:eastAsiaTheme="minorEastAsia" w:hAnsi="Cambria Math"/>
                </w:rPr>
                <m:t>2</m:t>
              </m:r>
            </m:den>
          </m:f>
        </m:oMath>
      </m:oMathPara>
    </w:p>
    <w:p w:rsidR="0023726B" w:rsidRPr="004816EE" w:rsidRDefault="00502BFA"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right_normal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good</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good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num>
            <m:den>
              <m:r>
                <w:rPr>
                  <w:rFonts w:ascii="Cambria Math" w:eastAsiaTheme="minorEastAsia" w:hAnsi="Cambria Math"/>
                </w:rPr>
                <m:t>2</m:t>
              </m:r>
            </m:den>
          </m:f>
        </m:oMath>
      </m:oMathPara>
    </w:p>
    <w:p w:rsidR="00FC1EAD" w:rsidRDefault="00FF76DB" w:rsidP="00FC1EAD">
      <w:pPr>
        <w:rPr>
          <w:rFonts w:eastAsiaTheme="minorEastAsia"/>
          <w:sz w:val="20"/>
          <w:szCs w:val="20"/>
        </w:rPr>
      </w:pPr>
      <w:r>
        <w:rPr>
          <w:rFonts w:eastAsiaTheme="minorEastAsia"/>
          <w:sz w:val="20"/>
          <w:szCs w:val="20"/>
        </w:rPr>
        <w:t>The</w:t>
      </w:r>
      <w:r w:rsidR="00745021">
        <w:rPr>
          <w:rFonts w:eastAsiaTheme="minorEastAsia"/>
          <w:sz w:val="20"/>
          <w:szCs w:val="20"/>
        </w:rPr>
        <w:t xml:space="preserve"> Piecewise Probability Density Function is fully specified based on the above results:</w:t>
      </w:r>
    </w:p>
    <w:p w:rsidR="00D24DBB" w:rsidRPr="00D24DBB" w:rsidRDefault="00745021" w:rsidP="0074502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D24DBB" w:rsidRPr="00D24DBB" w:rsidRDefault="00502BFA"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ba</m:t>
                  </m:r>
                  <m:r>
                    <w:rPr>
                      <w:rFonts w:ascii="Cambria Math" w:hAnsi="Cambria Math"/>
                    </w:rPr>
                    <m:t>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D24DBB" w:rsidRPr="00E102A2" w:rsidRDefault="00502BFA" w:rsidP="00D24DB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E102A2" w:rsidRPr="00D24DBB" w:rsidRDefault="00502BFA" w:rsidP="00E102A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D24DBB" w:rsidRPr="00C270BF" w:rsidRDefault="00502BFA"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rsidP="00644BE9">
      <w:pPr>
        <w:rPr>
          <w:rFonts w:eastAsiaTheme="minorEastAsia"/>
          <w:b/>
          <w:sz w:val="20"/>
          <w:szCs w:val="20"/>
        </w:rPr>
      </w:pPr>
      <w:r>
        <w:rPr>
          <w:rFonts w:eastAsiaTheme="minorEastAsia"/>
          <w:b/>
          <w:sz w:val="20"/>
          <w:szCs w:val="20"/>
        </w:rPr>
        <w:lastRenderedPageBreak/>
        <w:t>Calculating Moments of the Forecast</w:t>
      </w:r>
    </w:p>
    <w:p w:rsidR="00644BE9" w:rsidRDefault="00644BE9" w:rsidP="00644BE9">
      <w:pPr>
        <w:rPr>
          <w:rFonts w:eastAsiaTheme="minorEastAsia"/>
          <w:sz w:val="20"/>
          <w:szCs w:val="20"/>
        </w:rPr>
      </w:pPr>
      <w:r>
        <w:rPr>
          <w:rFonts w:eastAsiaTheme="minorEastAsia"/>
          <w:sz w:val="20"/>
          <w:szCs w:val="20"/>
        </w:rPr>
        <w:t>Through a property of expectations, the expectation of a piecewise linear function is the sum of its parts:</w:t>
      </w:r>
    </w:p>
    <w:p w:rsidR="00644BE9" w:rsidRPr="0057130F"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max</m:t>
                  </m:r>
                </m:sub>
              </m:sSub>
            </m:sup>
            <m:e>
              <m:r>
                <w:rPr>
                  <w:rFonts w:ascii="Cambria Math" w:eastAsiaTheme="minorEastAsia" w:hAnsi="Cambria Math"/>
                  <w:sz w:val="20"/>
                  <w:szCs w:val="20"/>
                </w:rPr>
                <m:t>xf(x)dx</m:t>
              </m:r>
            </m:e>
          </m:nary>
        </m:oMath>
      </m:oMathPara>
    </w:p>
    <w:p w:rsidR="00644BE9" w:rsidRPr="000E0A57"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4</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644BE9" w:rsidRDefault="00644BE9" w:rsidP="00FC1EAD">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bad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likely</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good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r>
                <w:rPr>
                  <w:rFonts w:ascii="Cambria Math" w:eastAsiaTheme="minorEastAsia" w:hAnsi="Cambria Math"/>
                  <w:sz w:val="20"/>
                  <w:szCs w:val="20"/>
                </w:rPr>
                <m:t>(x)dx</m:t>
              </m:r>
            </m:e>
          </m:nary>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max</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4</m:t>
                  </m:r>
                </m:sub>
              </m:sSub>
              <m:r>
                <w:rPr>
                  <w:rFonts w:ascii="Cambria Math" w:eastAsiaTheme="minorEastAsia" w:hAnsi="Cambria Math"/>
                  <w:sz w:val="20"/>
                  <w:szCs w:val="20"/>
                </w:rPr>
                <m:t>(x)dx</m:t>
              </m:r>
            </m:e>
          </m:nary>
        </m:oMath>
      </m:oMathPara>
    </w:p>
    <w:p w:rsidR="00745021" w:rsidRDefault="00644BE9" w:rsidP="00FC1EAD">
      <w:pPr>
        <w:rPr>
          <w:rFonts w:eastAsiaTheme="minorEastAsia"/>
          <w:sz w:val="20"/>
          <w:szCs w:val="20"/>
        </w:rPr>
      </w:pPr>
      <w:r>
        <w:rPr>
          <w:rFonts w:eastAsiaTheme="minorEastAsia"/>
          <w:sz w:val="20"/>
          <w:szCs w:val="20"/>
        </w:rPr>
        <w:t>Thus, t</w:t>
      </w:r>
      <w:r w:rsidR="0099713B">
        <w:rPr>
          <w:rFonts w:eastAsiaTheme="minorEastAsia"/>
          <w:sz w:val="20"/>
          <w:szCs w:val="20"/>
        </w:rPr>
        <w:t>he first four moments of the distribution may be calculated analytically</w:t>
      </w:r>
      <w:r w:rsidR="00182E13">
        <w:rPr>
          <w:rFonts w:eastAsiaTheme="minorEastAsia"/>
          <w:sz w:val="20"/>
          <w:szCs w:val="20"/>
        </w:rPr>
        <w:t xml:space="preserve"> using the following definitions of the moments</w:t>
      </w:r>
      <w:r w:rsidR="0099713B">
        <w:rPr>
          <w:rFonts w:eastAsiaTheme="minorEastAsia"/>
          <w:sz w:val="20"/>
          <w:szCs w:val="20"/>
        </w:rPr>
        <w:t>:</w:t>
      </w:r>
    </w:p>
    <w:p w:rsidR="0099713B" w:rsidRPr="0099713B" w:rsidRDefault="0099713B" w:rsidP="00FC1EAD">
      <w:pPr>
        <w:rPr>
          <w:rFonts w:eastAsiaTheme="minorEastAsia"/>
          <w:sz w:val="20"/>
          <w:szCs w:val="20"/>
        </w:rPr>
      </w:pPr>
      <m:oMathPara>
        <m:oMath>
          <m:r>
            <w:rPr>
              <w:rFonts w:ascii="Cambria Math" w:eastAsiaTheme="minorEastAsia" w:hAnsi="Cambria Math"/>
              <w:sz w:val="20"/>
              <w:szCs w:val="20"/>
            </w:rPr>
            <m:t>μ=E</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99713B" w:rsidRPr="008E4885" w:rsidRDefault="00502BFA" w:rsidP="0099713B">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oMath>
      </m:oMathPara>
    </w:p>
    <w:p w:rsidR="008E4885" w:rsidRPr="00D21AEC" w:rsidRDefault="008E4885" w:rsidP="008E4885">
      <w:pPr>
        <w:rPr>
          <w:rFonts w:eastAsiaTheme="minorEastAsia"/>
          <w:sz w:val="20"/>
          <w:szCs w:val="20"/>
        </w:rPr>
      </w:pPr>
      <m:oMathPara>
        <m:oMath>
          <m:r>
            <w:rPr>
              <w:rFonts w:ascii="Cambria Math" w:eastAsiaTheme="minorEastAsia" w:hAnsi="Cambria Math"/>
              <w:sz w:val="20"/>
              <w:szCs w:val="20"/>
            </w:rPr>
            <m:t>γ=</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+3*μ*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3</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3</m:t>
                  </m:r>
                </m:sup>
              </m:sSup>
            </m:den>
          </m:f>
        </m:oMath>
      </m:oMathPara>
    </w:p>
    <w:p w:rsidR="004816EE" w:rsidRPr="001076AB" w:rsidRDefault="00D21AEC">
      <w:pPr>
        <w:rPr>
          <w:rFonts w:eastAsiaTheme="minorEastAsia"/>
          <w:sz w:val="20"/>
          <w:szCs w:val="20"/>
        </w:rPr>
      </w:pPr>
      <m:oMathPara>
        <m:oMath>
          <m:r>
            <w:rPr>
              <w:rFonts w:ascii="Cambria Math" w:eastAsiaTheme="minorEastAsia" w:hAnsi="Cambria Math"/>
              <w:sz w:val="20"/>
              <w:szCs w:val="20"/>
            </w:rPr>
            <m:t>κ=</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4</m:t>
                      </m:r>
                    </m:sup>
                  </m:sSup>
                </m:e>
              </m:d>
              <m:r>
                <w:rPr>
                  <w:rFonts w:ascii="Cambria Math" w:eastAsiaTheme="minorEastAsia" w:hAnsi="Cambria Math"/>
                  <w:sz w:val="20"/>
                  <w:szCs w:val="20"/>
                </w:rPr>
                <m:t>-4*μ*E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+6*</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4</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pPr>
        <w:rPr>
          <w:rFonts w:eastAsiaTheme="minorEastAsia"/>
          <w:b/>
          <w:sz w:val="20"/>
          <w:szCs w:val="20"/>
        </w:rPr>
      </w:pPr>
      <w:r>
        <w:rPr>
          <w:rFonts w:eastAsiaTheme="minorEastAsia"/>
          <w:b/>
          <w:sz w:val="20"/>
          <w:szCs w:val="20"/>
        </w:rPr>
        <w:lastRenderedPageBreak/>
        <w:t>Simulating Investment Performance based on the Forecasts</w:t>
      </w:r>
    </w:p>
    <w:p w:rsidR="001076AB" w:rsidRDefault="00682917">
      <w:pPr>
        <w:rPr>
          <w:rFonts w:eastAsiaTheme="minorEastAsia"/>
          <w:sz w:val="20"/>
          <w:szCs w:val="20"/>
        </w:rPr>
      </w:pPr>
      <w:r>
        <w:rPr>
          <w:rFonts w:eastAsiaTheme="minorEastAsia"/>
          <w:sz w:val="20"/>
          <w:szCs w:val="20"/>
        </w:rPr>
        <w:t>The Piecewise Cumulative Density Function can also be determined:</w:t>
      </w:r>
    </w:p>
    <w:p w:rsidR="00682917" w:rsidRPr="00682917" w:rsidRDefault="00682917" w:rsidP="0068291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682917" w:rsidRPr="00682917" w:rsidRDefault="00502BFA"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dx</m:t>
              </m:r>
            </m:e>
          </m:nary>
        </m:oMath>
      </m:oMathPara>
    </w:p>
    <w:p w:rsidR="00682917" w:rsidRPr="00682917" w:rsidRDefault="00502BFA"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)dx</m:t>
              </m:r>
            </m:e>
          </m:nary>
        </m:oMath>
      </m:oMathPara>
    </w:p>
    <w:p w:rsidR="00682917" w:rsidRPr="00682917" w:rsidRDefault="00502BFA"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min</m:t>
                  </m:r>
                </m:sub>
              </m:sSub>
            </m:sub>
            <m:sup>
              <m:r>
                <w:rPr>
                  <w:rFonts w:ascii="Cambria Math" w:hAnsi="Cambria Math"/>
                </w:rPr>
                <m:t>x</m:t>
              </m:r>
            </m:sup>
          </m:sSubSup>
        </m:oMath>
      </m:oMathPara>
    </w:p>
    <w:p w:rsidR="00682917" w:rsidRPr="00682917" w:rsidRDefault="00502BFA"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bad</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oMath>
      </m:oMathPara>
    </w:p>
    <w:p w:rsidR="00D33F81" w:rsidRPr="00682917" w:rsidRDefault="00502BFA" w:rsidP="00D33F81">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likely</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left_normal</m:t>
              </m:r>
            </m:sub>
          </m:sSub>
        </m:oMath>
      </m:oMathPara>
    </w:p>
    <w:p w:rsidR="00682917" w:rsidRPr="00682917" w:rsidRDefault="00502BFA"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good</m:t>
                  </m:r>
                </m:sub>
              </m:sSub>
            </m:sub>
            <m:sup>
              <m:r>
                <w:rPr>
                  <w:rFonts w:ascii="Cambria Math" w:hAnsi="Cambria Math"/>
                </w:rPr>
                <m:t>x</m:t>
              </m:r>
            </m:sup>
          </m:sSubSup>
          <m:r>
            <w:rPr>
              <w:rFonts w:ascii="Cambria Math" w:eastAsiaTheme="minorEastAsia" w:hAnsi="Cambria Math"/>
              <w:sz w:val="20"/>
              <w:szCs w:val="20"/>
            </w:rPr>
            <m:t>+</m:t>
          </m:r>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r>
            <w:rPr>
              <w:rFonts w:ascii="Cambria Math" w:hAnsi="Cambria Math"/>
              <w:sz w:val="20"/>
              <w:szCs w:val="20"/>
            </w:rPr>
            <m:t>)</m:t>
          </m:r>
        </m:oMath>
      </m:oMathPara>
    </w:p>
    <w:p w:rsidR="00682917" w:rsidRDefault="00BD1F70" w:rsidP="00682917">
      <w:pPr>
        <w:rPr>
          <w:rFonts w:eastAsiaTheme="minorEastAsia"/>
        </w:rPr>
      </w:pPr>
      <w:r>
        <w:rPr>
          <w:rFonts w:eastAsiaTheme="minorEastAsia"/>
        </w:rPr>
        <w:t>Moreover, the above CDFs are quadratic. Consequently, the Inverse CDFs are calculated via the quadratic formula.</w:t>
      </w:r>
      <w:r w:rsidR="001A2856">
        <w:rPr>
          <w:rFonts w:eastAsiaTheme="minorEastAsia"/>
        </w:rPr>
        <w:t xml:space="preserve"> For example, the Inverse CDF of the first piecewise segment </w:t>
      </w:r>
      <w:r w:rsidR="00D17D0E">
        <w:rPr>
          <w:rFonts w:eastAsiaTheme="minorEastAsia"/>
        </w:rPr>
        <w:t>can be calculated as follows:</w:t>
      </w:r>
    </w:p>
    <w:p w:rsidR="00F545D4" w:rsidRPr="00BA4FF5" w:rsidRDefault="00502BFA" w:rsidP="00F545D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d>
        </m:oMath>
      </m:oMathPara>
    </w:p>
    <w:p w:rsidR="001A2856" w:rsidRPr="00BA4FF5" w:rsidRDefault="001A2856" w:rsidP="001A2856">
      <w:pPr>
        <w:rPr>
          <w:rFonts w:eastAsiaTheme="minorEastAsia"/>
        </w:rPr>
      </w:pPr>
      <m:oMathPara>
        <m:oMath>
          <m:r>
            <w:rPr>
              <w:rFonts w:ascii="Cambria Math" w:hAnsi="Cambria Math"/>
            </w:rPr>
            <m:t>0=</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rsidR="00BA4FF5" w:rsidRPr="00682917" w:rsidRDefault="00502BFA" w:rsidP="00F545D4">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en>
          </m:f>
        </m:oMath>
      </m:oMathPara>
    </w:p>
    <w:p w:rsidR="00BD1F70" w:rsidRDefault="008E1455" w:rsidP="00682917">
      <w:pPr>
        <w:rPr>
          <w:rFonts w:eastAsiaTheme="minorEastAsia"/>
        </w:rPr>
      </w:pPr>
      <w:r>
        <w:rPr>
          <w:rFonts w:eastAsiaTheme="minorEastAsia"/>
        </w:rPr>
        <w:t xml:space="preserve">Consequently, for any randomly generated </w:t>
      </w: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oMath>
      <w:r>
        <w:rPr>
          <w:rFonts w:eastAsiaTheme="minorEastAsia"/>
        </w:rPr>
        <w:t xml:space="preserve">, it is possible to map to the corresponding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The remaining Inverse CDFs are calculated similarly.</w:t>
      </w:r>
    </w:p>
    <w:p w:rsidR="004A24C3" w:rsidRPr="00682917" w:rsidRDefault="00502BFA" w:rsidP="004A24C3">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en>
          </m:f>
        </m:oMath>
      </m:oMathPara>
    </w:p>
    <w:p w:rsidR="004A24C3" w:rsidRPr="00784B67" w:rsidRDefault="00502BFA" w:rsidP="0068291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3</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3</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left_normal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en>
          </m:f>
        </m:oMath>
      </m:oMathPara>
    </w:p>
    <w:p w:rsidR="00784B67" w:rsidRPr="00682917" w:rsidRDefault="00502BFA" w:rsidP="00784B6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4</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4</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right_tail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en>
          </m:f>
        </m:oMath>
      </m:oMathPara>
    </w:p>
    <w:p w:rsidR="00682917" w:rsidRPr="002449E8" w:rsidRDefault="00682917">
      <w:pPr>
        <w:rPr>
          <w:rFonts w:eastAsiaTheme="minorEastAsia"/>
          <w:sz w:val="20"/>
          <w:szCs w:val="20"/>
        </w:rPr>
      </w:pPr>
    </w:p>
    <w:sectPr w:rsidR="00682917" w:rsidRPr="002449E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per" w:date="2019-07-22T10:50:00Z" w:initials="P">
    <w:p w:rsidR="00DD4617" w:rsidRDefault="00DD4617">
      <w:pPr>
        <w:pStyle w:val="CommentText"/>
      </w:pPr>
      <w:r>
        <w:rPr>
          <w:rStyle w:val="CommentReference"/>
        </w:rPr>
        <w:annotationRef/>
      </w:r>
      <w:r>
        <w:t>replace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440CB"/>
    <w:rsid w:val="000477F0"/>
    <w:rsid w:val="000512E3"/>
    <w:rsid w:val="000552F3"/>
    <w:rsid w:val="00060C37"/>
    <w:rsid w:val="00063D5F"/>
    <w:rsid w:val="00076D86"/>
    <w:rsid w:val="00091754"/>
    <w:rsid w:val="000A1684"/>
    <w:rsid w:val="000A3182"/>
    <w:rsid w:val="000B0FC2"/>
    <w:rsid w:val="000D5158"/>
    <w:rsid w:val="000D6D2F"/>
    <w:rsid w:val="000E0A57"/>
    <w:rsid w:val="000E2DEA"/>
    <w:rsid w:val="000F7509"/>
    <w:rsid w:val="001076AB"/>
    <w:rsid w:val="00117A0D"/>
    <w:rsid w:val="00142D87"/>
    <w:rsid w:val="00147643"/>
    <w:rsid w:val="001501C5"/>
    <w:rsid w:val="00150F9D"/>
    <w:rsid w:val="00175E6E"/>
    <w:rsid w:val="00182E13"/>
    <w:rsid w:val="00185AFC"/>
    <w:rsid w:val="00194FA5"/>
    <w:rsid w:val="001A2856"/>
    <w:rsid w:val="001B3E0F"/>
    <w:rsid w:val="001B62E1"/>
    <w:rsid w:val="001E67D4"/>
    <w:rsid w:val="001F3B42"/>
    <w:rsid w:val="001F7485"/>
    <w:rsid w:val="0020287B"/>
    <w:rsid w:val="00233B6B"/>
    <w:rsid w:val="0023726B"/>
    <w:rsid w:val="002449E8"/>
    <w:rsid w:val="00263906"/>
    <w:rsid w:val="00270774"/>
    <w:rsid w:val="00273FAA"/>
    <w:rsid w:val="002740A6"/>
    <w:rsid w:val="002746AB"/>
    <w:rsid w:val="002761E3"/>
    <w:rsid w:val="002774D2"/>
    <w:rsid w:val="00293D00"/>
    <w:rsid w:val="002D3054"/>
    <w:rsid w:val="002E3CC7"/>
    <w:rsid w:val="00300637"/>
    <w:rsid w:val="00341788"/>
    <w:rsid w:val="003768BB"/>
    <w:rsid w:val="003A2536"/>
    <w:rsid w:val="003F6EE1"/>
    <w:rsid w:val="0040276B"/>
    <w:rsid w:val="004058A0"/>
    <w:rsid w:val="0041019F"/>
    <w:rsid w:val="00410886"/>
    <w:rsid w:val="004202C0"/>
    <w:rsid w:val="00427164"/>
    <w:rsid w:val="0043452B"/>
    <w:rsid w:val="00437B5C"/>
    <w:rsid w:val="00440636"/>
    <w:rsid w:val="0045614A"/>
    <w:rsid w:val="004816EE"/>
    <w:rsid w:val="0048644A"/>
    <w:rsid w:val="004A09C8"/>
    <w:rsid w:val="004A24C3"/>
    <w:rsid w:val="004C24B7"/>
    <w:rsid w:val="004D64E1"/>
    <w:rsid w:val="004E5738"/>
    <w:rsid w:val="004F1A7B"/>
    <w:rsid w:val="00502BFA"/>
    <w:rsid w:val="00520D33"/>
    <w:rsid w:val="00537921"/>
    <w:rsid w:val="00551046"/>
    <w:rsid w:val="00566BBC"/>
    <w:rsid w:val="0057130F"/>
    <w:rsid w:val="005719B1"/>
    <w:rsid w:val="00572538"/>
    <w:rsid w:val="00597990"/>
    <w:rsid w:val="005B1198"/>
    <w:rsid w:val="00632F1E"/>
    <w:rsid w:val="00641263"/>
    <w:rsid w:val="00641E47"/>
    <w:rsid w:val="00644BE9"/>
    <w:rsid w:val="00682917"/>
    <w:rsid w:val="00690BAF"/>
    <w:rsid w:val="006E585E"/>
    <w:rsid w:val="00733DE2"/>
    <w:rsid w:val="007370B0"/>
    <w:rsid w:val="00737C70"/>
    <w:rsid w:val="00745021"/>
    <w:rsid w:val="007603F9"/>
    <w:rsid w:val="00761BA8"/>
    <w:rsid w:val="00764838"/>
    <w:rsid w:val="00784B67"/>
    <w:rsid w:val="00797BB1"/>
    <w:rsid w:val="007A3183"/>
    <w:rsid w:val="007B244E"/>
    <w:rsid w:val="007D5A5F"/>
    <w:rsid w:val="007D7FCD"/>
    <w:rsid w:val="007E2BE3"/>
    <w:rsid w:val="007F17A8"/>
    <w:rsid w:val="00807EE2"/>
    <w:rsid w:val="0082583C"/>
    <w:rsid w:val="0083127A"/>
    <w:rsid w:val="00841B2F"/>
    <w:rsid w:val="00894BDD"/>
    <w:rsid w:val="008E1455"/>
    <w:rsid w:val="008E4885"/>
    <w:rsid w:val="00923CF6"/>
    <w:rsid w:val="009626D1"/>
    <w:rsid w:val="00991BCF"/>
    <w:rsid w:val="0099713B"/>
    <w:rsid w:val="009E60F9"/>
    <w:rsid w:val="00A07E99"/>
    <w:rsid w:val="00A5508C"/>
    <w:rsid w:val="00A576F9"/>
    <w:rsid w:val="00A67DBB"/>
    <w:rsid w:val="00A858E6"/>
    <w:rsid w:val="00AA5BAE"/>
    <w:rsid w:val="00AC5D42"/>
    <w:rsid w:val="00AD6709"/>
    <w:rsid w:val="00B25976"/>
    <w:rsid w:val="00B26C59"/>
    <w:rsid w:val="00B8111C"/>
    <w:rsid w:val="00B87A34"/>
    <w:rsid w:val="00BA4FF5"/>
    <w:rsid w:val="00BD1F70"/>
    <w:rsid w:val="00C16CDB"/>
    <w:rsid w:val="00C270BF"/>
    <w:rsid w:val="00C35DC6"/>
    <w:rsid w:val="00CB5797"/>
    <w:rsid w:val="00CD657E"/>
    <w:rsid w:val="00D0558D"/>
    <w:rsid w:val="00D10C20"/>
    <w:rsid w:val="00D15724"/>
    <w:rsid w:val="00D17D0E"/>
    <w:rsid w:val="00D21AEC"/>
    <w:rsid w:val="00D220F0"/>
    <w:rsid w:val="00D24DBB"/>
    <w:rsid w:val="00D32713"/>
    <w:rsid w:val="00D33F81"/>
    <w:rsid w:val="00D47B88"/>
    <w:rsid w:val="00DD4617"/>
    <w:rsid w:val="00DE7354"/>
    <w:rsid w:val="00DF7478"/>
    <w:rsid w:val="00E102A2"/>
    <w:rsid w:val="00E20942"/>
    <w:rsid w:val="00E20F8A"/>
    <w:rsid w:val="00E443F5"/>
    <w:rsid w:val="00E56F6C"/>
    <w:rsid w:val="00E76372"/>
    <w:rsid w:val="00E763CF"/>
    <w:rsid w:val="00E8570B"/>
    <w:rsid w:val="00EC4103"/>
    <w:rsid w:val="00ED7B46"/>
    <w:rsid w:val="00EF492F"/>
    <w:rsid w:val="00EF6670"/>
    <w:rsid w:val="00F41ABF"/>
    <w:rsid w:val="00F5405F"/>
    <w:rsid w:val="00F545D4"/>
    <w:rsid w:val="00F96BF9"/>
    <w:rsid w:val="00FC1EAD"/>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TotalTime>
  <Pages>9</Pages>
  <Words>1791</Words>
  <Characters>10214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158</cp:revision>
  <dcterms:created xsi:type="dcterms:W3CDTF">2019-07-14T14:16:00Z</dcterms:created>
  <dcterms:modified xsi:type="dcterms:W3CDTF">2019-07-22T15:14:00Z</dcterms:modified>
</cp:coreProperties>
</file>