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w:t>
      </w:r>
      <w:r w:rsidR="005031D6">
        <w:rPr>
          <w:rFonts w:ascii="Times New Roman" w:hAnsi="Times New Roman" w:cs="Times New Roman"/>
          <w:b/>
          <w:sz w:val="24"/>
          <w:szCs w:val="24"/>
        </w:rPr>
        <w:t xml:space="preserve"> Scenario-Based</w:t>
      </w:r>
      <w:r w:rsidRPr="004D3FA8">
        <w:rPr>
          <w:rFonts w:ascii="Times New Roman" w:hAnsi="Times New Roman" w:cs="Times New Roman"/>
          <w:b/>
          <w:sz w:val="24"/>
          <w:szCs w:val="24"/>
        </w:rPr>
        <w:t xml:space="preserve">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1D5E8F"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Others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 </w:t>
      </w:r>
    </w:p>
    <w:p w:rsidR="004329A4"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t>
      </w:r>
      <w:r w:rsidR="003F5655">
        <w:rPr>
          <w:rFonts w:ascii="Times New Roman" w:eastAsiaTheme="minorEastAsia" w:hAnsi="Times New Roman" w:cs="Times New Roman"/>
          <w:sz w:val="24"/>
          <w:szCs w:val="24"/>
        </w:rPr>
        <w:t xml:space="preserve">this article focuses on the investment risk through the lens of GBI. </w:t>
      </w:r>
      <w:r w:rsidR="00452FFC">
        <w:rPr>
          <w:rFonts w:ascii="Times New Roman" w:eastAsiaTheme="minorEastAsia" w:hAnsi="Times New Roman" w:cs="Times New Roman"/>
          <w:sz w:val="24"/>
          <w:szCs w:val="24"/>
        </w:rPr>
        <w:t xml:space="preserve">First, it aims to demonstrate that the definition of investment risk as “the probability of an investor not reaching a goal” </w:t>
      </w:r>
      <w:r w:rsidR="001D5E8F">
        <w:rPr>
          <w:rFonts w:ascii="Times New Roman" w:eastAsiaTheme="minorEastAsia" w:hAnsi="Times New Roman" w:cs="Times New Roman"/>
          <w:sz w:val="24"/>
          <w:szCs w:val="24"/>
        </w:rPr>
        <w:t xml:space="preserve">captures additional information than volatility. </w:t>
      </w:r>
      <w:r w:rsidR="00E00E16">
        <w:rPr>
          <w:rFonts w:ascii="Times New Roman" w:eastAsiaTheme="minorEastAsia" w:hAnsi="Times New Roman" w:cs="Times New Roman"/>
          <w:sz w:val="24"/>
          <w:szCs w:val="24"/>
        </w:rPr>
        <w:t>Specifically, this definition can capture: 1) elements of risk that depend on the context of the investor; 2) distributional properties of the investment outside of the scope of MPT, such as skewness (asymmetry) and kurtosis (extreme events or “fat-tails”).</w:t>
      </w:r>
      <w:r w:rsidR="00FE6858">
        <w:rPr>
          <w:rFonts w:ascii="Times New Roman" w:eastAsiaTheme="minorEastAsia" w:hAnsi="Times New Roman" w:cs="Times New Roman"/>
          <w:sz w:val="24"/>
          <w:szCs w:val="24"/>
        </w:rPr>
        <w:t xml:space="preserve"> This means that GBI has the potential to realistically capture the risk associated with nontraditional strategies whose return distributions exhibit these characteristics.</w:t>
      </w:r>
    </w:p>
    <w:p w:rsidR="00522D3F" w:rsidRDefault="004329A4"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w:t>
      </w:r>
      <w:r w:rsidR="007330CE">
        <w:rPr>
          <w:rFonts w:ascii="Times New Roman" w:eastAsiaTheme="minorEastAsia" w:hAnsi="Times New Roman" w:cs="Times New Roman"/>
          <w:sz w:val="24"/>
          <w:szCs w:val="24"/>
        </w:rPr>
        <w:t>effort to exploit these potential benefits</w:t>
      </w:r>
      <w:r>
        <w:rPr>
          <w:rFonts w:ascii="Times New Roman" w:eastAsiaTheme="minorEastAsia" w:hAnsi="Times New Roman" w:cs="Times New Roman"/>
          <w:sz w:val="24"/>
          <w:szCs w:val="24"/>
        </w:rPr>
        <w:t>, this article</w:t>
      </w:r>
      <w:r w:rsidR="007330CE">
        <w:rPr>
          <w:rFonts w:ascii="Times New Roman" w:eastAsiaTheme="minorEastAsia" w:hAnsi="Times New Roman" w:cs="Times New Roman"/>
          <w:sz w:val="24"/>
          <w:szCs w:val="24"/>
        </w:rPr>
        <w:t xml:space="preserve"> introduces an investment simulation framework and shows its application. </w:t>
      </w:r>
      <w:r w:rsidR="0013314D">
        <w:rPr>
          <w:rFonts w:ascii="Times New Roman" w:eastAsiaTheme="minorEastAsia" w:hAnsi="Times New Roman" w:cs="Times New Roman"/>
          <w:sz w:val="24"/>
          <w:szCs w:val="24"/>
        </w:rPr>
        <w:t xml:space="preserve">However, GBI </w:t>
      </w:r>
      <w:r w:rsidR="00517A9B">
        <w:rPr>
          <w:rFonts w:ascii="Times New Roman" w:eastAsiaTheme="minorEastAsia" w:hAnsi="Times New Roman" w:cs="Times New Roman"/>
          <w:sz w:val="24"/>
          <w:szCs w:val="24"/>
        </w:rPr>
        <w:t xml:space="preserve">introduces far more than </w:t>
      </w:r>
      <w:r w:rsidR="00AC4134">
        <w:rPr>
          <w:rFonts w:ascii="Times New Roman" w:eastAsiaTheme="minorEastAsia" w:hAnsi="Times New Roman" w:cs="Times New Roman"/>
          <w:sz w:val="24"/>
          <w:szCs w:val="24"/>
        </w:rPr>
        <w:t xml:space="preserve">a new risk metric. </w:t>
      </w:r>
      <w:r w:rsidR="009509B4">
        <w:rPr>
          <w:rFonts w:ascii="Times New Roman" w:eastAsiaTheme="minorEastAsia" w:hAnsi="Times New Roman" w:cs="Times New Roman"/>
          <w:sz w:val="24"/>
          <w:szCs w:val="24"/>
        </w:rPr>
        <w:t xml:space="preserve">It systematically shifts the focus of asset management from the portfolio to the client. </w:t>
      </w:r>
      <w:r w:rsidR="000B31A3">
        <w:rPr>
          <w:rFonts w:ascii="Times New Roman" w:eastAsiaTheme="minorEastAsia" w:hAnsi="Times New Roman" w:cs="Times New Roman"/>
          <w:sz w:val="24"/>
          <w:szCs w:val="24"/>
        </w:rPr>
        <w:t>T</w:t>
      </w:r>
      <w:r w:rsidR="00C61BCB">
        <w:rPr>
          <w:rFonts w:ascii="Times New Roman" w:eastAsiaTheme="minorEastAsia" w:hAnsi="Times New Roman" w:cs="Times New Roman"/>
          <w:sz w:val="24"/>
          <w:szCs w:val="24"/>
        </w:rPr>
        <w:t>his shift manifests in the relative intelligibil</w:t>
      </w:r>
      <w:r w:rsidR="00213F2D">
        <w:rPr>
          <w:rFonts w:ascii="Times New Roman" w:eastAsiaTheme="minorEastAsia" w:hAnsi="Times New Roman" w:cs="Times New Roman"/>
          <w:sz w:val="24"/>
          <w:szCs w:val="24"/>
        </w:rPr>
        <w:t>ity and transparency of GBI</w:t>
      </w:r>
      <w:r w:rsidR="00546032">
        <w:rPr>
          <w:rFonts w:ascii="Times New Roman" w:eastAsiaTheme="minorEastAsia" w:hAnsi="Times New Roman" w:cs="Times New Roman"/>
          <w:sz w:val="24"/>
          <w:szCs w:val="24"/>
        </w:rPr>
        <w:t xml:space="preserve"> to investors</w:t>
      </w:r>
      <w:r w:rsidR="00213F2D">
        <w:rPr>
          <w:rFonts w:ascii="Times New Roman" w:eastAsiaTheme="minorEastAsia" w:hAnsi="Times New Roman" w:cs="Times New Roman"/>
          <w:sz w:val="24"/>
          <w:szCs w:val="24"/>
        </w:rPr>
        <w:t xml:space="preserve"> compared to</w:t>
      </w:r>
      <w:r w:rsidR="00C61BCB">
        <w:rPr>
          <w:rFonts w:ascii="Times New Roman" w:eastAsiaTheme="minorEastAsia" w:hAnsi="Times New Roman" w:cs="Times New Roman"/>
          <w:sz w:val="24"/>
          <w:szCs w:val="24"/>
        </w:rPr>
        <w:t xml:space="preserve"> MPT. </w:t>
      </w:r>
      <w:r w:rsidR="0033227B">
        <w:rPr>
          <w:rFonts w:ascii="Times New Roman" w:eastAsiaTheme="minorEastAsia" w:hAnsi="Times New Roman" w:cs="Times New Roman"/>
          <w:sz w:val="24"/>
          <w:szCs w:val="24"/>
        </w:rPr>
        <w:t>Investor goals are mapped to cash outflows and the probability of matching these outflows defines risk.</w:t>
      </w:r>
      <w:r w:rsidR="00FE1E56">
        <w:rPr>
          <w:rFonts w:ascii="Times New Roman" w:eastAsiaTheme="minorEastAsia" w:hAnsi="Times New Roman" w:cs="Times New Roman"/>
          <w:sz w:val="24"/>
          <w:szCs w:val="24"/>
        </w:rPr>
        <w:t xml:space="preserve"> The</w:t>
      </w:r>
      <w:r w:rsidR="004F456F">
        <w:rPr>
          <w:rFonts w:ascii="Times New Roman" w:eastAsiaTheme="minorEastAsia" w:hAnsi="Times New Roman" w:cs="Times New Roman"/>
          <w:sz w:val="24"/>
          <w:szCs w:val="24"/>
        </w:rPr>
        <w:t>se</w:t>
      </w:r>
      <w:r w:rsidR="00FE1E56">
        <w:rPr>
          <w:rFonts w:ascii="Times New Roman" w:eastAsiaTheme="minorEastAsia" w:hAnsi="Times New Roman" w:cs="Times New Roman"/>
          <w:sz w:val="24"/>
          <w:szCs w:val="24"/>
        </w:rPr>
        <w:t xml:space="preserve"> steps only require basic financial and probabilistic concepts.</w:t>
      </w:r>
      <w:r w:rsidR="0033227B">
        <w:rPr>
          <w:rFonts w:ascii="Times New Roman" w:eastAsiaTheme="minorEastAsia" w:hAnsi="Times New Roman" w:cs="Times New Roman"/>
          <w:sz w:val="24"/>
          <w:szCs w:val="24"/>
        </w:rPr>
        <w:t xml:space="preserve"> </w:t>
      </w:r>
      <w:r w:rsidR="00FE1E56">
        <w:rPr>
          <w:rFonts w:ascii="Times New Roman" w:eastAsiaTheme="minorEastAsia" w:hAnsi="Times New Roman" w:cs="Times New Roman"/>
          <w:sz w:val="24"/>
          <w:szCs w:val="24"/>
        </w:rPr>
        <w:t>However, a</w:t>
      </w:r>
      <w:r w:rsidR="0033227B">
        <w:rPr>
          <w:rFonts w:ascii="Times New Roman" w:eastAsiaTheme="minorEastAsia" w:hAnsi="Times New Roman" w:cs="Times New Roman"/>
          <w:sz w:val="24"/>
          <w:szCs w:val="24"/>
        </w:rPr>
        <w:t xml:space="preserve">n investment portfolio must be selected to </w:t>
      </w:r>
      <w:proofErr w:type="spellStart"/>
      <w:r w:rsidR="0033227B">
        <w:rPr>
          <w:rFonts w:ascii="Times New Roman" w:eastAsiaTheme="minorEastAsia" w:hAnsi="Times New Roman" w:cs="Times New Roman"/>
          <w:sz w:val="24"/>
          <w:szCs w:val="24"/>
        </w:rPr>
        <w:t>defease</w:t>
      </w:r>
      <w:proofErr w:type="spellEnd"/>
      <w:r w:rsidR="0033227B">
        <w:rPr>
          <w:rFonts w:ascii="Times New Roman" w:eastAsiaTheme="minorEastAsia" w:hAnsi="Times New Roman" w:cs="Times New Roman"/>
          <w:sz w:val="24"/>
          <w:szCs w:val="24"/>
        </w:rPr>
        <w:t xml:space="preserve"> these </w:t>
      </w:r>
      <w:proofErr w:type="gramStart"/>
      <w:r w:rsidR="0033227B">
        <w:rPr>
          <w:rFonts w:ascii="Times New Roman" w:eastAsiaTheme="minorEastAsia" w:hAnsi="Times New Roman" w:cs="Times New Roman"/>
          <w:sz w:val="24"/>
          <w:szCs w:val="24"/>
        </w:rPr>
        <w:t>outflows</w:t>
      </w:r>
      <w:proofErr w:type="gramEnd"/>
      <w:r w:rsidR="0033227B">
        <w:rPr>
          <w:rFonts w:ascii="Times New Roman" w:eastAsiaTheme="minorEastAsia" w:hAnsi="Times New Roman" w:cs="Times New Roman"/>
          <w:sz w:val="24"/>
          <w:szCs w:val="24"/>
        </w:rPr>
        <w:t xml:space="preserve"> such that the goal is satisfied.</w:t>
      </w:r>
      <w:r w:rsidR="00FE1E56">
        <w:rPr>
          <w:rFonts w:ascii="Times New Roman" w:eastAsiaTheme="minorEastAsia" w:hAnsi="Times New Roman" w:cs="Times New Roman"/>
          <w:sz w:val="24"/>
          <w:szCs w:val="24"/>
        </w:rPr>
        <w:t xml:space="preserve"> </w:t>
      </w:r>
      <w:r w:rsidR="00C61E53">
        <w:rPr>
          <w:rFonts w:ascii="Times New Roman" w:eastAsiaTheme="minorEastAsia" w:hAnsi="Times New Roman" w:cs="Times New Roman"/>
          <w:sz w:val="24"/>
          <w:szCs w:val="24"/>
        </w:rPr>
        <w:t>A number of authors recomme</w:t>
      </w:r>
      <w:r w:rsidR="006C17E2">
        <w:rPr>
          <w:rFonts w:ascii="Times New Roman" w:eastAsiaTheme="minorEastAsia" w:hAnsi="Times New Roman" w:cs="Times New Roman"/>
          <w:sz w:val="24"/>
          <w:szCs w:val="24"/>
        </w:rPr>
        <w:t>nd using MPT</w:t>
      </w:r>
      <w:r w:rsidR="00C61E53">
        <w:rPr>
          <w:rFonts w:ascii="Times New Roman" w:eastAsiaTheme="minorEastAsia" w:hAnsi="Times New Roman" w:cs="Times New Roman"/>
          <w:sz w:val="24"/>
          <w:szCs w:val="24"/>
        </w:rPr>
        <w:t xml:space="preserve"> for this purpose.</w:t>
      </w:r>
      <w:r w:rsidR="00D33BB4">
        <w:rPr>
          <w:rFonts w:ascii="Times New Roman" w:eastAsiaTheme="minorEastAsia" w:hAnsi="Times New Roman" w:cs="Times New Roman"/>
          <w:sz w:val="24"/>
          <w:szCs w:val="24"/>
        </w:rPr>
        <w:t xml:space="preserve"> </w:t>
      </w:r>
      <w:r w:rsidR="00FE33AF">
        <w:rPr>
          <w:rFonts w:ascii="Times New Roman" w:eastAsiaTheme="minorEastAsia" w:hAnsi="Times New Roman" w:cs="Times New Roman"/>
          <w:sz w:val="24"/>
          <w:szCs w:val="24"/>
        </w:rPr>
        <w:t xml:space="preserve">In the anecdotal experience of the author, even institutional investors struggle to understand how to estimate portfolio volatility. In fact, an entire segment of the Investment Management Software Industry creates models and techniques dedicated to this topic. </w:t>
      </w:r>
      <w:r w:rsidR="002E5C89">
        <w:rPr>
          <w:rFonts w:ascii="Times New Roman" w:eastAsiaTheme="minorEastAsia" w:hAnsi="Times New Roman" w:cs="Times New Roman"/>
          <w:sz w:val="24"/>
          <w:szCs w:val="24"/>
        </w:rPr>
        <w:t>Thus, the</w:t>
      </w:r>
      <w:r w:rsidR="009010FF">
        <w:rPr>
          <w:rFonts w:ascii="Times New Roman" w:eastAsiaTheme="minorEastAsia" w:hAnsi="Times New Roman" w:cs="Times New Roman"/>
          <w:sz w:val="24"/>
          <w:szCs w:val="24"/>
        </w:rPr>
        <w:t xml:space="preserve"> risk</w:t>
      </w:r>
      <w:r w:rsidR="002E5C89">
        <w:rPr>
          <w:rFonts w:ascii="Times New Roman" w:eastAsiaTheme="minorEastAsia" w:hAnsi="Times New Roman" w:cs="Times New Roman"/>
          <w:sz w:val="24"/>
          <w:szCs w:val="24"/>
        </w:rPr>
        <w:t xml:space="preserve"> modeling of investment portfolios still remains opaque and incomprehensible to both investors and wealth managers.</w:t>
      </w:r>
      <w:r w:rsidR="00BE1A3A">
        <w:rPr>
          <w:rFonts w:ascii="Times New Roman" w:eastAsiaTheme="minorEastAsia" w:hAnsi="Times New Roman" w:cs="Times New Roman"/>
          <w:sz w:val="24"/>
          <w:szCs w:val="24"/>
        </w:rPr>
        <w:t xml:space="preserve">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615B12">
        <w:rPr>
          <w:rFonts w:ascii="Times New Roman" w:eastAsiaTheme="minorEastAsia" w:hAnsi="Times New Roman" w:cs="Times New Roman"/>
          <w:sz w:val="24"/>
          <w:szCs w:val="24"/>
        </w:rPr>
        <w:t>.</w:t>
      </w:r>
      <w:r w:rsidR="003F1BCD">
        <w:rPr>
          <w:rFonts w:ascii="Times New Roman" w:eastAsiaTheme="minorEastAsia" w:hAnsi="Times New Roman" w:cs="Times New Roman"/>
          <w:sz w:val="24"/>
          <w:szCs w:val="24"/>
        </w:rPr>
        <w:t xml:space="preserve"> </w:t>
      </w:r>
      <w:r w:rsidR="00987C00">
        <w:rPr>
          <w:rFonts w:ascii="Times New Roman" w:eastAsiaTheme="minorEastAsia" w:hAnsi="Times New Roman" w:cs="Times New Roman"/>
          <w:sz w:val="24"/>
          <w:szCs w:val="24"/>
        </w:rPr>
        <w:t>A computer then can simulate investment results</w:t>
      </w:r>
      <w:r w:rsidR="0032244F">
        <w:rPr>
          <w:rFonts w:ascii="Times New Roman" w:eastAsiaTheme="minorEastAsia" w:hAnsi="Times New Roman" w:cs="Times New Roman"/>
          <w:sz w:val="24"/>
          <w:szCs w:val="24"/>
        </w:rPr>
        <w:t xml:space="preserve"> based</w:t>
      </w:r>
      <w:r w:rsidR="00987C00">
        <w:rPr>
          <w:rFonts w:ascii="Times New Roman" w:eastAsiaTheme="minorEastAsia" w:hAnsi="Times New Roman" w:cs="Times New Roman"/>
          <w:sz w:val="24"/>
          <w:szCs w:val="24"/>
        </w:rPr>
        <w:t xml:space="preserve"> on the resulting distribution.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 xml:space="preserve">ted over computer networks, this approach enables different wealth managers and investors to leverage the same investment </w:t>
      </w:r>
      <w:r w:rsidR="000E3FD6">
        <w:rPr>
          <w:rFonts w:ascii="Times New Roman" w:eastAsiaTheme="minorEastAsia" w:hAnsi="Times New Roman" w:cs="Times New Roman"/>
          <w:sz w:val="24"/>
          <w:szCs w:val="24"/>
        </w:rPr>
        <w:lastRenderedPageBreak/>
        <w:t>forecast to calculate the probability of reaching different goals and potentially lower costs. This is mentioned for completeness and will not be explored further.</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3F1BCD">
        <w:rPr>
          <w:rFonts w:ascii="Times New Roman" w:eastAsiaTheme="minorEastAsia" w:hAnsi="Times New Roman" w:cs="Times New Roman"/>
          <w:sz w:val="24"/>
          <w:szCs w:val="24"/>
        </w:rPr>
        <w:t xml:space="preserve"> metrics.</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or skill (i.e. Performance Attribution).</w:t>
      </w:r>
      <w:r w:rsidR="00615B12">
        <w:rPr>
          <w:rFonts w:ascii="Times New Roman" w:eastAsiaTheme="minorEastAsia" w:hAnsi="Times New Roman" w:cs="Times New Roman"/>
          <w:sz w:val="24"/>
          <w:szCs w:val="24"/>
        </w:rPr>
        <w:t xml:space="preserve">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4C7C7A">
        <w:rPr>
          <w:rFonts w:ascii="Times New Roman" w:eastAsiaTheme="minorEastAsia" w:hAnsi="Times New Roman" w:cs="Times New Roman"/>
          <w:sz w:val="24"/>
          <w:szCs w:val="24"/>
          <w:highlight w:val="yellow"/>
        </w:rPr>
        <w:t>Sironi</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Probabilistic Scenario Analysis to determine optimal goal-based portfolios. This topic is also 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r w:rsidR="00010A9E">
        <w:rPr>
          <w:rFonts w:ascii="Times New Roman" w:eastAsiaTheme="minorEastAsia" w:hAnsi="Times New Roman" w:cs="Times New Roman"/>
          <w:sz w:val="24"/>
          <w:szCs w:val="24"/>
        </w:rPr>
        <w:t xml:space="preserve"> </w:t>
      </w:r>
    </w:p>
    <w:p w:rsidR="00010A9E"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w:t>
      </w:r>
      <w:r w:rsidRPr="004D3FA8">
        <w:rPr>
          <w:rFonts w:ascii="Times New Roman" w:eastAsiaTheme="minorEastAsia" w:hAnsi="Times New Roman" w:cs="Times New Roman"/>
          <w:sz w:val="24"/>
          <w:szCs w:val="24"/>
        </w:rPr>
        <w:lastRenderedPageBreak/>
        <w:t>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lastRenderedPageBreak/>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xml:space="preserve">,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Then, it has the following properties.</w:t>
      </w:r>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EB601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EB601C"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EB601C"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m:t>
          </m:r>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Scenario 1 </m:t>
          </m:r>
          <m:r>
            <w:rPr>
              <w:rFonts w:ascii="Cambria Math" w:hAnsi="Cambria Math" w:cs="Times New Roman"/>
              <w:sz w:val="24"/>
              <w:szCs w:val="24"/>
            </w:rPr>
            <m:t>Excess Kurtosis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r>
                <w:rPr>
                  <w:rFonts w:ascii="Cambria Math" w:hAnsi="Cambria Math" w:cs="Times New Roman"/>
                  <w:sz w:val="24"/>
                  <w:szCs w:val="24"/>
                </w:rPr>
                <m:t>*.2</m:t>
              </m:r>
              <m:r>
                <w:rPr>
                  <w:rFonts w:ascii="Cambria Math" w:hAnsi="Cambria Math" w:cs="Times New Roman"/>
                  <w:sz w:val="24"/>
                  <w:szCs w:val="24"/>
                </w:rPr>
                <m:t>*.8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 xml:space="preserve">Scenario 2 </m:t>
          </m:r>
          <m:r>
            <w:rPr>
              <w:rFonts w:ascii="Cambria Math" w:hAnsi="Cambria Math" w:cs="Times New Roman"/>
              <w:sz w:val="24"/>
              <w:szCs w:val="24"/>
            </w:rPr>
            <m:t>Excess Kurtosis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r>
                <w:rPr>
                  <w:rFonts w:ascii="Cambria Math" w:hAnsi="Cambria Math" w:cs="Times New Roman"/>
                  <w:sz w:val="24"/>
                  <w:szCs w:val="24"/>
                </w:rPr>
                <m:t>.5</m:t>
              </m:r>
              <m:r>
                <w:rPr>
                  <w:rFonts w:ascii="Cambria Math" w:hAnsi="Cambria Math" w:cs="Times New Roman"/>
                  <w:sz w:val="24"/>
                  <w:szCs w:val="24"/>
                </w:rPr>
                <m:t>*</m:t>
              </m:r>
              <m:r>
                <w:rPr>
                  <w:rFonts w:ascii="Cambria Math" w:hAnsi="Cambria Math" w:cs="Times New Roman"/>
                  <w:sz w:val="24"/>
                  <w:szCs w:val="24"/>
                </w:rPr>
                <m:t>.5</m:t>
              </m:r>
            </m:num>
            <m:den>
              <m:r>
                <w:rPr>
                  <w:rFonts w:ascii="Cambria Math" w:hAnsi="Cambria Math" w:cs="Times New Roman"/>
                  <w:sz w:val="24"/>
                  <w:szCs w:val="24"/>
                </w:rPr>
                <m:t>.5(.5</m:t>
              </m:r>
              <m:r>
                <w:rPr>
                  <w:rFonts w:ascii="Cambria Math" w:hAnsi="Cambria Math" w:cs="Times New Roman"/>
                  <w:sz w:val="24"/>
                  <w:szCs w:val="24"/>
                </w:rPr>
                <m:t>)</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w:t>
      </w:r>
      <w:bookmarkStart w:id="1" w:name="_GoBack"/>
      <w:bookmarkEnd w:id="1"/>
      <w:r>
        <w:rPr>
          <w:rFonts w:ascii="Times New Roman" w:hAnsi="Times New Roman" w:cs="Times New Roman"/>
          <w:sz w:val="24"/>
          <w:szCs w:val="24"/>
        </w:rPr>
        <w:t>.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EB60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EB601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EB601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EB601C"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EB60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EB601C"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EB601C"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m:t>
                      </m:r>
                      <m:r>
                        <w:rPr>
                          <w:rFonts w:ascii="Cambria Math" w:hAnsi="Cambria Math" w:cs="Times New Roman"/>
                          <w:sz w:val="24"/>
                          <w:szCs w:val="24"/>
                        </w:rPr>
                        <m:t>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EB601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EB601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EB601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EB601C"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EB601C"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EB601C"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EB601C"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EB601C"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EB601C"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EB601C"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EB601C"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EB601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EB601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EB601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EB601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EB601C"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EB601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EB601C"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EB601C"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EB601C"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EB601C"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EB601C"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p>
    <w:sectPr w:rsid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EB601C" w:rsidRDefault="00EB601C">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10A9E"/>
    <w:rsid w:val="000160FB"/>
    <w:rsid w:val="00022EBD"/>
    <w:rsid w:val="00037ED2"/>
    <w:rsid w:val="000440CB"/>
    <w:rsid w:val="00046CE5"/>
    <w:rsid w:val="000477F0"/>
    <w:rsid w:val="000512E3"/>
    <w:rsid w:val="0005437F"/>
    <w:rsid w:val="000552F3"/>
    <w:rsid w:val="00060C37"/>
    <w:rsid w:val="00063D5F"/>
    <w:rsid w:val="00072AD2"/>
    <w:rsid w:val="00073A2E"/>
    <w:rsid w:val="00076D86"/>
    <w:rsid w:val="00091754"/>
    <w:rsid w:val="00093E94"/>
    <w:rsid w:val="00095AF6"/>
    <w:rsid w:val="000A1684"/>
    <w:rsid w:val="000A3182"/>
    <w:rsid w:val="000A3E7E"/>
    <w:rsid w:val="000B0FC2"/>
    <w:rsid w:val="000B31A3"/>
    <w:rsid w:val="000B4CEA"/>
    <w:rsid w:val="000C5CA6"/>
    <w:rsid w:val="000D5158"/>
    <w:rsid w:val="000D6D2F"/>
    <w:rsid w:val="000E0A57"/>
    <w:rsid w:val="000E2DEA"/>
    <w:rsid w:val="000E3FD6"/>
    <w:rsid w:val="000F16F6"/>
    <w:rsid w:val="000F7509"/>
    <w:rsid w:val="001076AB"/>
    <w:rsid w:val="001143F9"/>
    <w:rsid w:val="00117A0D"/>
    <w:rsid w:val="0013314D"/>
    <w:rsid w:val="00142D87"/>
    <w:rsid w:val="00147643"/>
    <w:rsid w:val="001501C5"/>
    <w:rsid w:val="00150F9D"/>
    <w:rsid w:val="00175E6E"/>
    <w:rsid w:val="00182E13"/>
    <w:rsid w:val="00185AFC"/>
    <w:rsid w:val="001919B9"/>
    <w:rsid w:val="00194FA5"/>
    <w:rsid w:val="001A202F"/>
    <w:rsid w:val="001A2856"/>
    <w:rsid w:val="001B3E0F"/>
    <w:rsid w:val="001B5777"/>
    <w:rsid w:val="001B62E1"/>
    <w:rsid w:val="001D05D0"/>
    <w:rsid w:val="001D2ABC"/>
    <w:rsid w:val="001D5E8F"/>
    <w:rsid w:val="001E67D4"/>
    <w:rsid w:val="001F3B42"/>
    <w:rsid w:val="001F42FD"/>
    <w:rsid w:val="001F7485"/>
    <w:rsid w:val="0020287B"/>
    <w:rsid w:val="00213F2D"/>
    <w:rsid w:val="00214D0C"/>
    <w:rsid w:val="002168D9"/>
    <w:rsid w:val="00220046"/>
    <w:rsid w:val="00222B94"/>
    <w:rsid w:val="00233B6B"/>
    <w:rsid w:val="0023726B"/>
    <w:rsid w:val="002449E8"/>
    <w:rsid w:val="00253F63"/>
    <w:rsid w:val="00257895"/>
    <w:rsid w:val="00263906"/>
    <w:rsid w:val="00270774"/>
    <w:rsid w:val="00273FAA"/>
    <w:rsid w:val="002740A6"/>
    <w:rsid w:val="002746AB"/>
    <w:rsid w:val="002761E3"/>
    <w:rsid w:val="002774D2"/>
    <w:rsid w:val="00290C87"/>
    <w:rsid w:val="0029268F"/>
    <w:rsid w:val="002939E3"/>
    <w:rsid w:val="00293D00"/>
    <w:rsid w:val="002A2182"/>
    <w:rsid w:val="002B2BAF"/>
    <w:rsid w:val="002D0685"/>
    <w:rsid w:val="002D3054"/>
    <w:rsid w:val="002D3B34"/>
    <w:rsid w:val="002E3360"/>
    <w:rsid w:val="002E3CC7"/>
    <w:rsid w:val="002E5B72"/>
    <w:rsid w:val="002E5C89"/>
    <w:rsid w:val="00300637"/>
    <w:rsid w:val="00302696"/>
    <w:rsid w:val="003059D2"/>
    <w:rsid w:val="00313078"/>
    <w:rsid w:val="0032244F"/>
    <w:rsid w:val="0033227B"/>
    <w:rsid w:val="00341788"/>
    <w:rsid w:val="0036463A"/>
    <w:rsid w:val="00367045"/>
    <w:rsid w:val="003768BB"/>
    <w:rsid w:val="003A2536"/>
    <w:rsid w:val="003C5477"/>
    <w:rsid w:val="003C637B"/>
    <w:rsid w:val="003F115A"/>
    <w:rsid w:val="003F11BD"/>
    <w:rsid w:val="003F1BCD"/>
    <w:rsid w:val="003F5655"/>
    <w:rsid w:val="003F6EE1"/>
    <w:rsid w:val="0040276B"/>
    <w:rsid w:val="00402BB1"/>
    <w:rsid w:val="004058A0"/>
    <w:rsid w:val="0041019F"/>
    <w:rsid w:val="00410886"/>
    <w:rsid w:val="00414BED"/>
    <w:rsid w:val="004202C0"/>
    <w:rsid w:val="00420356"/>
    <w:rsid w:val="00427164"/>
    <w:rsid w:val="004329A4"/>
    <w:rsid w:val="0043452B"/>
    <w:rsid w:val="00437B5C"/>
    <w:rsid w:val="00440636"/>
    <w:rsid w:val="004442B2"/>
    <w:rsid w:val="00452FFC"/>
    <w:rsid w:val="0045614A"/>
    <w:rsid w:val="004676FB"/>
    <w:rsid w:val="004816EE"/>
    <w:rsid w:val="004826DE"/>
    <w:rsid w:val="0048644A"/>
    <w:rsid w:val="00486805"/>
    <w:rsid w:val="004872D4"/>
    <w:rsid w:val="004A09C8"/>
    <w:rsid w:val="004A24C3"/>
    <w:rsid w:val="004B1AEF"/>
    <w:rsid w:val="004B729D"/>
    <w:rsid w:val="004B7A0F"/>
    <w:rsid w:val="004C08CF"/>
    <w:rsid w:val="004C24B7"/>
    <w:rsid w:val="004C7C7A"/>
    <w:rsid w:val="004D3FA8"/>
    <w:rsid w:val="004D64E1"/>
    <w:rsid w:val="004E4388"/>
    <w:rsid w:val="004E5738"/>
    <w:rsid w:val="004F1A7B"/>
    <w:rsid w:val="004F20A8"/>
    <w:rsid w:val="004F456F"/>
    <w:rsid w:val="0050295B"/>
    <w:rsid w:val="00502BFA"/>
    <w:rsid w:val="005031D6"/>
    <w:rsid w:val="00517A9B"/>
    <w:rsid w:val="00520D33"/>
    <w:rsid w:val="00522D3F"/>
    <w:rsid w:val="005325E2"/>
    <w:rsid w:val="00537921"/>
    <w:rsid w:val="00546032"/>
    <w:rsid w:val="00551046"/>
    <w:rsid w:val="00554D3A"/>
    <w:rsid w:val="00566BBC"/>
    <w:rsid w:val="0057130F"/>
    <w:rsid w:val="005719B1"/>
    <w:rsid w:val="00572538"/>
    <w:rsid w:val="005729D8"/>
    <w:rsid w:val="00576B00"/>
    <w:rsid w:val="00590AB6"/>
    <w:rsid w:val="00597990"/>
    <w:rsid w:val="005B1198"/>
    <w:rsid w:val="005C225E"/>
    <w:rsid w:val="005C4863"/>
    <w:rsid w:val="005D7F86"/>
    <w:rsid w:val="00615B12"/>
    <w:rsid w:val="00632F1E"/>
    <w:rsid w:val="006340E0"/>
    <w:rsid w:val="00641263"/>
    <w:rsid w:val="00641E47"/>
    <w:rsid w:val="00644BE9"/>
    <w:rsid w:val="00653EE1"/>
    <w:rsid w:val="00654897"/>
    <w:rsid w:val="0065599A"/>
    <w:rsid w:val="006624DE"/>
    <w:rsid w:val="00665808"/>
    <w:rsid w:val="00673FF5"/>
    <w:rsid w:val="00674A09"/>
    <w:rsid w:val="00674E14"/>
    <w:rsid w:val="00682917"/>
    <w:rsid w:val="00690BAF"/>
    <w:rsid w:val="00697110"/>
    <w:rsid w:val="006A54C1"/>
    <w:rsid w:val="006B4F5B"/>
    <w:rsid w:val="006C17E2"/>
    <w:rsid w:val="006D286C"/>
    <w:rsid w:val="006E2138"/>
    <w:rsid w:val="006E23BC"/>
    <w:rsid w:val="006E585E"/>
    <w:rsid w:val="006E7AB8"/>
    <w:rsid w:val="006F20E8"/>
    <w:rsid w:val="0071231B"/>
    <w:rsid w:val="0072164B"/>
    <w:rsid w:val="007330CE"/>
    <w:rsid w:val="00733DE2"/>
    <w:rsid w:val="007370B0"/>
    <w:rsid w:val="00737C70"/>
    <w:rsid w:val="00745021"/>
    <w:rsid w:val="007603F9"/>
    <w:rsid w:val="00761BA8"/>
    <w:rsid w:val="00763335"/>
    <w:rsid w:val="00764838"/>
    <w:rsid w:val="007648D4"/>
    <w:rsid w:val="00784B67"/>
    <w:rsid w:val="00793B2E"/>
    <w:rsid w:val="00797BB1"/>
    <w:rsid w:val="007A26F5"/>
    <w:rsid w:val="007A3183"/>
    <w:rsid w:val="007A6959"/>
    <w:rsid w:val="007B244E"/>
    <w:rsid w:val="007C78EE"/>
    <w:rsid w:val="007D1E14"/>
    <w:rsid w:val="007D5A5F"/>
    <w:rsid w:val="007D7FCD"/>
    <w:rsid w:val="007E142D"/>
    <w:rsid w:val="007E2BE3"/>
    <w:rsid w:val="007E3FFF"/>
    <w:rsid w:val="007E578F"/>
    <w:rsid w:val="007E6C4A"/>
    <w:rsid w:val="007E701B"/>
    <w:rsid w:val="007F17A8"/>
    <w:rsid w:val="007F7161"/>
    <w:rsid w:val="00807EE2"/>
    <w:rsid w:val="00812882"/>
    <w:rsid w:val="0082583C"/>
    <w:rsid w:val="0083127A"/>
    <w:rsid w:val="00841B2F"/>
    <w:rsid w:val="00844E96"/>
    <w:rsid w:val="00850ADD"/>
    <w:rsid w:val="00861C42"/>
    <w:rsid w:val="00870D80"/>
    <w:rsid w:val="0087721D"/>
    <w:rsid w:val="00890213"/>
    <w:rsid w:val="00894BDD"/>
    <w:rsid w:val="008A24C4"/>
    <w:rsid w:val="008C431B"/>
    <w:rsid w:val="008E1455"/>
    <w:rsid w:val="008E4885"/>
    <w:rsid w:val="008F300C"/>
    <w:rsid w:val="008F447A"/>
    <w:rsid w:val="009010FF"/>
    <w:rsid w:val="00913260"/>
    <w:rsid w:val="0091515C"/>
    <w:rsid w:val="00923CF6"/>
    <w:rsid w:val="00926399"/>
    <w:rsid w:val="009509B4"/>
    <w:rsid w:val="009568E0"/>
    <w:rsid w:val="009626D1"/>
    <w:rsid w:val="009636B9"/>
    <w:rsid w:val="00976D4C"/>
    <w:rsid w:val="00981532"/>
    <w:rsid w:val="00987C00"/>
    <w:rsid w:val="009901C7"/>
    <w:rsid w:val="00991BCF"/>
    <w:rsid w:val="0099713B"/>
    <w:rsid w:val="009A6ECE"/>
    <w:rsid w:val="009B34E3"/>
    <w:rsid w:val="009B6E4D"/>
    <w:rsid w:val="009B7F85"/>
    <w:rsid w:val="009C0417"/>
    <w:rsid w:val="009D1135"/>
    <w:rsid w:val="009E60F9"/>
    <w:rsid w:val="009F2406"/>
    <w:rsid w:val="00A07E99"/>
    <w:rsid w:val="00A134CB"/>
    <w:rsid w:val="00A15C03"/>
    <w:rsid w:val="00A21756"/>
    <w:rsid w:val="00A32B4C"/>
    <w:rsid w:val="00A5508C"/>
    <w:rsid w:val="00A576F9"/>
    <w:rsid w:val="00A6576A"/>
    <w:rsid w:val="00A67DBB"/>
    <w:rsid w:val="00A74E45"/>
    <w:rsid w:val="00A8205D"/>
    <w:rsid w:val="00A858E6"/>
    <w:rsid w:val="00AA13FE"/>
    <w:rsid w:val="00AA5BAE"/>
    <w:rsid w:val="00AA7A8E"/>
    <w:rsid w:val="00AB5D2D"/>
    <w:rsid w:val="00AC4134"/>
    <w:rsid w:val="00AC5D42"/>
    <w:rsid w:val="00AD21B4"/>
    <w:rsid w:val="00AD3DCD"/>
    <w:rsid w:val="00AD6709"/>
    <w:rsid w:val="00AE020D"/>
    <w:rsid w:val="00AE2714"/>
    <w:rsid w:val="00B13E72"/>
    <w:rsid w:val="00B25976"/>
    <w:rsid w:val="00B26C59"/>
    <w:rsid w:val="00B26CAA"/>
    <w:rsid w:val="00B56D43"/>
    <w:rsid w:val="00B5713C"/>
    <w:rsid w:val="00B8111C"/>
    <w:rsid w:val="00B84663"/>
    <w:rsid w:val="00B87A34"/>
    <w:rsid w:val="00B9103A"/>
    <w:rsid w:val="00BA4FF5"/>
    <w:rsid w:val="00BA537F"/>
    <w:rsid w:val="00BA7EF5"/>
    <w:rsid w:val="00BD1F70"/>
    <w:rsid w:val="00BE1A3A"/>
    <w:rsid w:val="00BE7AB9"/>
    <w:rsid w:val="00BF66DE"/>
    <w:rsid w:val="00C053A4"/>
    <w:rsid w:val="00C15295"/>
    <w:rsid w:val="00C16CDB"/>
    <w:rsid w:val="00C270BF"/>
    <w:rsid w:val="00C278BD"/>
    <w:rsid w:val="00C27B7C"/>
    <w:rsid w:val="00C301A9"/>
    <w:rsid w:val="00C35DC6"/>
    <w:rsid w:val="00C55AB9"/>
    <w:rsid w:val="00C61BCB"/>
    <w:rsid w:val="00C61E53"/>
    <w:rsid w:val="00C70682"/>
    <w:rsid w:val="00C80E24"/>
    <w:rsid w:val="00C934E8"/>
    <w:rsid w:val="00C94F6E"/>
    <w:rsid w:val="00CB4E1B"/>
    <w:rsid w:val="00CB5797"/>
    <w:rsid w:val="00CC543D"/>
    <w:rsid w:val="00CD657E"/>
    <w:rsid w:val="00CF55CB"/>
    <w:rsid w:val="00D0558D"/>
    <w:rsid w:val="00D10C20"/>
    <w:rsid w:val="00D15724"/>
    <w:rsid w:val="00D17D0E"/>
    <w:rsid w:val="00D17F95"/>
    <w:rsid w:val="00D21AEC"/>
    <w:rsid w:val="00D220F0"/>
    <w:rsid w:val="00D24DBB"/>
    <w:rsid w:val="00D32713"/>
    <w:rsid w:val="00D33BB4"/>
    <w:rsid w:val="00D33F81"/>
    <w:rsid w:val="00D47B88"/>
    <w:rsid w:val="00D500CC"/>
    <w:rsid w:val="00D878DF"/>
    <w:rsid w:val="00D97EB0"/>
    <w:rsid w:val="00DA2BFD"/>
    <w:rsid w:val="00DD4617"/>
    <w:rsid w:val="00DE2DDE"/>
    <w:rsid w:val="00DE50A9"/>
    <w:rsid w:val="00DE7354"/>
    <w:rsid w:val="00DF7478"/>
    <w:rsid w:val="00E00E16"/>
    <w:rsid w:val="00E102A2"/>
    <w:rsid w:val="00E20942"/>
    <w:rsid w:val="00E20F8A"/>
    <w:rsid w:val="00E37EEE"/>
    <w:rsid w:val="00E41D17"/>
    <w:rsid w:val="00E437DE"/>
    <w:rsid w:val="00E443F5"/>
    <w:rsid w:val="00E50E7C"/>
    <w:rsid w:val="00E51E41"/>
    <w:rsid w:val="00E56F6C"/>
    <w:rsid w:val="00E6628F"/>
    <w:rsid w:val="00E76372"/>
    <w:rsid w:val="00E763CF"/>
    <w:rsid w:val="00E852B9"/>
    <w:rsid w:val="00E8570B"/>
    <w:rsid w:val="00EA3B65"/>
    <w:rsid w:val="00EB601C"/>
    <w:rsid w:val="00EC4103"/>
    <w:rsid w:val="00ED7B46"/>
    <w:rsid w:val="00EE6966"/>
    <w:rsid w:val="00EF492F"/>
    <w:rsid w:val="00EF6670"/>
    <w:rsid w:val="00F208A5"/>
    <w:rsid w:val="00F25E14"/>
    <w:rsid w:val="00F41ABF"/>
    <w:rsid w:val="00F476AB"/>
    <w:rsid w:val="00F5405F"/>
    <w:rsid w:val="00F545D4"/>
    <w:rsid w:val="00F571A3"/>
    <w:rsid w:val="00F92E73"/>
    <w:rsid w:val="00F96BF9"/>
    <w:rsid w:val="00FB6A7F"/>
    <w:rsid w:val="00FC1EAD"/>
    <w:rsid w:val="00FD1882"/>
    <w:rsid w:val="00FD2E0C"/>
    <w:rsid w:val="00FD6428"/>
    <w:rsid w:val="00FE1E56"/>
    <w:rsid w:val="00FE33AF"/>
    <w:rsid w:val="00FE6858"/>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C7A63-EDF1-4F99-9635-A36EC6D4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20</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395</cp:revision>
  <dcterms:created xsi:type="dcterms:W3CDTF">2019-07-14T14:16:00Z</dcterms:created>
  <dcterms:modified xsi:type="dcterms:W3CDTF">2019-08-05T12:12:00Z</dcterms:modified>
</cp:coreProperties>
</file>